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771525</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10-Q</w:t>
      </w:r>
    </w:p>
    <w:p>
      <w:pPr>
        <w:spacing w:after="0" w:line="144" w:lineRule="exact"/>
        <w:rPr>
          <w:sz w:val="24"/>
          <w:szCs w:val="24"/>
          <w:color w:val="auto"/>
        </w:rPr>
      </w:pPr>
    </w:p>
    <w:p>
      <w:pPr>
        <w:ind w:left="660" w:right="2180" w:hanging="635"/>
        <w:spacing w:after="0" w:line="236"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OR</w:t>
      </w:r>
    </w:p>
    <w:p>
      <w:pPr>
        <w:spacing w:after="0" w:line="130" w:lineRule="exact"/>
        <w:rPr>
          <w:sz w:val="24"/>
          <w:szCs w:val="24"/>
          <w:color w:val="auto"/>
        </w:rPr>
      </w:pPr>
    </w:p>
    <w:p>
      <w:pPr>
        <w:ind w:left="660" w:right="2160" w:hanging="635"/>
        <w:spacing w:after="0" w:line="236"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46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3340735</wp:posOffset>
            </wp:positionH>
            <wp:positionV relativeFrom="paragraph">
              <wp:posOffset>119380</wp:posOffset>
            </wp:positionV>
            <wp:extent cx="469265" cy="443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9265" cy="443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GENERAL MOTORS COMPANY</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22" w:lineRule="exact"/>
        <w:rPr>
          <w:sz w:val="24"/>
          <w:szCs w:val="24"/>
          <w:color w:val="auto"/>
        </w:rPr>
      </w:pPr>
    </w:p>
    <w:tbl>
      <w:tblPr>
        <w:tblLayout w:type="fixed"/>
        <w:tblInd w:w="1700" w:type="dxa"/>
        <w:tblCellMar>
          <w:top w:w="0" w:type="dxa"/>
          <w:left w:w="0" w:type="dxa"/>
          <w:bottom w:w="0" w:type="dxa"/>
          <w:right w:w="0" w:type="dxa"/>
        </w:tblCellMar>
      </w:tblPr>
      <w:tr>
        <w:trPr>
          <w:trHeight w:val="234"/>
        </w:trPr>
        <w:tc>
          <w:tcPr>
            <w:tcW w:w="508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1940" w:type="dxa"/>
            <w:vAlign w:val="bottom"/>
          </w:tcPr>
          <w:p>
            <w:pPr>
              <w:jc w:val="right"/>
              <w:ind w:right="150"/>
              <w:spacing w:after="0"/>
              <w:rPr>
                <w:sz w:val="20"/>
                <w:szCs w:val="20"/>
                <w:color w:val="auto"/>
              </w:rPr>
            </w:pPr>
            <w:r>
              <w:rPr>
                <w:rFonts w:ascii="Arial" w:cs="Arial" w:eastAsia="Arial" w:hAnsi="Arial"/>
                <w:sz w:val="18"/>
                <w:szCs w:val="18"/>
                <w:b w:val="1"/>
                <w:bCs w:val="1"/>
                <w:color w:val="auto"/>
              </w:rPr>
              <w:t>27-0756180</w:t>
            </w:r>
          </w:p>
        </w:tc>
      </w:tr>
      <w:tr>
        <w:trPr>
          <w:trHeight w:val="228"/>
        </w:trPr>
        <w:tc>
          <w:tcPr>
            <w:tcW w:w="5080" w:type="dxa"/>
            <w:vAlign w:val="bottom"/>
          </w:tcPr>
          <w:p>
            <w:pPr>
              <w:jc w:val="center"/>
              <w:ind w:right="1570"/>
              <w:spacing w:after="0"/>
              <w:rPr>
                <w:sz w:val="20"/>
                <w:szCs w:val="20"/>
                <w:color w:val="auto"/>
              </w:rPr>
            </w:pPr>
            <w:r>
              <w:rPr>
                <w:rFonts w:ascii="Arial" w:cs="Arial" w:eastAsia="Arial" w:hAnsi="Arial"/>
                <w:sz w:val="18"/>
                <w:szCs w:val="18"/>
                <w:i w:val="1"/>
                <w:iCs w:val="1"/>
                <w:color w:val="auto"/>
                <w:w w:val="93"/>
              </w:rPr>
              <w:t>(State or other jurisdiction of</w:t>
            </w:r>
          </w:p>
        </w:tc>
        <w:tc>
          <w:tcPr>
            <w:tcW w:w="1940" w:type="dxa"/>
            <w:vAlign w:val="bottom"/>
          </w:tcPr>
          <w:p>
            <w:pPr>
              <w:jc w:val="center"/>
              <w:ind w:left="510"/>
              <w:spacing w:after="0"/>
              <w:rPr>
                <w:sz w:val="20"/>
                <w:szCs w:val="20"/>
                <w:color w:val="auto"/>
              </w:rPr>
            </w:pPr>
            <w:r>
              <w:rPr>
                <w:rFonts w:ascii="Arial" w:cs="Arial" w:eastAsia="Arial" w:hAnsi="Arial"/>
                <w:sz w:val="18"/>
                <w:szCs w:val="18"/>
                <w:i w:val="1"/>
                <w:iCs w:val="1"/>
                <w:color w:val="auto"/>
                <w:w w:val="89"/>
              </w:rPr>
              <w:t>(I.R.S. Employer</w:t>
            </w:r>
          </w:p>
        </w:tc>
      </w:tr>
      <w:tr>
        <w:trPr>
          <w:trHeight w:val="230"/>
        </w:trPr>
        <w:tc>
          <w:tcPr>
            <w:tcW w:w="5080" w:type="dxa"/>
            <w:vAlign w:val="bottom"/>
          </w:tcPr>
          <w:p>
            <w:pPr>
              <w:jc w:val="center"/>
              <w:ind w:right="1570"/>
              <w:spacing w:after="0"/>
              <w:rPr>
                <w:sz w:val="20"/>
                <w:szCs w:val="20"/>
                <w:color w:val="auto"/>
              </w:rPr>
            </w:pPr>
            <w:r>
              <w:rPr>
                <w:rFonts w:ascii="Arial" w:cs="Arial" w:eastAsia="Arial" w:hAnsi="Arial"/>
                <w:sz w:val="18"/>
                <w:szCs w:val="18"/>
                <w:i w:val="1"/>
                <w:iCs w:val="1"/>
                <w:color w:val="auto"/>
                <w:w w:val="94"/>
              </w:rPr>
              <w:t>incorporation or organization)</w:t>
            </w:r>
          </w:p>
        </w:tc>
        <w:tc>
          <w:tcPr>
            <w:tcW w:w="1940" w:type="dxa"/>
            <w:vAlign w:val="bottom"/>
          </w:tcPr>
          <w:p>
            <w:pPr>
              <w:jc w:val="center"/>
              <w:ind w:left="510"/>
              <w:spacing w:after="0"/>
              <w:rPr>
                <w:sz w:val="20"/>
                <w:szCs w:val="20"/>
                <w:color w:val="auto"/>
              </w:rPr>
            </w:pPr>
            <w:r>
              <w:rPr>
                <w:rFonts w:ascii="Arial" w:cs="Arial" w:eastAsia="Arial" w:hAnsi="Arial"/>
                <w:sz w:val="18"/>
                <w:szCs w:val="18"/>
                <w:i w:val="1"/>
                <w:iCs w:val="1"/>
                <w:color w:val="auto"/>
                <w:w w:val="95"/>
              </w:rPr>
              <w:t>Identification No.)</w:t>
            </w:r>
          </w:p>
        </w:tc>
      </w:tr>
      <w:tr>
        <w:trPr>
          <w:trHeight w:val="320"/>
        </w:trPr>
        <w:tc>
          <w:tcPr>
            <w:tcW w:w="5080" w:type="dxa"/>
            <w:vAlign w:val="bottom"/>
          </w:tcPr>
          <w:p>
            <w:pPr>
              <w:jc w:val="center"/>
              <w:ind w:right="1610"/>
              <w:spacing w:after="0"/>
              <w:rPr>
                <w:sz w:val="20"/>
                <w:szCs w:val="20"/>
                <w:color w:val="auto"/>
              </w:rPr>
            </w:pPr>
            <w:r>
              <w:rPr>
                <w:rFonts w:ascii="Arial" w:cs="Arial" w:eastAsia="Arial" w:hAnsi="Arial"/>
                <w:sz w:val="18"/>
                <w:szCs w:val="18"/>
                <w:b w:val="1"/>
                <w:bCs w:val="1"/>
                <w:color w:val="auto"/>
                <w:w w:val="93"/>
              </w:rPr>
              <w:t>300 Renaissance Center, Detroit, Michigan</w:t>
            </w:r>
          </w:p>
        </w:tc>
        <w:tc>
          <w:tcPr>
            <w:tcW w:w="1940" w:type="dxa"/>
            <w:vAlign w:val="bottom"/>
          </w:tcPr>
          <w:p>
            <w:pPr>
              <w:jc w:val="right"/>
              <w:ind w:right="150"/>
              <w:spacing w:after="0"/>
              <w:rPr>
                <w:sz w:val="20"/>
                <w:szCs w:val="20"/>
                <w:color w:val="auto"/>
              </w:rPr>
            </w:pPr>
            <w:r>
              <w:rPr>
                <w:rFonts w:ascii="Arial" w:cs="Arial" w:eastAsia="Arial" w:hAnsi="Arial"/>
                <w:sz w:val="18"/>
                <w:szCs w:val="18"/>
                <w:b w:val="1"/>
                <w:bCs w:val="1"/>
                <w:color w:val="auto"/>
              </w:rPr>
              <w:t>48265 -3000</w:t>
            </w:r>
          </w:p>
        </w:tc>
      </w:tr>
      <w:tr>
        <w:trPr>
          <w:trHeight w:val="270"/>
        </w:trPr>
        <w:tc>
          <w:tcPr>
            <w:tcW w:w="5080" w:type="dxa"/>
            <w:vAlign w:val="bottom"/>
          </w:tcPr>
          <w:p>
            <w:pPr>
              <w:jc w:val="center"/>
              <w:ind w:right="159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940" w:type="dxa"/>
            <w:vAlign w:val="bottom"/>
          </w:tcPr>
          <w:p>
            <w:pPr>
              <w:jc w:val="center"/>
              <w:ind w:left="510"/>
              <w:spacing w:after="0"/>
              <w:rPr>
                <w:sz w:val="20"/>
                <w:szCs w:val="20"/>
                <w:color w:val="auto"/>
              </w:rPr>
            </w:pPr>
            <w:r>
              <w:rPr>
                <w:rFonts w:ascii="Arial" w:cs="Arial" w:eastAsia="Arial" w:hAnsi="Arial"/>
                <w:sz w:val="18"/>
                <w:szCs w:val="18"/>
                <w:i w:val="1"/>
                <w:iCs w:val="1"/>
                <w:color w:val="auto"/>
                <w:w w:val="91"/>
              </w:rPr>
              <w:t>(Zip Code)</w:t>
            </w:r>
          </w:p>
        </w:tc>
      </w:tr>
      <w:tr>
        <w:trPr>
          <w:trHeight w:val="296"/>
        </w:trPr>
        <w:tc>
          <w:tcPr>
            <w:tcW w:w="5080" w:type="dxa"/>
            <w:vAlign w:val="bottom"/>
          </w:tcPr>
          <w:p>
            <w:pPr>
              <w:jc w:val="right"/>
              <w:ind w:right="510"/>
              <w:spacing w:after="0"/>
              <w:rPr>
                <w:sz w:val="20"/>
                <w:szCs w:val="20"/>
                <w:color w:val="auto"/>
              </w:rPr>
            </w:pPr>
            <w:r>
              <w:rPr>
                <w:rFonts w:ascii="Arial" w:cs="Arial" w:eastAsia="Arial" w:hAnsi="Arial"/>
                <w:sz w:val="18"/>
                <w:szCs w:val="18"/>
                <w:b w:val="1"/>
                <w:bCs w:val="1"/>
                <w:color w:val="auto"/>
              </w:rPr>
              <w:t>(313) 667-1500</w:t>
            </w:r>
          </w:p>
        </w:tc>
        <w:tc>
          <w:tcPr>
            <w:tcW w:w="194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3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0" w:lineRule="exact"/>
        <w:rPr>
          <w:sz w:val="24"/>
          <w:szCs w:val="24"/>
          <w:color w:val="auto"/>
        </w:rPr>
      </w:pPr>
    </w:p>
    <w:tbl>
      <w:tblPr>
        <w:tblLayout w:type="fixed"/>
        <w:tblInd w:w="144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3100" w:type="dxa"/>
            <w:vAlign w:val="bottom"/>
            <w:gridSpan w:val="2"/>
          </w:tcPr>
          <w:p>
            <w:pPr>
              <w:jc w:val="center"/>
              <w:ind w:right="1860"/>
              <w:spacing w:after="0"/>
              <w:rPr>
                <w:sz w:val="20"/>
                <w:szCs w:val="20"/>
                <w:color w:val="auto"/>
              </w:rPr>
            </w:pPr>
            <w:r>
              <w:rPr>
                <w:rFonts w:ascii="Arial" w:cs="Arial" w:eastAsia="Arial" w:hAnsi="Arial"/>
                <w:sz w:val="17"/>
                <w:szCs w:val="17"/>
                <w:color w:val="auto"/>
                <w:w w:val="91"/>
              </w:rPr>
              <w:t>Title of each class</w:t>
            </w:r>
          </w:p>
        </w:tc>
        <w:tc>
          <w:tcPr>
            <w:tcW w:w="2280" w:type="dxa"/>
            <w:vAlign w:val="bottom"/>
            <w:gridSpan w:val="2"/>
          </w:tcPr>
          <w:p>
            <w:pPr>
              <w:jc w:val="center"/>
              <w:ind w:right="980"/>
              <w:spacing w:after="0"/>
              <w:rPr>
                <w:sz w:val="20"/>
                <w:szCs w:val="20"/>
                <w:color w:val="auto"/>
              </w:rPr>
            </w:pPr>
            <w:r>
              <w:rPr>
                <w:rFonts w:ascii="Arial" w:cs="Arial" w:eastAsia="Arial" w:hAnsi="Arial"/>
                <w:sz w:val="17"/>
                <w:szCs w:val="17"/>
                <w:color w:val="auto"/>
                <w:w w:val="93"/>
              </w:rPr>
              <w:t>Trading Symbol(s)</w:t>
            </w:r>
          </w:p>
        </w:tc>
        <w:tc>
          <w:tcPr>
            <w:tcW w:w="3040" w:type="dxa"/>
            <w:vAlign w:val="bottom"/>
          </w:tcPr>
          <w:p>
            <w:pPr>
              <w:jc w:val="center"/>
              <w:spacing w:after="0"/>
              <w:rPr>
                <w:sz w:val="20"/>
                <w:szCs w:val="20"/>
                <w:color w:val="auto"/>
              </w:rPr>
            </w:pPr>
            <w:r>
              <w:rPr>
                <w:rFonts w:ascii="Arial" w:cs="Arial" w:eastAsia="Arial" w:hAnsi="Arial"/>
                <w:sz w:val="17"/>
                <w:szCs w:val="17"/>
                <w:color w:val="auto"/>
                <w:w w:val="90"/>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32"/>
        </w:trPr>
        <w:tc>
          <w:tcPr>
            <w:tcW w:w="3600" w:type="dxa"/>
            <w:vAlign w:val="bottom"/>
            <w:gridSpan w:val="3"/>
          </w:tcPr>
          <w:p>
            <w:pPr>
              <w:jc w:val="center"/>
              <w:ind w:right="1360"/>
              <w:spacing w:after="0"/>
              <w:rPr>
                <w:sz w:val="20"/>
                <w:szCs w:val="20"/>
                <w:color w:val="auto"/>
              </w:rPr>
            </w:pPr>
            <w:r>
              <w:rPr>
                <w:rFonts w:ascii="Arial" w:cs="Arial" w:eastAsia="Arial" w:hAnsi="Arial"/>
                <w:sz w:val="17"/>
                <w:szCs w:val="17"/>
                <w:color w:val="auto"/>
                <w:w w:val="92"/>
              </w:rPr>
              <w:t>Common Stock, $0.01 par value</w:t>
            </w:r>
          </w:p>
        </w:tc>
        <w:tc>
          <w:tcPr>
            <w:tcW w:w="2280" w:type="dxa"/>
            <w:vAlign w:val="bottom"/>
            <w:gridSpan w:val="2"/>
          </w:tcPr>
          <w:p>
            <w:pPr>
              <w:jc w:val="center"/>
              <w:ind w:right="960"/>
              <w:spacing w:after="0"/>
              <w:rPr>
                <w:sz w:val="20"/>
                <w:szCs w:val="20"/>
                <w:color w:val="auto"/>
              </w:rPr>
            </w:pPr>
            <w:r>
              <w:rPr>
                <w:rFonts w:ascii="Arial" w:cs="Arial" w:eastAsia="Arial" w:hAnsi="Arial"/>
                <w:sz w:val="17"/>
                <w:szCs w:val="17"/>
                <w:color w:val="auto"/>
              </w:rPr>
              <w:t>GM</w:t>
            </w:r>
          </w:p>
        </w:tc>
        <w:tc>
          <w:tcPr>
            <w:tcW w:w="3040" w:type="dxa"/>
            <w:vAlign w:val="bottom"/>
          </w:tcPr>
          <w:p>
            <w:pPr>
              <w:jc w:val="center"/>
              <w:spacing w:after="0"/>
              <w:rPr>
                <w:sz w:val="20"/>
                <w:szCs w:val="20"/>
                <w:color w:val="auto"/>
              </w:rPr>
            </w:pPr>
            <w:r>
              <w:rPr>
                <w:rFonts w:ascii="Arial" w:cs="Arial" w:eastAsia="Arial" w:hAnsi="Arial"/>
                <w:sz w:val="17"/>
                <w:szCs w:val="17"/>
                <w:color w:val="auto"/>
                <w:w w:val="92"/>
              </w:rPr>
              <w:t>New York Stock Exchange</w:t>
            </w:r>
          </w:p>
        </w:tc>
      </w:tr>
    </w:tbl>
    <w:p>
      <w:pPr>
        <w:spacing w:after="0" w:line="132" w:lineRule="exact"/>
        <w:rPr>
          <w:sz w:val="24"/>
          <w:szCs w:val="24"/>
          <w:color w:val="auto"/>
        </w:rPr>
      </w:pPr>
    </w:p>
    <w:p>
      <w:pPr>
        <w:jc w:val="both"/>
        <w:ind w:firstLine="81"/>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3" w:lineRule="exact"/>
        <w:rPr>
          <w:sz w:val="24"/>
          <w:szCs w:val="24"/>
          <w:color w:val="auto"/>
        </w:rPr>
      </w:pPr>
    </w:p>
    <w:p>
      <w:pPr>
        <w:jc w:val="both"/>
        <w:ind w:firstLine="81"/>
        <w:spacing w:after="0" w:line="218"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3" w:lineRule="exact"/>
        <w:rPr>
          <w:sz w:val="24"/>
          <w:szCs w:val="24"/>
          <w:color w:val="auto"/>
        </w:rPr>
      </w:pPr>
    </w:p>
    <w:p>
      <w:pPr>
        <w:jc w:val="both"/>
        <w:ind w:firstLine="81"/>
        <w:spacing w:after="0" w:line="26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p>
      <w:pPr>
        <w:ind w:left="80"/>
        <w:spacing w:after="0" w:line="19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Non-accelerated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7"/>
          <w:szCs w:val="17"/>
          <w:color w:val="auto"/>
        </w:rPr>
        <w:t>☐</w:t>
      </w:r>
    </w:p>
    <w:p>
      <w:pPr>
        <w:spacing w:after="0" w:line="132" w:lineRule="exact"/>
        <w:rPr>
          <w:sz w:val="24"/>
          <w:szCs w:val="24"/>
          <w:color w:val="auto"/>
        </w:rPr>
      </w:pPr>
    </w:p>
    <w:p>
      <w:pPr>
        <w:jc w:val="both"/>
        <w:ind w:firstLine="81"/>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4" w:lineRule="exact"/>
        <w:rPr>
          <w:sz w:val="24"/>
          <w:szCs w:val="24"/>
          <w:color w:val="auto"/>
        </w:rPr>
      </w:pPr>
    </w:p>
    <w:p>
      <w:pPr>
        <w:ind w:left="80" w:right="2220"/>
        <w:spacing w:after="0" w:line="279"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19, 2021 there were 1,451,723,812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741680</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122555</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720" w:type="dxa"/>
            <w:vAlign w:val="bottom"/>
          </w:tcPr>
          <w:p>
            <w:pPr>
              <w:jc w:val="center"/>
              <w:ind w:right="1330"/>
              <w:spacing w:after="0"/>
              <w:rPr>
                <w:sz w:val="20"/>
                <w:szCs w:val="20"/>
                <w:color w:val="auto"/>
              </w:rPr>
            </w:pPr>
            <w:r>
              <w:rPr>
                <w:rFonts w:ascii="Arial" w:cs="Arial" w:eastAsia="Arial" w:hAnsi="Arial"/>
                <w:sz w:val="18"/>
                <w:szCs w:val="18"/>
                <w:b w:val="1"/>
                <w:bCs w:val="1"/>
                <w:color w:val="auto"/>
              </w:rPr>
              <w:t>INDEX</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720" w:type="dxa"/>
            <w:vAlign w:val="bottom"/>
            <w:vMerge w:val="restart"/>
          </w:tcPr>
          <w:p>
            <w:pPr>
              <w:jc w:val="center"/>
              <w:ind w:right="1370"/>
              <w:spacing w:after="0"/>
              <w:rPr>
                <w:sz w:val="20"/>
                <w:szCs w:val="20"/>
                <w:color w:val="auto"/>
              </w:rPr>
            </w:pPr>
            <w:r>
              <w:rPr>
                <w:rFonts w:ascii="Arial" w:cs="Arial" w:eastAsia="Arial" w:hAnsi="Arial"/>
                <w:sz w:val="18"/>
                <w:szCs w:val="18"/>
                <w:b w:val="1"/>
                <w:bCs w:val="1"/>
                <w:color w:val="auto"/>
                <w:w w:val="98"/>
              </w:rPr>
              <w:t>PART I</w:t>
            </w:r>
          </w:p>
        </w:tc>
        <w:tc>
          <w:tcPr>
            <w:tcW w:w="540" w:type="dxa"/>
            <w:vAlign w:val="bottom"/>
            <w:gridSpan w:val="5"/>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720" w:type="dxa"/>
            <w:vAlign w:val="bottom"/>
            <w:vMerge w:val="continue"/>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Condensed Consolidated Financial Statements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Condensed Consolidated Income Statements (Unaudited)</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Condensed Consolidated Statements of Comprehensive Income (Unaudited)</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Condensed Consolidated Balance Sheets (Unaudited)</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Condensed Consolidated Statements of Cash Flows (Unaudited)</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Condensed Consolidated Statements of Equity (Unaudited)</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Notes to Condensed Consolidated Financial Statements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Nature of Operations and Basis of Presentation</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Arial" w:cs="Arial" w:eastAsia="Arial" w:hAnsi="Arial"/>
                <w:sz w:val="18"/>
                <w:szCs w:val="18"/>
                <w:color w:val="auto"/>
              </w:rPr>
              <w:t>Note 2.</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3.</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Marketable and Other Securities</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9">
              <w:r>
                <w:rPr>
                  <w:rFonts w:ascii="Arial" w:cs="Arial" w:eastAsia="Arial" w:hAnsi="Arial"/>
                  <w:sz w:val="18"/>
                  <w:szCs w:val="18"/>
                  <w:color w:val="0000FF"/>
                </w:rPr>
                <w:t>7</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Arial" w:cs="Arial" w:eastAsia="Arial" w:hAnsi="Arial"/>
                <w:sz w:val="18"/>
                <w:szCs w:val="18"/>
                <w:color w:val="auto"/>
              </w:rPr>
              <w:t>Note 4.</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GM Financial Receivables and Transactions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rFonts w:ascii="Arial" w:cs="Arial" w:eastAsia="Arial" w:hAnsi="Arial"/>
                <w:sz w:val="18"/>
                <w:szCs w:val="18"/>
                <w:color w:val="0000FF"/>
                <w:w w:val="79"/>
              </w:rPr>
            </w:pPr>
            <w:hyperlink w:anchor="page10">
              <w:r>
                <w:rPr>
                  <w:rFonts w:ascii="Arial" w:cs="Arial" w:eastAsia="Arial" w:hAnsi="Arial"/>
                  <w:sz w:val="18"/>
                  <w:szCs w:val="18"/>
                  <w:color w:val="0000FF"/>
                  <w:w w:val="79"/>
                </w:rPr>
                <w:t>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5.</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Inventories</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11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6.</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Equipment on Operating Leases</w:t>
            </w: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12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7.</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Equity in Net Assets of Nonconsolidated Affiliates</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14">
              <w:r>
                <w:rPr>
                  <w:rFonts w:ascii="Arial" w:cs="Arial" w:eastAsia="Arial" w:hAnsi="Arial"/>
                  <w:sz w:val="18"/>
                  <w:szCs w:val="18"/>
                  <w:color w:val="0000FF"/>
                </w:rPr>
                <w:t>12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8.</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Variable Interest Entities</w:t>
            </w: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14">
              <w:r>
                <w:rPr>
                  <w:rFonts w:ascii="Arial" w:cs="Arial" w:eastAsia="Arial" w:hAnsi="Arial"/>
                  <w:sz w:val="18"/>
                  <w:szCs w:val="18"/>
                  <w:color w:val="0000FF"/>
                </w:rPr>
                <w:t>13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9.</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Debt</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15">
              <w:r>
                <w:rPr>
                  <w:rFonts w:ascii="Arial" w:cs="Arial" w:eastAsia="Arial" w:hAnsi="Arial"/>
                  <w:sz w:val="18"/>
                  <w:szCs w:val="18"/>
                  <w:color w:val="0000FF"/>
                </w:rPr>
                <w:t>14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10.</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Derivative Financial Instruments</w:t>
            </w: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17">
              <w:r>
                <w:rPr>
                  <w:rFonts w:ascii="Arial" w:cs="Arial" w:eastAsia="Arial" w:hAnsi="Arial"/>
                  <w:sz w:val="18"/>
                  <w:szCs w:val="18"/>
                  <w:color w:val="0000FF"/>
                </w:rPr>
                <w:t>15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11.</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Accrued and Other Liabilities</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16</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12.</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Pensions and Other Postretirement Benefits</w:t>
            </w: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17</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13.</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Commitments and Contingencies</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19">
              <w:r>
                <w:rPr>
                  <w:rFonts w:ascii="Arial" w:cs="Arial" w:eastAsia="Arial" w:hAnsi="Arial"/>
                  <w:sz w:val="18"/>
                  <w:szCs w:val="18"/>
                  <w:color w:val="0000FF"/>
                </w:rPr>
                <w:t>17</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14.</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Income Taxes</w:t>
            </w: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21">
              <w:r>
                <w:rPr>
                  <w:rFonts w:ascii="Arial" w:cs="Arial" w:eastAsia="Arial" w:hAnsi="Arial"/>
                  <w:sz w:val="18"/>
                  <w:szCs w:val="18"/>
                  <w:color w:val="0000FF"/>
                </w:rPr>
                <w:t>20</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15.</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Restructuring and Other Initiatives</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22">
              <w:r>
                <w:rPr>
                  <w:rFonts w:ascii="Arial" w:cs="Arial" w:eastAsia="Arial" w:hAnsi="Arial"/>
                  <w:sz w:val="18"/>
                  <w:szCs w:val="18"/>
                  <w:color w:val="0000FF"/>
                </w:rPr>
                <w:t>20</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16.</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Stockholders' Equity and Noncontrolling Interests</w:t>
            </w: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21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17.</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Earnings Per Share</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23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18.</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Segment Reporting</w:t>
            </w: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23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Item 2.</w:t>
            </w: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29">
              <w:r>
                <w:rPr>
                  <w:rFonts w:ascii="Arial" w:cs="Arial" w:eastAsia="Arial" w:hAnsi="Arial"/>
                  <w:sz w:val="18"/>
                  <w:szCs w:val="18"/>
                  <w:color w:val="0000FF"/>
                </w:rPr>
                <w:t>27</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984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46</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Item 4.</w:t>
            </w: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Controls and Procedures</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48">
              <w:r>
                <w:rPr>
                  <w:rFonts w:ascii="Arial" w:cs="Arial" w:eastAsia="Arial" w:hAnsi="Arial"/>
                  <w:sz w:val="18"/>
                  <w:szCs w:val="18"/>
                  <w:color w:val="0000FF"/>
                </w:rPr>
                <w:t>47</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720" w:type="dxa"/>
            <w:vAlign w:val="bottom"/>
            <w:shd w:val="clear" w:color="auto" w:fill="CCEEFF"/>
          </w:tcPr>
          <w:p>
            <w:pPr>
              <w:jc w:val="center"/>
              <w:ind w:right="1370"/>
              <w:spacing w:after="0"/>
              <w:rPr>
                <w:sz w:val="20"/>
                <w:szCs w:val="20"/>
                <w:color w:val="auto"/>
              </w:rPr>
            </w:pPr>
            <w:r>
              <w:rPr>
                <w:rFonts w:ascii="Arial" w:cs="Arial" w:eastAsia="Arial" w:hAnsi="Arial"/>
                <w:sz w:val="18"/>
                <w:szCs w:val="18"/>
                <w:b w:val="1"/>
                <w:bCs w:val="1"/>
                <w:color w:val="auto"/>
              </w:rPr>
              <w:t>PART II</w:t>
            </w:r>
          </w:p>
        </w:tc>
        <w:tc>
          <w:tcPr>
            <w:tcW w:w="3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Legal Proceedings</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48</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1A.</w:t>
            </w:r>
          </w:p>
        </w:tc>
        <w:tc>
          <w:tcPr>
            <w:tcW w:w="11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5"/>
              </w:rPr>
              <w:t>Risk Factors</w:t>
            </w:r>
          </w:p>
        </w:tc>
        <w:tc>
          <w:tcPr>
            <w:tcW w:w="8720" w:type="dxa"/>
            <w:vAlign w:val="bottom"/>
            <w:shd w:val="clear" w:color="auto" w:fill="CCEEFF"/>
          </w:tcPr>
          <w:p>
            <w:pPr>
              <w:spacing w:after="0"/>
              <w:rPr>
                <w:sz w:val="16"/>
                <w:szCs w:val="16"/>
                <w:color w:val="auto"/>
              </w:rPr>
            </w:pP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48</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Item 2.</w:t>
            </w: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Unregistered Sales of Equity Securities and Use of Proceeds</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50">
              <w:r>
                <w:rPr>
                  <w:rFonts w:ascii="Arial" w:cs="Arial" w:eastAsia="Arial" w:hAnsi="Arial"/>
                  <w:sz w:val="18"/>
                  <w:szCs w:val="18"/>
                  <w:color w:val="0000FF"/>
                </w:rPr>
                <w:t>49</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6.</w:t>
            </w:r>
          </w:p>
        </w:tc>
        <w:tc>
          <w:tcPr>
            <w:tcW w:w="11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Exhibits</w:t>
            </w:r>
          </w:p>
        </w:tc>
        <w:tc>
          <w:tcPr>
            <w:tcW w:w="8720" w:type="dxa"/>
            <w:vAlign w:val="bottom"/>
            <w:shd w:val="clear" w:color="auto" w:fill="CCEEFF"/>
          </w:tcPr>
          <w:p>
            <w:pPr>
              <w:spacing w:after="0"/>
              <w:rPr>
                <w:sz w:val="16"/>
                <w:szCs w:val="16"/>
                <w:color w:val="auto"/>
              </w:rPr>
            </w:pP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51">
              <w:r>
                <w:rPr>
                  <w:rFonts w:ascii="Arial" w:cs="Arial" w:eastAsia="Arial" w:hAnsi="Arial"/>
                  <w:sz w:val="18"/>
                  <w:szCs w:val="18"/>
                  <w:color w:val="0000FF"/>
                </w:rPr>
                <w:t>50</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Signature</w:t>
            </w:r>
          </w:p>
        </w:tc>
        <w:tc>
          <w:tcPr>
            <w:tcW w:w="1120" w:type="dxa"/>
            <w:vAlign w:val="bottom"/>
          </w:tcPr>
          <w:p>
            <w:pPr>
              <w:spacing w:after="0"/>
              <w:rPr>
                <w:sz w:val="16"/>
                <w:szCs w:val="16"/>
                <w:color w:val="auto"/>
              </w:rPr>
            </w:pPr>
          </w:p>
        </w:tc>
        <w:tc>
          <w:tcPr>
            <w:tcW w:w="8720" w:type="dxa"/>
            <w:vAlign w:val="bottom"/>
          </w:tcPr>
          <w:p>
            <w:pPr>
              <w:spacing w:after="0"/>
              <w:rPr>
                <w:sz w:val="16"/>
                <w:szCs w:val="16"/>
                <w:color w:val="auto"/>
              </w:rPr>
            </w:pPr>
          </w:p>
        </w:tc>
        <w:tc>
          <w:tcPr>
            <w:tcW w:w="520" w:type="dxa"/>
            <w:vAlign w:val="bottom"/>
            <w:gridSpan w:val="4"/>
          </w:tcPr>
          <w:p>
            <w:pPr>
              <w:jc w:val="right"/>
              <w:spacing w:after="0" w:line="189" w:lineRule="exact"/>
              <w:rPr>
                <w:rFonts w:ascii="Arial" w:cs="Arial" w:eastAsia="Arial" w:hAnsi="Arial"/>
                <w:sz w:val="18"/>
                <w:szCs w:val="18"/>
                <w:color w:val="0000FF"/>
              </w:rPr>
            </w:pPr>
            <w:hyperlink w:anchor="page52">
              <w:r>
                <w:rPr>
                  <w:rFonts w:ascii="Arial" w:cs="Arial" w:eastAsia="Arial" w:hAnsi="Arial"/>
                  <w:sz w:val="18"/>
                  <w:szCs w:val="18"/>
                  <w:color w:val="0000FF"/>
                </w:rPr>
                <w:t>51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3"/>
        </w:trPr>
        <w:tc>
          <w:tcPr>
            <w:tcW w:w="8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74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Six Months Ended</w:t>
            </w:r>
          </w:p>
        </w:tc>
      </w:tr>
      <w:tr>
        <w:trPr>
          <w:trHeight w:val="167"/>
        </w:trPr>
        <w:tc>
          <w:tcPr>
            <w:tcW w:w="5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June 30, 2021</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80"/>
              <w:spacing w:after="0"/>
              <w:rPr>
                <w:sz w:val="20"/>
                <w:szCs w:val="20"/>
                <w:color w:val="auto"/>
              </w:rPr>
            </w:pPr>
            <w:r>
              <w:rPr>
                <w:rFonts w:ascii="Arial" w:cs="Arial" w:eastAsia="Arial" w:hAnsi="Arial"/>
                <w:sz w:val="13"/>
                <w:szCs w:val="13"/>
                <w:b w:val="1"/>
                <w:bCs w:val="1"/>
                <w:color w:val="auto"/>
                <w:w w:val="96"/>
              </w:rPr>
              <w:t>June 30, 2020</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gridSpan w:val="2"/>
          </w:tcPr>
          <w:p>
            <w:pPr>
              <w:ind w:left="140"/>
              <w:spacing w:after="0"/>
              <w:rPr>
                <w:sz w:val="20"/>
                <w:szCs w:val="20"/>
                <w:color w:val="auto"/>
              </w:rPr>
            </w:pPr>
            <w:r>
              <w:rPr>
                <w:rFonts w:ascii="Arial" w:cs="Arial" w:eastAsia="Arial" w:hAnsi="Arial"/>
                <w:sz w:val="13"/>
                <w:szCs w:val="13"/>
                <w:b w:val="1"/>
                <w:bCs w:val="1"/>
                <w:color w:val="auto"/>
              </w:rPr>
              <w:t>June 30, 2021</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60"/>
              <w:spacing w:after="0"/>
              <w:rPr>
                <w:sz w:val="20"/>
                <w:szCs w:val="20"/>
                <w:color w:val="auto"/>
              </w:rPr>
            </w:pPr>
            <w:r>
              <w:rPr>
                <w:rFonts w:ascii="Arial" w:cs="Arial" w:eastAsia="Arial" w:hAnsi="Arial"/>
                <w:sz w:val="13"/>
                <w:szCs w:val="13"/>
                <w:b w:val="1"/>
                <w:bCs w:val="1"/>
                <w:color w:val="auto"/>
                <w:w w:val="99"/>
              </w:rPr>
              <w:t>June 30, 2020</w:t>
            </w:r>
          </w:p>
        </w:tc>
      </w:tr>
      <w:tr>
        <w:trPr>
          <w:trHeight w:val="199"/>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Net sales and revenue</w:t>
            </w: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r>
      <w:tr>
        <w:trPr>
          <w:trHeight w:val="218"/>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42,513</w:t>
            </w:r>
          </w:p>
        </w:tc>
      </w:tr>
      <w:tr>
        <w:trPr>
          <w:trHeight w:val="212"/>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GM Financial</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6,974</w:t>
            </w:r>
          </w:p>
        </w:tc>
      </w:tr>
      <w:tr>
        <w:trPr>
          <w:trHeight w:val="211"/>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net sales and revenue (Note 2)</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34,167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16,778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66,641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49,487</w:t>
            </w:r>
          </w:p>
        </w:tc>
      </w:tr>
      <w:tr>
        <w:trPr>
          <w:trHeight w:val="192"/>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8"/>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Automotive and other cost of sales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40,170</w:t>
            </w:r>
          </w:p>
        </w:tc>
      </w:tr>
      <w:tr>
        <w:trPr>
          <w:trHeight w:val="212"/>
        </w:trPr>
        <w:tc>
          <w:tcPr>
            <w:tcW w:w="5220" w:type="dxa"/>
            <w:vAlign w:val="bottom"/>
          </w:tcPr>
          <w:p>
            <w:pPr>
              <w:ind w:left="140"/>
              <w:spacing w:after="0"/>
              <w:rPr>
                <w:sz w:val="20"/>
                <w:szCs w:val="20"/>
                <w:color w:val="auto"/>
              </w:rPr>
            </w:pPr>
            <w:r>
              <w:rPr>
                <w:rFonts w:ascii="Arial" w:cs="Arial" w:eastAsia="Arial" w:hAnsi="Arial"/>
                <w:sz w:val="16"/>
                <w:szCs w:val="16"/>
                <w:color w:val="auto"/>
              </w:rPr>
              <w:t>GM Financial interest, operating and other expenses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6,594</w:t>
            </w:r>
          </w:p>
        </w:tc>
      </w:tr>
      <w:tr>
        <w:trPr>
          <w:trHeight w:val="218"/>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Automotive and other selling, general and administrative expense</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3,280</w:t>
            </w:r>
          </w:p>
        </w:tc>
      </w:tr>
      <w:tr>
        <w:trPr>
          <w:trHeight w:val="206"/>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costs and expenses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31,285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60,482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50,044</w:t>
            </w:r>
          </w:p>
        </w:tc>
      </w:tr>
      <w:tr>
        <w:trPr>
          <w:trHeight w:val="211"/>
        </w:trPr>
        <w:tc>
          <w:tcPr>
            <w:tcW w:w="5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income (loss)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r>
      <w:tr>
        <w:trPr>
          <w:trHeight w:val="212"/>
        </w:trPr>
        <w:tc>
          <w:tcPr>
            <w:tcW w:w="5220" w:type="dxa"/>
            <w:vAlign w:val="bottom"/>
          </w:tcPr>
          <w:p>
            <w:pPr>
              <w:ind w:left="20"/>
              <w:spacing w:after="0"/>
              <w:rPr>
                <w:sz w:val="20"/>
                <w:szCs w:val="20"/>
                <w:color w:val="auto"/>
              </w:rPr>
            </w:pPr>
            <w:r>
              <w:rPr>
                <w:rFonts w:ascii="Arial" w:cs="Arial" w:eastAsia="Arial" w:hAnsi="Arial"/>
                <w:sz w:val="16"/>
                <w:szCs w:val="16"/>
                <w:color w:val="auto"/>
              </w:rPr>
              <w:t>Automotive interest expense</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496</w:t>
            </w:r>
          </w:p>
        </w:tc>
      </w:tr>
      <w:tr>
        <w:trPr>
          <w:trHeight w:val="218"/>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and other non-operating income, net</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r>
      <w:tr>
        <w:trPr>
          <w:trHeight w:val="212"/>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income (Note 7)</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11"/>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r>
      <w:tr>
        <w:trPr>
          <w:trHeight w:val="212"/>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 (Note 14)</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w:t>
            </w:r>
          </w:p>
        </w:tc>
      </w:tr>
      <w:tr>
        <w:trPr>
          <w:trHeight w:val="211"/>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r>
      <w:tr>
        <w:trPr>
          <w:trHeight w:val="212"/>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attributable to noncontrolling interests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23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stockholders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common stockholders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r>
      <w:tr>
        <w:trPr>
          <w:trHeight w:val="54"/>
        </w:trPr>
        <w:tc>
          <w:tcPr>
            <w:tcW w:w="5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15"/>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(loss) per share (Note 17)</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2"/>
        </w:trPr>
        <w:tc>
          <w:tcPr>
            <w:tcW w:w="5220" w:type="dxa"/>
            <w:vAlign w:val="bottom"/>
          </w:tcPr>
          <w:p>
            <w:pPr>
              <w:ind w:left="140"/>
              <w:spacing w:after="0"/>
              <w:rPr>
                <w:sz w:val="20"/>
                <w:szCs w:val="20"/>
                <w:color w:val="auto"/>
              </w:rPr>
            </w:pPr>
            <w:r>
              <w:rPr>
                <w:rFonts w:ascii="Arial" w:cs="Arial" w:eastAsia="Arial" w:hAnsi="Arial"/>
                <w:sz w:val="16"/>
                <w:szCs w:val="16"/>
                <w:color w:val="auto"/>
              </w:rPr>
              <w:t>Basic earnings (loss)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(0.56)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(0.39)</w:t>
            </w:r>
          </w:p>
        </w:tc>
      </w:tr>
      <w:tr>
        <w:trPr>
          <w:trHeight w:val="218"/>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Weighted-average common shares outstanding – basic</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w:t>
            </w:r>
          </w:p>
        </w:tc>
      </w:tr>
      <w:tr>
        <w:trPr>
          <w:trHeight w:val="54"/>
        </w:trPr>
        <w:tc>
          <w:tcPr>
            <w:tcW w:w="5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15"/>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 earnings (loss) per common share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(0.39)</w:t>
            </w:r>
          </w:p>
        </w:tc>
      </w:tr>
      <w:tr>
        <w:trPr>
          <w:trHeight w:val="249"/>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Weighted-average common shares outstanding – diluted</w:t>
            </w:r>
          </w:p>
        </w:tc>
        <w:tc>
          <w:tcPr>
            <w:tcW w:w="22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1,468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1,432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1,466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1,432</w:t>
            </w:r>
          </w:p>
        </w:tc>
      </w:tr>
      <w:tr>
        <w:trPr>
          <w:trHeight w:val="210"/>
        </w:trPr>
        <w:tc>
          <w:tcPr>
            <w:tcW w:w="5220" w:type="dxa"/>
            <w:vAlign w:val="bottom"/>
          </w:tcPr>
          <w:p>
            <w:pPr>
              <w:ind w:left="20"/>
              <w:spacing w:after="0"/>
              <w:rPr>
                <w:sz w:val="20"/>
                <w:szCs w:val="20"/>
                <w:color w:val="auto"/>
              </w:rPr>
            </w:pPr>
            <w:r>
              <w:rPr>
                <w:rFonts w:ascii="Arial" w:cs="Arial" w:eastAsia="Arial" w:hAnsi="Arial"/>
                <w:sz w:val="16"/>
                <w:szCs w:val="16"/>
                <w:b w:val="1"/>
                <w:bCs w:val="1"/>
                <w:color w:val="auto"/>
              </w:rPr>
              <w:t>Dividends declared per common share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0.38</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2740" w:type="dxa"/>
            <w:vAlign w:val="bottom"/>
            <w:gridSpan w:val="4"/>
          </w:tcPr>
          <w:p>
            <w:pPr>
              <w:jc w:val="right"/>
              <w:ind w:right="842"/>
              <w:spacing w:after="0"/>
              <w:rPr>
                <w:sz w:val="20"/>
                <w:szCs w:val="20"/>
                <w:color w:val="auto"/>
              </w:rPr>
            </w:pPr>
            <w:r>
              <w:rPr>
                <w:rFonts w:ascii="Arial" w:cs="Arial" w:eastAsia="Arial" w:hAnsi="Arial"/>
                <w:sz w:val="14"/>
                <w:szCs w:val="14"/>
                <w:b w:val="1"/>
                <w:bCs w:val="1"/>
                <w:color w:val="auto"/>
              </w:rPr>
              <w:t>Six Months Ended</w:t>
            </w:r>
          </w:p>
        </w:tc>
      </w:tr>
      <w:tr>
        <w:trPr>
          <w:trHeight w:val="167"/>
        </w:trPr>
        <w:tc>
          <w:tcPr>
            <w:tcW w:w="5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June 30, 2021</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62"/>
              <w:spacing w:after="0"/>
              <w:rPr>
                <w:sz w:val="20"/>
                <w:szCs w:val="20"/>
                <w:color w:val="auto"/>
              </w:rPr>
            </w:pPr>
            <w:r>
              <w:rPr>
                <w:rFonts w:ascii="Arial" w:cs="Arial" w:eastAsia="Arial" w:hAnsi="Arial"/>
                <w:sz w:val="13"/>
                <w:szCs w:val="13"/>
                <w:b w:val="1"/>
                <w:bCs w:val="1"/>
                <w:color w:val="auto"/>
                <w:w w:val="99"/>
              </w:rPr>
              <w:t>June 30, 2020</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June 30, 2021</w:t>
            </w: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282"/>
              <w:spacing w:after="0"/>
              <w:rPr>
                <w:sz w:val="20"/>
                <w:szCs w:val="20"/>
                <w:color w:val="auto"/>
              </w:rPr>
            </w:pPr>
            <w:r>
              <w:rPr>
                <w:rFonts w:ascii="Arial" w:cs="Arial" w:eastAsia="Arial" w:hAnsi="Arial"/>
                <w:sz w:val="13"/>
                <w:szCs w:val="13"/>
                <w:b w:val="1"/>
                <w:bCs w:val="1"/>
                <w:color w:val="auto"/>
                <w:w w:val="99"/>
              </w:rPr>
              <w:t>June 30, 2020</w:t>
            </w:r>
          </w:p>
        </w:tc>
      </w:tr>
      <w:tr>
        <w:trPr>
          <w:trHeight w:val="215"/>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2,779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5,793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w:t>
            </w:r>
          </w:p>
        </w:tc>
      </w:tr>
      <w:tr>
        <w:trPr>
          <w:trHeight w:val="212"/>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 net of tax (Note 16)</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8"/>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 and other</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w:t>
            </w:r>
          </w:p>
        </w:tc>
      </w:tr>
      <w:tr>
        <w:trPr>
          <w:trHeight w:val="212"/>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Defined benefit plans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r>
      <w:tr>
        <w:trPr>
          <w:trHeight w:val="211"/>
        </w:trPr>
        <w:tc>
          <w:tcPr>
            <w:tcW w:w="5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 (loss), net of tax</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485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w:t>
            </w:r>
          </w:p>
        </w:tc>
      </w:tr>
      <w:tr>
        <w:trPr>
          <w:trHeight w:val="206"/>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24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3,109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(877)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6,278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(1,247)</w:t>
            </w:r>
          </w:p>
        </w:tc>
      </w:tr>
      <w:tr>
        <w:trPr>
          <w:trHeight w:val="215"/>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attributable to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1"/>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 attributable to stockholders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3,166</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6,350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w:t>
            </w:r>
          </w:p>
        </w:tc>
      </w:tr>
      <w:tr>
        <w:trPr>
          <w:trHeight w:val="20"/>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6"/>
                <w:szCs w:val="16"/>
                <w:color w:val="auto"/>
              </w:rPr>
            </w:pPr>
          </w:p>
        </w:tc>
        <w:tc>
          <w:tcPr>
            <w:tcW w:w="1480" w:type="dxa"/>
            <w:vAlign w:val="bottom"/>
          </w:tcPr>
          <w:p>
            <w:pPr>
              <w:jc w:val="right"/>
              <w:ind w:right="160"/>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96"/>
        </w:trPr>
        <w:tc>
          <w:tcPr>
            <w:tcW w:w="7820" w:type="dxa"/>
            <w:vAlign w:val="bottom"/>
          </w:tcPr>
          <w:p>
            <w:pPr>
              <w:ind w:left="36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19,992</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Marketable debt securities (Note 3)</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6,211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9,046</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and notes receivable,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8,035</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GM Financial receivables, net (Note 4; Note 8 at VIEs)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24,444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26,209</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(Note 5)</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10,235</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 (Note 3; Note 8 at VIEs)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7,407</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80,924</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Financial receivables, net (Note 4; Note 8 at VIEs)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31,783</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Equity in net assets of nonconsolidated affiliates (Note 7)</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8,882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8,406</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37,632</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Goodwill and intangible assets, net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5,230</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Equipment on operating leases, net (Note 6; Note 8 at VIEs)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39,819</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22,408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24,136</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 (Note 3; Note 8 at VIEs)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7,264</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non-current assets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159,194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154,270</w:t>
            </w:r>
          </w:p>
        </w:tc>
        <w:tc>
          <w:tcPr>
            <w:tcW w:w="0" w:type="dxa"/>
            <w:vAlign w:val="bottom"/>
          </w:tcPr>
          <w:p>
            <w:pPr>
              <w:spacing w:after="0"/>
              <w:rPr>
                <w:sz w:val="1"/>
                <w:szCs w:val="1"/>
                <w:color w:val="auto"/>
              </w:rPr>
            </w:pPr>
          </w:p>
        </w:tc>
      </w:tr>
      <w:tr>
        <w:trPr>
          <w:trHeight w:val="236"/>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235,194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880"/>
              <w:spacing w:after="0"/>
              <w:rPr>
                <w:sz w:val="20"/>
                <w:szCs w:val="20"/>
                <w:color w:val="auto"/>
              </w:rPr>
            </w:pPr>
            <w:r>
              <w:rPr>
                <w:rFonts w:ascii="Arial" w:cs="Arial" w:eastAsia="Arial" w:hAnsi="Arial"/>
                <w:sz w:val="16"/>
                <w:szCs w:val="16"/>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(principally trade)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19,928</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Short-term debt and current portion of long-term debt (Note 9)</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Automotive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0" w:type="dxa"/>
            <w:vAlign w:val="bottom"/>
          </w:tcPr>
          <w:p>
            <w:pPr>
              <w:spacing w:after="0"/>
              <w:rPr>
                <w:sz w:val="1"/>
                <w:szCs w:val="1"/>
                <w:color w:val="auto"/>
              </w:rPr>
            </w:pPr>
          </w:p>
        </w:tc>
      </w:tr>
      <w:tr>
        <w:trPr>
          <w:trHeight w:val="212"/>
        </w:trPr>
        <w:tc>
          <w:tcPr>
            <w:tcW w:w="7820" w:type="dxa"/>
            <w:vAlign w:val="bottom"/>
          </w:tcPr>
          <w:p>
            <w:pPr>
              <w:ind w:left="260"/>
              <w:spacing w:after="0"/>
              <w:rPr>
                <w:sz w:val="20"/>
                <w:szCs w:val="20"/>
                <w:color w:val="auto"/>
              </w:rPr>
            </w:pPr>
            <w:r>
              <w:rPr>
                <w:rFonts w:ascii="Arial" w:cs="Arial" w:eastAsia="Arial" w:hAnsi="Arial"/>
                <w:sz w:val="16"/>
                <w:szCs w:val="16"/>
                <w:color w:val="auto"/>
              </w:rPr>
              <w:t>GM Financial (Note 8 at VIEs)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33,294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35,637</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 (Note 11)</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19,190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23,069</w:t>
            </w:r>
          </w:p>
        </w:tc>
        <w:tc>
          <w:tcPr>
            <w:tcW w:w="0" w:type="dxa"/>
            <w:vAlign w:val="bottom"/>
          </w:tcPr>
          <w:p>
            <w:pPr>
              <w:spacing w:after="0"/>
              <w:rPr>
                <w:sz w:val="1"/>
                <w:szCs w:val="1"/>
                <w:color w:val="auto"/>
              </w:rPr>
            </w:pPr>
          </w:p>
        </w:tc>
      </w:tr>
      <w:tr>
        <w:trPr>
          <w:trHeight w:val="206"/>
        </w:trPr>
        <w:tc>
          <w:tcPr>
            <w:tcW w:w="7820" w:type="dxa"/>
            <w:vAlign w:val="bottom"/>
          </w:tcPr>
          <w:p>
            <w:pPr>
              <w:ind w:left="140"/>
              <w:spacing w:after="0"/>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74,811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79,910</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Long-term debt (Note 9)</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Automotive</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16,193</w:t>
            </w:r>
          </w:p>
        </w:tc>
        <w:tc>
          <w:tcPr>
            <w:tcW w:w="0" w:type="dxa"/>
            <w:vAlign w:val="bottom"/>
          </w:tcPr>
          <w:p>
            <w:pPr>
              <w:spacing w:after="0"/>
              <w:rPr>
                <w:sz w:val="1"/>
                <w:szCs w:val="1"/>
                <w:color w:val="auto"/>
              </w:rPr>
            </w:pPr>
          </w:p>
        </w:tc>
      </w:tr>
      <w:tr>
        <w:trPr>
          <w:trHeight w:val="212"/>
        </w:trPr>
        <w:tc>
          <w:tcPr>
            <w:tcW w:w="7820" w:type="dxa"/>
            <w:vAlign w:val="bottom"/>
          </w:tcPr>
          <w:p>
            <w:pPr>
              <w:ind w:left="260"/>
              <w:spacing w:after="0"/>
              <w:rPr>
                <w:sz w:val="20"/>
                <w:szCs w:val="20"/>
                <w:color w:val="auto"/>
              </w:rPr>
            </w:pPr>
            <w:r>
              <w:rPr>
                <w:rFonts w:ascii="Arial" w:cs="Arial" w:eastAsia="Arial" w:hAnsi="Arial"/>
                <w:sz w:val="16"/>
                <w:szCs w:val="16"/>
                <w:color w:val="auto"/>
              </w:rPr>
              <w:t>GM Financial (Note 8 at VIEs)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60,276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56,788</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Postretirement benefits other than pensions (Note 12)</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6,277</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Pensions (Note 12)</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11,564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12,902</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 (Note 11)</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14,652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13,447</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non-current liabilities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109,116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105,607</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183,927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185,517</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color w:val="auto"/>
              </w:rPr>
              <w:t>Commitments and contingencies (Note 13)</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Equity (Note 16)</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Common stock, $0.01 par value</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26,542</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37,806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31,962</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(12,996)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(13,488)</w:t>
            </w:r>
          </w:p>
        </w:tc>
        <w:tc>
          <w:tcPr>
            <w:tcW w:w="0" w:type="dxa"/>
            <w:vAlign w:val="bottom"/>
          </w:tcPr>
          <w:p>
            <w:pPr>
              <w:spacing w:after="0"/>
              <w:rPr>
                <w:sz w:val="1"/>
                <w:szCs w:val="1"/>
                <w:color w:val="auto"/>
              </w:rPr>
            </w:pPr>
          </w:p>
        </w:tc>
      </w:tr>
      <w:tr>
        <w:trPr>
          <w:trHeight w:val="206"/>
        </w:trPr>
        <w:tc>
          <w:tcPr>
            <w:tcW w:w="7820" w:type="dxa"/>
            <w:vAlign w:val="bottom"/>
          </w:tcPr>
          <w:p>
            <w:pPr>
              <w:ind w:left="140"/>
              <w:spacing w:after="0"/>
              <w:rPr>
                <w:sz w:val="20"/>
                <w:szCs w:val="20"/>
                <w:color w:val="auto"/>
              </w:rPr>
            </w:pPr>
            <w:r>
              <w:rPr>
                <w:rFonts w:ascii="Arial" w:cs="Arial" w:eastAsia="Arial" w:hAnsi="Arial"/>
                <w:sz w:val="16"/>
                <w:szCs w:val="16"/>
                <w:color w:val="auto"/>
              </w:rPr>
              <w:t>Total stockholders’ equity</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51,669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45,030</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6,207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4,647</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57,876</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49,677</w:t>
            </w:r>
          </w:p>
        </w:tc>
        <w:tc>
          <w:tcPr>
            <w:tcW w:w="0" w:type="dxa"/>
            <w:vAlign w:val="bottom"/>
          </w:tcPr>
          <w:p>
            <w:pPr>
              <w:spacing w:after="0"/>
              <w:rPr>
                <w:sz w:val="1"/>
                <w:szCs w:val="1"/>
                <w:color w:val="auto"/>
              </w:rPr>
            </w:pPr>
          </w:p>
        </w:tc>
      </w:tr>
      <w:tr>
        <w:trPr>
          <w:trHeight w:val="236"/>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235,194</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106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Pr>
          <w:p>
            <w:pPr>
              <w:spacing w:after="0"/>
              <w:rPr>
                <w:sz w:val="16"/>
                <w:szCs w:val="16"/>
                <w:color w:val="auto"/>
              </w:rPr>
            </w:pPr>
          </w:p>
        </w:tc>
        <w:tc>
          <w:tcPr>
            <w:tcW w:w="1400" w:type="dxa"/>
            <w:vAlign w:val="bottom"/>
          </w:tcPr>
          <w:p>
            <w:pPr>
              <w:jc w:val="right"/>
              <w:ind w:right="340"/>
              <w:spacing w:after="0"/>
              <w:rPr>
                <w:sz w:val="20"/>
                <w:szCs w:val="20"/>
                <w:color w:val="auto"/>
              </w:rPr>
            </w:pPr>
            <w:r>
              <w:rPr>
                <w:rFonts w:ascii="Arial" w:cs="Arial" w:eastAsia="Arial" w:hAnsi="Arial"/>
                <w:sz w:val="14"/>
                <w:szCs w:val="14"/>
                <w:b w:val="1"/>
                <w:bCs w:val="1"/>
                <w:color w:val="auto"/>
              </w:rPr>
              <w:t>June 30, 2020</w:t>
            </w:r>
          </w:p>
        </w:tc>
      </w:tr>
      <w:tr>
        <w:trPr>
          <w:trHeight w:val="195"/>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(loss)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Depreciation and impairment of Equipment on operating leases, net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3,759</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amortization and impairment charges on Property,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2,814</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Foreign currency remeasurement and transaction (gains)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Undistributed earnings of nonconsolidated affiliates,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Pension contributions and OPEB payments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(327)</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and OPEB income,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Provision (benefit) for deferred taxes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other operating assets and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(6,847)</w:t>
            </w:r>
          </w:p>
        </w:tc>
      </w:tr>
      <w:tr>
        <w:trPr>
          <w:trHeight w:val="206"/>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8,428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(1,254)</w:t>
            </w: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Expenditures for property</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(2,336)</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Available-for-sale marketable securities, acquisitions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(7,656)</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Available-for-sale marketable securities, liquidations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6,926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3,694</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finance receivables,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(14,929)</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Principal collections and recoveries on finance receivables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11,946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9,563</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leased vehicles,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(6,054)</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Proceeds from termination of leased vehicles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10,868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5,537</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06"/>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(7,010)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(12,336)</w:t>
            </w: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Net increase in short-term debt</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846</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debt (original maturities greater than three months)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53,465</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Payments on debt (original maturities greater than three months)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(27,035)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(29,512)</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subsidiary preferred stock (Note 16)</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(592)</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r>
      <w:tr>
        <w:trPr>
          <w:trHeight w:val="206"/>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financing activities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23,716</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(429)</w:t>
            </w:r>
          </w:p>
        </w:tc>
      </w:tr>
      <w:tr>
        <w:trPr>
          <w:trHeight w:val="206"/>
        </w:trPr>
        <w:tc>
          <w:tcPr>
            <w:tcW w:w="7820" w:type="dxa"/>
            <w:vAlign w:val="bottom"/>
          </w:tcPr>
          <w:p>
            <w:pPr>
              <w:ind w:left="140"/>
              <w:spacing w:after="0"/>
              <w:rPr>
                <w:sz w:val="20"/>
                <w:szCs w:val="20"/>
                <w:color w:val="auto"/>
              </w:rPr>
            </w:pPr>
            <w:r>
              <w:rPr>
                <w:rFonts w:ascii="Arial" w:cs="Arial" w:eastAsia="Arial" w:hAnsi="Arial"/>
                <w:sz w:val="16"/>
                <w:szCs w:val="16"/>
                <w:color w:val="auto"/>
              </w:rPr>
              <w:t>Net increase in cash, cash equivalents and restricted cash</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4,248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9,697</w:t>
            </w: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23,117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22,943</w:t>
            </w: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27,365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32,640</w:t>
            </w:r>
          </w:p>
        </w:tc>
      </w:tr>
      <w:tr>
        <w:trPr>
          <w:trHeight w:val="46"/>
        </w:trPr>
        <w:tc>
          <w:tcPr>
            <w:tcW w:w="78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12"/>
        </w:trPr>
        <w:tc>
          <w:tcPr>
            <w:tcW w:w="7820" w:type="dxa"/>
            <w:vAlign w:val="bottom"/>
            <w:tcBorders>
              <w:top w:val="single" w:sz="8" w:color="CCEEFF"/>
            </w:tcBorders>
          </w:tcPr>
          <w:p>
            <w:pPr>
              <w:ind w:left="20"/>
              <w:spacing w:after="0"/>
              <w:rPr>
                <w:sz w:val="20"/>
                <w:szCs w:val="20"/>
                <w:color w:val="auto"/>
              </w:rPr>
            </w:pPr>
            <w:r>
              <w:rPr>
                <w:rFonts w:ascii="Arial" w:cs="Arial" w:eastAsia="Arial" w:hAnsi="Arial"/>
                <w:sz w:val="16"/>
                <w:szCs w:val="16"/>
                <w:b w:val="1"/>
                <w:bCs w:val="1"/>
                <w:color w:val="auto"/>
              </w:rPr>
              <w:t>Significant Non-cash Investing and Financing Activity</w:t>
            </w:r>
          </w:p>
        </w:tc>
        <w:tc>
          <w:tcPr>
            <w:tcW w:w="2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property additions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1,773</w:t>
            </w: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(Unaudited)</w:t>
      </w:r>
    </w:p>
    <w:p>
      <w:pPr>
        <w:spacing w:after="0" w:line="133" w:lineRule="exact"/>
        <w:rPr>
          <w:sz w:val="20"/>
          <w:szCs w:val="20"/>
          <w:color w:val="auto"/>
        </w:rPr>
      </w:pPr>
    </w:p>
    <w:tbl>
      <w:tblPr>
        <w:tblLayout w:type="fixed"/>
        <w:tblInd w:w="60" w:type="dxa"/>
        <w:tblCellMar>
          <w:top w:w="0" w:type="dxa"/>
          <w:left w:w="0" w:type="dxa"/>
          <w:bottom w:w="0" w:type="dxa"/>
          <w:right w:w="0" w:type="dxa"/>
        </w:tblCellMar>
      </w:tblPr>
      <w:tr>
        <w:trPr>
          <w:trHeight w:val="191"/>
        </w:trPr>
        <w:tc>
          <w:tcPr>
            <w:tcW w:w="4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Common Stockholders’</w:t>
            </w: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8"/>
        </w:trPr>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4"/>
                <w:szCs w:val="24"/>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24"/>
                <w:szCs w:val="24"/>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Comprehensive Loss</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Interests</w:t>
            </w: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26,074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26,860</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(11,156)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4,165</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45,957</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Adoption of accounting standards</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subsidiary preferred stock</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Purchase of common stock</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Cash dividends paid on common stock</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to noncontrolling interests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8"/>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26,014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25,885</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(11,800)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4,204</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44,317</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(758)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(780)</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Issuance of subsidiary preferred stock</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8"/>
        </w:trPr>
        <w:tc>
          <w:tcPr>
            <w:tcW w:w="4260" w:type="dxa"/>
            <w:vAlign w:val="bottom"/>
          </w:tcPr>
          <w:p>
            <w:pPr>
              <w:ind w:left="20"/>
              <w:spacing w:after="0" w:line="168" w:lineRule="exact"/>
              <w:rPr>
                <w:sz w:val="20"/>
                <w:szCs w:val="20"/>
                <w:color w:val="auto"/>
              </w:rPr>
            </w:pPr>
            <w:r>
              <w:rPr>
                <w:rFonts w:ascii="Arial" w:cs="Arial" w:eastAsia="Arial" w:hAnsi="Arial"/>
                <w:sz w:val="16"/>
                <w:szCs w:val="16"/>
                <w:b w:val="1"/>
                <w:bCs w:val="1"/>
                <w:color w:val="auto"/>
              </w:rPr>
              <w:t>Balance at June 30,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26,087</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25,104</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(11,901)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4,189</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43,493</w:t>
            </w:r>
          </w:p>
        </w:tc>
        <w:tc>
          <w:tcPr>
            <w:tcW w:w="0" w:type="dxa"/>
            <w:vAlign w:val="bottom"/>
          </w:tcPr>
          <w:p>
            <w:pPr>
              <w:spacing w:after="0"/>
              <w:rPr>
                <w:sz w:val="1"/>
                <w:szCs w:val="1"/>
                <w:color w:val="auto"/>
              </w:rPr>
            </w:pP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b w:val="1"/>
                <w:bCs w:val="1"/>
                <w:color w:val="auto"/>
              </w:rPr>
              <w:t>Balance at January 1, 2021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26,542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31,962</w:t>
            </w:r>
          </w:p>
        </w:tc>
        <w:tc>
          <w:tcPr>
            <w:tcW w:w="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(13,488)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4,647</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49,677</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3,022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3,014</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subsidiary preferred stock (Note 16)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1,537</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Stock based compensation</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to noncontrolling interests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8"/>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26,667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34,988</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(13,326)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6,100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54,443</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2,836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2,779</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Issuance of subsidiary preferred stock (Note 16)</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12"/>
        </w:trPr>
        <w:tc>
          <w:tcPr>
            <w:tcW w:w="426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2"/>
        </w:trPr>
        <w:tc>
          <w:tcPr>
            <w:tcW w:w="4260" w:type="dxa"/>
            <w:vAlign w:val="bottom"/>
          </w:tcPr>
          <w:p>
            <w:pPr>
              <w:ind w:left="20"/>
              <w:spacing w:after="0" w:line="181" w:lineRule="exact"/>
              <w:rPr>
                <w:sz w:val="20"/>
                <w:szCs w:val="20"/>
                <w:color w:val="auto"/>
              </w:rPr>
            </w:pPr>
            <w:r>
              <w:rPr>
                <w:rFonts w:ascii="Arial" w:cs="Arial" w:eastAsia="Arial" w:hAnsi="Arial"/>
                <w:sz w:val="16"/>
                <w:szCs w:val="16"/>
                <w:b w:val="1"/>
                <w:bCs w:val="1"/>
                <w:color w:val="auto"/>
              </w:rPr>
              <w:t>Balance at June 30, 2021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26,844</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37,806</w:t>
            </w:r>
          </w:p>
        </w:tc>
        <w:tc>
          <w:tcPr>
            <w:tcW w:w="100" w:type="dxa"/>
            <w:vAlign w:val="bottom"/>
          </w:tcPr>
          <w:p>
            <w:pPr>
              <w:spacing w:after="0"/>
              <w:rPr>
                <w:sz w:val="15"/>
                <w:szCs w:val="15"/>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(12,996)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6,207</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57,876</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106" w:lineRule="exact"/>
        <w:rPr>
          <w:sz w:val="20"/>
          <w:szCs w:val="20"/>
          <w:color w:val="auto"/>
        </w:rPr>
      </w:pPr>
    </w:p>
    <w:p>
      <w:pPr>
        <w:jc w:val="both"/>
        <w:ind w:firstLine="161"/>
        <w:spacing w:after="0" w:line="257" w:lineRule="auto"/>
        <w:rPr>
          <w:sz w:val="20"/>
          <w:szCs w:val="20"/>
          <w:color w:val="auto"/>
        </w:rPr>
      </w:pPr>
      <w:r>
        <w:rPr>
          <w:rFonts w:ascii="Arial" w:cs="Arial" w:eastAsia="Arial" w:hAnsi="Arial"/>
          <w:sz w:val="16"/>
          <w:szCs w:val="16"/>
          <w:color w:val="auto"/>
        </w:rPr>
        <w:t>General Motors Company (sometimes referred to in this Quarterly Report on Form 10-Q as we, our, us, ourselves, the Company, General Motors or GM) designs, builds and sells trucks, crossovers, cars and automobile parts worldwide and is investing in and growing an autonomous vehicle business. We also provide automotive financing services through General Motors Financial Company, Inc. (GM Financial). We analyze the results of our operations through the following segments: GM North America (GMNA), GM International (GMI), Cruise, and GM Financial. Cruise is our global segment responsible for the development and commercialization of autonomous vehicle technology. Nonsegment operations are classified as Corporate. Corporate includes certain centrally recorded income and costs such as interest, income taxes, corporate expenditures and certain nonsegment-specific revenues and expenses.</w:t>
      </w:r>
    </w:p>
    <w:p>
      <w:pPr>
        <w:spacing w:after="0" w:line="202"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color w:val="auto"/>
        </w:rPr>
        <w:t>The condensed consolidated financial statements have been prepared in conformity with U.S. GAAP pursuant to the rules and regulations of the Securities and Exchange Commission (SEC) for interim financial information. Accordingly, they do not include all of the information and notes required by U.S. GAAP for complete financial statements. The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2020 Form 10-K. Except for per share amounts or as otherwise specified, amounts presented within tables are stated in millions.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We consolidate entities that we control due to ownership of a majority voting interest and we consolidate variable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(VIEs) when we are the primary beneficiary. All intercompany balances and transactions have been eliminated in consolidation.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GM Financial </w:t>
      </w:r>
      <w:r>
        <w:rPr>
          <w:rFonts w:ascii="Arial" w:cs="Arial" w:eastAsia="Arial" w:hAnsi="Arial"/>
          <w:sz w:val="18"/>
          <w:szCs w:val="18"/>
          <w:color w:val="auto"/>
        </w:rPr>
        <w:t>The amounts presented for GM Financial have been adjusted to reflect the impact on GM Financial's deferred tax positions and provision for</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resulting from the inclusion of GM Financial in our consolidated tax return and to eliminate the effect of transactions between GM Financial and the other members of the consolidated group. Accordingly, the amounts presented will differ from those presented by GM Financial on a stand-alone basis.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disaggregates our revenue by major source: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Three Months Ended June 30, 2021</w:t>
            </w:r>
          </w:p>
        </w:tc>
        <w:tc>
          <w:tcPr>
            <w:tcW w:w="8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GMNA</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GMI</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ind w:left="240"/>
              <w:spacing w:after="0" w:line="134"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Cruise</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180"/>
              <w:spacing w:after="0" w:line="134" w:lineRule="exact"/>
              <w:rPr>
                <w:sz w:val="20"/>
                <w:szCs w:val="20"/>
                <w:color w:val="auto"/>
              </w:rPr>
            </w:pPr>
            <w:r>
              <w:rPr>
                <w:rFonts w:ascii="Arial" w:cs="Arial" w:eastAsia="Arial" w:hAnsi="Arial"/>
                <w:sz w:val="14"/>
                <w:szCs w:val="14"/>
                <w:b w:val="1"/>
                <w:bCs w:val="1"/>
                <w:color w:val="auto"/>
              </w:rPr>
              <w:t>GM</w:t>
            </w:r>
          </w:p>
        </w:tc>
        <w:tc>
          <w:tcPr>
            <w:tcW w:w="1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Eliminations/Reclassifications</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7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6"/>
              </w:rPr>
              <w:t>Automotive</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2"/>
              </w:rPr>
              <w:t>Financial</w:t>
            </w:r>
          </w:p>
        </w:tc>
        <w:tc>
          <w:tcPr>
            <w:tcW w:w="12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29,470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29,470</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Services and other</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1,125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27,932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30,745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ind w:left="30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30,744</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2,304</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1,036</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1,036</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Arial" w:cs="Arial" w:eastAsia="Arial" w:hAnsi="Arial"/>
                <w:sz w:val="16"/>
                <w:szCs w:val="16"/>
                <w:color w:val="auto"/>
              </w:rPr>
              <w:t>GM Financial net sales and revenue</w:t>
            </w: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3,426</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3,423</w:t>
            </w:r>
          </w:p>
        </w:tc>
        <w:tc>
          <w:tcPr>
            <w:tcW w:w="0" w:type="dxa"/>
            <w:vAlign w:val="bottom"/>
          </w:tcPr>
          <w:p>
            <w:pPr>
              <w:spacing w:after="0"/>
              <w:rPr>
                <w:sz w:val="1"/>
                <w:szCs w:val="1"/>
                <w:color w:val="auto"/>
              </w:rPr>
            </w:pPr>
          </w:p>
        </w:tc>
      </w:tr>
      <w:tr>
        <w:trPr>
          <w:trHeight w:val="236"/>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27,932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30,745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34,167</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259715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8"/>
          </w:tcPr>
          <w:p>
            <w:pPr>
              <w:jc w:val="center"/>
              <w:ind w:right="540"/>
              <w:spacing w:after="0"/>
              <w:rPr>
                <w:sz w:val="20"/>
                <w:szCs w:val="20"/>
                <w:color w:val="auto"/>
              </w:rPr>
            </w:pPr>
            <w:r>
              <w:rPr>
                <w:rFonts w:ascii="Arial" w:cs="Arial" w:eastAsia="Arial" w:hAnsi="Arial"/>
                <w:sz w:val="14"/>
                <w:szCs w:val="14"/>
                <w:b w:val="1"/>
                <w:bCs w:val="1"/>
                <w:color w:val="auto"/>
                <w:w w:val="92"/>
              </w:rPr>
              <w:t>Three Months Ended June 30, 2020</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GMNA</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GMI</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ind w:left="240"/>
              <w:spacing w:after="0" w:line="134"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rPr>
              <w:t>Cruise</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180"/>
              <w:spacing w:after="0" w:line="134" w:lineRule="exact"/>
              <w:rPr>
                <w:sz w:val="20"/>
                <w:szCs w:val="20"/>
                <w:color w:val="auto"/>
              </w:rPr>
            </w:pPr>
            <w:r>
              <w:rPr>
                <w:rFonts w:ascii="Arial" w:cs="Arial" w:eastAsia="Arial" w:hAnsi="Arial"/>
                <w:sz w:val="14"/>
                <w:szCs w:val="14"/>
                <w:b w:val="1"/>
                <w:bCs w:val="1"/>
                <w:color w:val="auto"/>
              </w:rPr>
              <w:t>GM</w:t>
            </w:r>
          </w:p>
        </w:tc>
        <w:tc>
          <w:tcPr>
            <w:tcW w:w="160" w:type="dxa"/>
            <w:vAlign w:val="bottom"/>
          </w:tcPr>
          <w:p>
            <w:pPr>
              <w:spacing w:after="0"/>
              <w:rPr>
                <w:sz w:val="11"/>
                <w:szCs w:val="11"/>
                <w:color w:val="auto"/>
              </w:rPr>
            </w:pPr>
          </w:p>
        </w:tc>
        <w:tc>
          <w:tcPr>
            <w:tcW w:w="1400" w:type="dxa"/>
            <w:vAlign w:val="bottom"/>
            <w:gridSpan w:val="2"/>
          </w:tcPr>
          <w:p>
            <w:pPr>
              <w:ind w:left="160"/>
              <w:spacing w:after="0" w:line="134" w:lineRule="exact"/>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1"/>
                <w:szCs w:val="11"/>
                <w:color w:val="auto"/>
              </w:rPr>
            </w:pPr>
          </w:p>
        </w:tc>
        <w:tc>
          <w:tcPr>
            <w:tcW w:w="68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0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6"/>
              </w:rPr>
              <w:t>Automotive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w w:val="95"/>
              </w:rPr>
              <w:t>Financial</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2"/>
              </w:rPr>
              <w:t>Reclassifications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12,289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12,289</w:t>
            </w:r>
          </w:p>
        </w:tc>
        <w:tc>
          <w:tcPr>
            <w:tcW w:w="0" w:type="dxa"/>
            <w:vAlign w:val="bottom"/>
          </w:tcPr>
          <w:p>
            <w:pPr>
              <w:spacing w:after="0"/>
              <w:rPr>
                <w:sz w:val="1"/>
                <w:szCs w:val="1"/>
                <w:color w:val="auto"/>
              </w:rPr>
            </w:pPr>
          </w:p>
        </w:tc>
      </w:tr>
      <w:tr>
        <w:trPr>
          <w:trHeight w:val="212"/>
        </w:trPr>
        <w:tc>
          <w:tcPr>
            <w:tcW w:w="302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Services and other</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925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206"/>
        </w:trPr>
        <w:tc>
          <w:tcPr>
            <w:tcW w:w="3020" w:type="dxa"/>
            <w:vAlign w:val="bottom"/>
          </w:tcPr>
          <w:p>
            <w:pPr>
              <w:ind w:left="14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11,604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13,361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ind w:left="32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13,363</w:t>
            </w: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w:t>
            </w:r>
          </w:p>
        </w:tc>
        <w:tc>
          <w:tcPr>
            <w:tcW w:w="0" w:type="dxa"/>
            <w:vAlign w:val="bottom"/>
          </w:tcPr>
          <w:p>
            <w:pPr>
              <w:spacing w:after="0"/>
              <w:rPr>
                <w:sz w:val="1"/>
                <w:szCs w:val="1"/>
                <w:color w:val="auto"/>
              </w:rPr>
            </w:pPr>
          </w:p>
        </w:tc>
      </w:tr>
      <w:tr>
        <w:trPr>
          <w:trHeight w:val="212"/>
        </w:trPr>
        <w:tc>
          <w:tcPr>
            <w:tcW w:w="302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966</w:t>
            </w: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6"/>
        </w:trPr>
        <w:tc>
          <w:tcPr>
            <w:tcW w:w="3020" w:type="dxa"/>
            <w:vAlign w:val="bottom"/>
          </w:tcPr>
          <w:p>
            <w:pPr>
              <w:ind w:left="140"/>
              <w:spacing w:after="0"/>
              <w:rPr>
                <w:sz w:val="20"/>
                <w:szCs w:val="20"/>
                <w:color w:val="auto"/>
              </w:rPr>
            </w:pPr>
            <w:r>
              <w:rPr>
                <w:rFonts w:ascii="Arial" w:cs="Arial" w:eastAsia="Arial" w:hAnsi="Arial"/>
                <w:sz w:val="16"/>
                <w:szCs w:val="16"/>
                <w:color w:val="auto"/>
              </w:rPr>
              <w:t>GM Financial net sales and revenue</w:t>
            </w:r>
          </w:p>
        </w:tc>
        <w:tc>
          <w:tcPr>
            <w:tcW w:w="14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4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3,415</w:t>
            </w:r>
          </w:p>
        </w:tc>
        <w:tc>
          <w:tcPr>
            <w:tcW w:w="0" w:type="dxa"/>
            <w:vAlign w:val="bottom"/>
          </w:tcPr>
          <w:p>
            <w:pPr>
              <w:spacing w:after="0"/>
              <w:rPr>
                <w:sz w:val="1"/>
                <w:szCs w:val="1"/>
                <w:color w:val="auto"/>
              </w:rPr>
            </w:pPr>
          </w:p>
        </w:tc>
      </w:tr>
      <w:tr>
        <w:trPr>
          <w:trHeight w:val="236"/>
        </w:trPr>
        <w:tc>
          <w:tcPr>
            <w:tcW w:w="3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13,361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16,778</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9"/>
          </w:tcPr>
          <w:p>
            <w:pPr>
              <w:jc w:val="right"/>
              <w:ind w:right="162"/>
              <w:spacing w:after="0"/>
              <w:rPr>
                <w:sz w:val="20"/>
                <w:szCs w:val="20"/>
                <w:color w:val="auto"/>
              </w:rPr>
            </w:pPr>
            <w:r>
              <w:rPr>
                <w:rFonts w:ascii="Arial" w:cs="Arial" w:eastAsia="Arial" w:hAnsi="Arial"/>
                <w:sz w:val="14"/>
                <w:szCs w:val="14"/>
                <w:b w:val="1"/>
                <w:bCs w:val="1"/>
                <w:color w:val="auto"/>
                <w:w w:val="91"/>
              </w:rPr>
              <w:t>Six Months Ended June 30, 2021</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GMNA</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GMI</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vMerge w:val="restart"/>
          </w:tcPr>
          <w:p>
            <w:pPr>
              <w:jc w:val="right"/>
              <w:ind w:right="41"/>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281"/>
              <w:spacing w:after="0" w:line="134"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6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Cruise</w:t>
            </w:r>
          </w:p>
        </w:tc>
        <w:tc>
          <w:tcPr>
            <w:tcW w:w="100" w:type="dxa"/>
            <w:vAlign w:val="bottom"/>
            <w:vMerge w:val="restart"/>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gridSpan w:val="2"/>
          </w:tcPr>
          <w:p>
            <w:pPr>
              <w:jc w:val="center"/>
              <w:ind w:right="142"/>
              <w:spacing w:after="0" w:line="134" w:lineRule="exact"/>
              <w:rPr>
                <w:sz w:val="20"/>
                <w:szCs w:val="20"/>
                <w:color w:val="auto"/>
              </w:rPr>
            </w:pPr>
            <w:r>
              <w:rPr>
                <w:rFonts w:ascii="Arial" w:cs="Arial" w:eastAsia="Arial" w:hAnsi="Arial"/>
                <w:sz w:val="14"/>
                <w:szCs w:val="14"/>
                <w:b w:val="1"/>
                <w:bCs w:val="1"/>
                <w:color w:val="auto"/>
              </w:rPr>
              <w:t>GM</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0"/>
              </w:rPr>
              <w:t>Eliminations/Reclassifications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7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4"/>
          </w:tcPr>
          <w:p>
            <w:pPr>
              <w:jc w:val="right"/>
              <w:ind w:right="81"/>
              <w:spacing w:after="0"/>
              <w:rPr>
                <w:sz w:val="20"/>
                <w:szCs w:val="20"/>
                <w:color w:val="auto"/>
              </w:rPr>
            </w:pPr>
            <w:r>
              <w:rPr>
                <w:rFonts w:ascii="Arial" w:cs="Arial" w:eastAsia="Arial" w:hAnsi="Arial"/>
                <w:sz w:val="14"/>
                <w:szCs w:val="14"/>
                <w:b w:val="1"/>
                <w:bCs w:val="1"/>
                <w:color w:val="auto"/>
                <w:w w:val="90"/>
              </w:rPr>
              <w:t>Automotive</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gridSpan w:val="5"/>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51,913</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5,276</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57,191</w:t>
            </w:r>
          </w:p>
        </w:tc>
        <w:tc>
          <w:tcPr>
            <w:tcW w:w="34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57,191</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365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Services and other</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1,611</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576</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ind w:right="1"/>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2,229</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53,889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5,878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3"/>
          </w:tcPr>
          <w:p>
            <w:pPr>
              <w:jc w:val="right"/>
              <w:ind w:right="1"/>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59,807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59,811</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4,625</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2,052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2,052</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GM Financial net sales and revenue</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6,833</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6,830</w:t>
            </w:r>
          </w:p>
        </w:tc>
        <w:tc>
          <w:tcPr>
            <w:tcW w:w="0" w:type="dxa"/>
            <w:vAlign w:val="bottom"/>
          </w:tcPr>
          <w:p>
            <w:pPr>
              <w:spacing w:after="0"/>
              <w:rPr>
                <w:sz w:val="1"/>
                <w:szCs w:val="1"/>
                <w:color w:val="auto"/>
              </w:rPr>
            </w:pPr>
          </w:p>
        </w:tc>
      </w:tr>
      <w:tr>
        <w:trPr>
          <w:trHeight w:val="231"/>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53,889</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5,878</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gridSpan w:val="3"/>
            <w:shd w:val="clear" w:color="auto" w:fill="CCEEFF"/>
          </w:tcPr>
          <w:p>
            <w:pPr>
              <w:jc w:val="right"/>
              <w:ind w:right="1"/>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59,807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6,833</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66,641</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9"/>
          </w:tcPr>
          <w:p>
            <w:pPr>
              <w:jc w:val="right"/>
              <w:ind w:right="42"/>
              <w:spacing w:after="0"/>
              <w:rPr>
                <w:sz w:val="20"/>
                <w:szCs w:val="20"/>
                <w:color w:val="auto"/>
              </w:rPr>
            </w:pPr>
            <w:r>
              <w:rPr>
                <w:rFonts w:ascii="Arial" w:cs="Arial" w:eastAsia="Arial" w:hAnsi="Arial"/>
                <w:sz w:val="14"/>
                <w:szCs w:val="14"/>
                <w:b w:val="1"/>
                <w:bCs w:val="1"/>
                <w:color w:val="auto"/>
                <w:w w:val="97"/>
              </w:rPr>
              <w:t>Six Months Ended June 30, 2020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4"/>
            <w:vMerge w:val="restart"/>
          </w:tcPr>
          <w:p>
            <w:pPr>
              <w:jc w:val="right"/>
              <w:ind w:right="119"/>
              <w:spacing w:after="0"/>
              <w:rPr>
                <w:sz w:val="20"/>
                <w:szCs w:val="20"/>
                <w:color w:val="auto"/>
              </w:rPr>
            </w:pPr>
            <w:r>
              <w:rPr>
                <w:rFonts w:ascii="Arial" w:cs="Arial" w:eastAsia="Arial" w:hAnsi="Arial"/>
                <w:sz w:val="14"/>
                <w:szCs w:val="14"/>
                <w:b w:val="1"/>
                <w:bCs w:val="1"/>
                <w:color w:val="auto"/>
              </w:rPr>
              <w:t>GMNA</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4"/>
            <w:vMerge w:val="restart"/>
          </w:tcPr>
          <w:p>
            <w:pPr>
              <w:jc w:val="right"/>
              <w:ind w:right="99"/>
              <w:spacing w:after="0"/>
              <w:rPr>
                <w:sz w:val="20"/>
                <w:szCs w:val="20"/>
                <w:color w:val="auto"/>
              </w:rPr>
            </w:pPr>
            <w:r>
              <w:rPr>
                <w:rFonts w:ascii="Arial" w:cs="Arial" w:eastAsia="Arial" w:hAnsi="Arial"/>
                <w:sz w:val="14"/>
                <w:szCs w:val="14"/>
                <w:b w:val="1"/>
                <w:bCs w:val="1"/>
                <w:color w:val="auto"/>
              </w:rPr>
              <w:t>GMI</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Corporate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Cruise</w:t>
            </w:r>
          </w:p>
        </w:tc>
        <w:tc>
          <w:tcPr>
            <w:tcW w:w="100" w:type="dxa"/>
            <w:vAlign w:val="bottom"/>
          </w:tcPr>
          <w:p>
            <w:pPr>
              <w:spacing w:after="0"/>
              <w:rPr>
                <w:sz w:val="11"/>
                <w:szCs w:val="11"/>
                <w:color w:val="auto"/>
              </w:rPr>
            </w:pPr>
          </w:p>
        </w:tc>
        <w:tc>
          <w:tcPr>
            <w:tcW w:w="980" w:type="dxa"/>
            <w:vAlign w:val="bottom"/>
            <w:gridSpan w:val="5"/>
          </w:tcPr>
          <w:p>
            <w:pPr>
              <w:ind w:left="320"/>
              <w:spacing w:after="0" w:line="134" w:lineRule="exact"/>
              <w:rPr>
                <w:sz w:val="20"/>
                <w:szCs w:val="20"/>
                <w:color w:val="auto"/>
              </w:rPr>
            </w:pPr>
            <w:r>
              <w:rPr>
                <w:rFonts w:ascii="Arial" w:cs="Arial" w:eastAsia="Arial" w:hAnsi="Arial"/>
                <w:sz w:val="14"/>
                <w:szCs w:val="14"/>
                <w:b w:val="1"/>
                <w:bCs w:val="1"/>
                <w:color w:val="auto"/>
              </w:rPr>
              <w:t>GM</w:t>
            </w:r>
          </w:p>
        </w:tc>
        <w:tc>
          <w:tcPr>
            <w:tcW w:w="160" w:type="dxa"/>
            <w:vAlign w:val="bottom"/>
          </w:tcPr>
          <w:p>
            <w:pPr>
              <w:spacing w:after="0"/>
              <w:rPr>
                <w:sz w:val="11"/>
                <w:szCs w:val="11"/>
                <w:color w:val="auto"/>
              </w:rPr>
            </w:pPr>
          </w:p>
        </w:tc>
        <w:tc>
          <w:tcPr>
            <w:tcW w:w="1300" w:type="dxa"/>
            <w:vAlign w:val="bottom"/>
            <w:gridSpan w:val="2"/>
          </w:tcPr>
          <w:p>
            <w:pPr>
              <w:ind w:left="160"/>
              <w:spacing w:after="0" w:line="134" w:lineRule="exact"/>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7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4"/>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4"/>
                <w:szCs w:val="14"/>
                <w:b w:val="1"/>
                <w:bCs w:val="1"/>
                <w:color w:val="auto"/>
                <w:w w:val="98"/>
              </w:rPr>
              <w:t>Automotive</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4"/>
          </w:tcPr>
          <w:p>
            <w:pPr>
              <w:jc w:val="right"/>
              <w:ind w:right="81"/>
              <w:spacing w:after="0"/>
              <w:rPr>
                <w:sz w:val="20"/>
                <w:szCs w:val="20"/>
                <w:color w:val="auto"/>
              </w:rPr>
            </w:pPr>
            <w:r>
              <w:rPr>
                <w:rFonts w:ascii="Arial" w:cs="Arial" w:eastAsia="Arial" w:hAnsi="Arial"/>
                <w:sz w:val="14"/>
                <w:szCs w:val="14"/>
                <w:b w:val="1"/>
                <w:bCs w:val="1"/>
                <w:color w:val="auto"/>
              </w:rPr>
              <w:t>Financial</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0"/>
              </w:rPr>
              <w:t>Reclassifications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35,426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4,437</w:t>
            </w:r>
          </w:p>
        </w:tc>
        <w:tc>
          <w:tcPr>
            <w:tcW w:w="760" w:type="dxa"/>
            <w:vAlign w:val="bottom"/>
            <w:gridSpan w:val="3"/>
            <w:shd w:val="clear" w:color="auto" w:fill="CCEEFF"/>
          </w:tcPr>
          <w:p>
            <w:pPr>
              <w:jc w:val="right"/>
              <w:ind w:right="421"/>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39,863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center"/>
              <w:ind w:right="122"/>
              <w:spacing w:after="0"/>
              <w:rPr>
                <w:sz w:val="20"/>
                <w:szCs w:val="20"/>
                <w:color w:val="auto"/>
              </w:rPr>
            </w:pPr>
            <w:r>
              <w:rPr>
                <w:rFonts w:ascii="Arial" w:cs="Arial" w:eastAsia="Arial" w:hAnsi="Arial"/>
                <w:sz w:val="16"/>
                <w:szCs w:val="16"/>
                <w:color w:val="auto"/>
                <w:w w:val="8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2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39,863</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6"/>
                <w:szCs w:val="16"/>
                <w:color w:val="auto"/>
                <w:w w:val="89"/>
              </w:rPr>
              <w:t>498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w w:val="97"/>
              </w:rPr>
              <w:t>550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Services and other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6"/>
                <w:szCs w:val="16"/>
                <w:color w:val="auto"/>
              </w:rPr>
              <w:t>1,511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97"/>
              </w:rPr>
              <w:t>478</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108</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2,097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spacing w:after="0"/>
              <w:rPr>
                <w:sz w:val="20"/>
                <w:szCs w:val="20"/>
                <w:color w:val="auto"/>
              </w:rPr>
            </w:pPr>
            <w:r>
              <w:rPr>
                <w:rFonts w:ascii="Arial" w:cs="Arial" w:eastAsia="Arial" w:hAnsi="Arial"/>
                <w:sz w:val="16"/>
                <w:szCs w:val="16"/>
                <w:color w:val="auto"/>
              </w:rPr>
              <w:t>37,435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4"/>
          </w:tcPr>
          <w:p>
            <w:pPr>
              <w:jc w:val="right"/>
              <w:spacing w:after="0"/>
              <w:rPr>
                <w:sz w:val="20"/>
                <w:szCs w:val="20"/>
                <w:color w:val="auto"/>
              </w:rPr>
            </w:pPr>
            <w:r>
              <w:rPr>
                <w:rFonts w:ascii="Arial" w:cs="Arial" w:eastAsia="Arial" w:hAnsi="Arial"/>
                <w:sz w:val="16"/>
                <w:szCs w:val="16"/>
                <w:color w:val="auto"/>
              </w:rPr>
              <w:t>4,957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w w:val="89"/>
              </w:rPr>
              <w:t>118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42,510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42,513</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w w:val="89"/>
              </w:rPr>
              <w:t>4,849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4,849</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gridSpan w:val="3"/>
          </w:tcPr>
          <w:p>
            <w:pPr>
              <w:jc w:val="right"/>
              <w:ind w:right="1"/>
              <w:spacing w:after="0"/>
              <w:rPr>
                <w:sz w:val="20"/>
                <w:szCs w:val="20"/>
                <w:color w:val="auto"/>
              </w:rPr>
            </w:pPr>
            <w:r>
              <w:rPr>
                <w:rFonts w:ascii="Arial" w:cs="Arial" w:eastAsia="Arial" w:hAnsi="Arial"/>
                <w:sz w:val="16"/>
                <w:szCs w:val="16"/>
                <w:color w:val="auto"/>
                <w:w w:val="89"/>
              </w:rPr>
              <w:t>1,972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1,971</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3"/>
            <w:shd w:val="clear" w:color="auto" w:fill="CCEEFF"/>
          </w:tcPr>
          <w:p>
            <w:pPr>
              <w:jc w:val="right"/>
              <w:ind w:right="1"/>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GM Financial net sales and revenue</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6"/>
                <w:szCs w:val="16"/>
                <w:color w:val="auto"/>
                <w:w w:val="89"/>
              </w:rPr>
              <w:t>6,984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6,974</w:t>
            </w:r>
          </w:p>
        </w:tc>
        <w:tc>
          <w:tcPr>
            <w:tcW w:w="0" w:type="dxa"/>
            <w:vAlign w:val="bottom"/>
          </w:tcPr>
          <w:p>
            <w:pPr>
              <w:spacing w:after="0"/>
              <w:rPr>
                <w:sz w:val="1"/>
                <w:szCs w:val="1"/>
                <w:color w:val="auto"/>
              </w:rPr>
            </w:pPr>
          </w:p>
        </w:tc>
      </w:tr>
      <w:tr>
        <w:trPr>
          <w:trHeight w:val="231"/>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37,435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4,957</w:t>
            </w:r>
          </w:p>
        </w:tc>
        <w:tc>
          <w:tcPr>
            <w:tcW w:w="760" w:type="dxa"/>
            <w:vAlign w:val="bottom"/>
            <w:gridSpan w:val="3"/>
            <w:shd w:val="clear" w:color="auto" w:fill="CCEEFF"/>
          </w:tcPr>
          <w:p>
            <w:pPr>
              <w:jc w:val="right"/>
              <w:ind w:right="421"/>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118</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42,510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53</w:t>
            </w:r>
          </w:p>
        </w:tc>
        <w:tc>
          <w:tcPr>
            <w:tcW w:w="520" w:type="dxa"/>
            <w:vAlign w:val="bottom"/>
            <w:gridSpan w:val="2"/>
            <w:shd w:val="clear" w:color="auto" w:fill="CCEEFF"/>
          </w:tcPr>
          <w:p>
            <w:pPr>
              <w:jc w:val="center"/>
              <w:ind w:right="122"/>
              <w:spacing w:after="0"/>
              <w:rPr>
                <w:sz w:val="20"/>
                <w:szCs w:val="20"/>
                <w:color w:val="auto"/>
              </w:rPr>
            </w:pPr>
            <w:r>
              <w:rPr>
                <w:rFonts w:ascii="Arial" w:cs="Arial" w:eastAsia="Arial" w:hAnsi="Arial"/>
                <w:sz w:val="16"/>
                <w:szCs w:val="16"/>
                <w:color w:val="auto"/>
                <w:w w:val="89"/>
              </w:rPr>
              <w:t>$</w:t>
            </w:r>
          </w:p>
        </w:tc>
        <w:tc>
          <w:tcPr>
            <w:tcW w:w="46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w w:val="89"/>
              </w:rPr>
              <w:t>6,984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2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49,487</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339" w:lineRule="auto"/>
        <w:rPr>
          <w:sz w:val="20"/>
          <w:szCs w:val="20"/>
          <w:color w:val="auto"/>
        </w:rPr>
      </w:pPr>
      <w:r>
        <w:rPr>
          <w:rFonts w:ascii="Arial" w:cs="Arial" w:eastAsia="Arial" w:hAnsi="Arial"/>
          <w:sz w:val="16"/>
          <w:szCs w:val="16"/>
          <w:color w:val="auto"/>
        </w:rPr>
        <w:t>Revenue is measured as the amount of consideration we expect to receive in exchange for transferring goods or providing services. Adjustments to sales incentives for previously recognized sales increased revenue by $350 million and $470 million in the three months ended June 30, 2021 and 2020.</w:t>
      </w:r>
    </w:p>
    <w:p>
      <w:pPr>
        <w:spacing w:after="0" w:line="58" w:lineRule="exact"/>
        <w:rPr>
          <w:sz w:val="20"/>
          <w:szCs w:val="20"/>
          <w:color w:val="auto"/>
        </w:rPr>
      </w:pPr>
    </w:p>
    <w:p>
      <w:pPr>
        <w:jc w:val="both"/>
        <w:ind w:firstLine="161"/>
        <w:spacing w:after="0" w:line="274" w:lineRule="auto"/>
        <w:rPr>
          <w:sz w:val="20"/>
          <w:szCs w:val="20"/>
          <w:color w:val="auto"/>
        </w:rPr>
      </w:pPr>
      <w:r>
        <w:rPr>
          <w:rFonts w:ascii="Arial" w:cs="Arial" w:eastAsia="Arial" w:hAnsi="Arial"/>
          <w:sz w:val="17"/>
          <w:szCs w:val="17"/>
          <w:color w:val="auto"/>
        </w:rPr>
        <w:t>Contract liabilities in our Automotive segments primarily consist of maintenance, extended warranty and other service contracts of $2.5 billion and $2.4 billion at June 30, 2021 and December 31, 2020, which are included in Accrued liabilities and Other liabilities. We recognized revenue of $294 million and $689 million related to contract liabilities in the three and six months ended June 30, 2021 and $241 million and $627 million in the three and six months ended June 30, 2020. We expect to recognize revenue of $745 million in the six months ending December 31, 2021 and $738 million, $433 million and $598 million in the years ending December 31, 2022, 2023 and thereafter related to contract liabilities at June 30, 2021.</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Marketable and Other Securities</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fair value of cash equivalents and marketable debt securities, which approximates cost:</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260" w:type="dxa"/>
            <w:vAlign w:val="bottom"/>
          </w:tcPr>
          <w:p>
            <w:pPr>
              <w:spacing w:after="0"/>
              <w:rPr>
                <w:sz w:val="14"/>
                <w:szCs w:val="14"/>
                <w:color w:val="auto"/>
              </w:rPr>
            </w:pPr>
          </w:p>
        </w:tc>
        <w:tc>
          <w:tcPr>
            <w:tcW w:w="13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86"/>
        </w:trPr>
        <w:tc>
          <w:tcPr>
            <w:tcW w:w="67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26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time deposits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8,010</w:t>
            </w: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Arial" w:cs="Arial" w:eastAsia="Arial" w:hAnsi="Arial"/>
                <w:sz w:val="18"/>
                <w:szCs w:val="18"/>
                <w:color w:val="auto"/>
              </w:rPr>
              <w:t>Available-for-sale debt securities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and agencies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Arial" w:cs="Arial" w:eastAsia="Arial" w:hAnsi="Arial"/>
                <w:sz w:val="18"/>
                <w:szCs w:val="18"/>
                <w:color w:val="auto"/>
              </w:rPr>
              <w:t>Corporate debt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Sovereign debt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color w:val="auto"/>
              </w:rPr>
              <w:t>Total available-for-sale debt securities –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11,991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6,897</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color w:val="auto"/>
              </w:rPr>
              <w:t>Total cash and cash equivalents(a)</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19,992</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Marketable debt securities</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Arial" w:cs="Arial" w:eastAsia="Arial" w:hAnsi="Arial"/>
                <w:sz w:val="18"/>
                <w:szCs w:val="18"/>
                <w:color w:val="auto"/>
              </w:rPr>
              <w:t>U.S. government and agencies</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Arial" w:cs="Arial" w:eastAsia="Arial" w:hAnsi="Arial"/>
                <w:sz w:val="18"/>
                <w:szCs w:val="18"/>
                <w:color w:val="auto"/>
              </w:rPr>
              <w:t>Mortgage and asset-backed</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Sovereign debt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color w:val="auto"/>
              </w:rPr>
              <w:t>Total available-for-sale debt securities – marketable securities(b)</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Restricted cash</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483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color w:val="auto"/>
              </w:rPr>
              <w:t>Total restricted cash</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46"/>
        </w:trPr>
        <w:tc>
          <w:tcPr>
            <w:tcW w:w="678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67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w w:val="99"/>
              </w:rPr>
              <w:t>Available-for-sale debt securities included above with contractual maturities(c)</w:t>
            </w:r>
          </w:p>
        </w:tc>
        <w:tc>
          <w:tcPr>
            <w:tcW w:w="9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38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between one and five years</w:t>
            </w: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debt securities with contractual maturities</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20" w:hanging="313"/>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$1.8 billion and $761 million in Cruise at June 30, 2021 and December 31, 2020.</w:t>
      </w:r>
    </w:p>
    <w:p>
      <w:pPr>
        <w:spacing w:after="0" w:line="4" w:lineRule="exact"/>
        <w:rPr>
          <w:rFonts w:ascii="Arial" w:cs="Arial" w:eastAsia="Arial" w:hAnsi="Arial"/>
          <w:sz w:val="16"/>
          <w:szCs w:val="16"/>
          <w:color w:val="auto"/>
        </w:rPr>
      </w:pPr>
    </w:p>
    <w:p>
      <w:pPr>
        <w:ind w:left="320" w:hanging="313"/>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$2.1 billion and $943 million in Cruise at June 30, 2021 and December 31, 2020.</w:t>
      </w:r>
    </w:p>
    <w:p>
      <w:pPr>
        <w:spacing w:after="0" w:line="4" w:lineRule="exact"/>
        <w:rPr>
          <w:rFonts w:ascii="Arial" w:cs="Arial" w:eastAsia="Arial" w:hAnsi="Arial"/>
          <w:sz w:val="16"/>
          <w:szCs w:val="16"/>
          <w:color w:val="auto"/>
        </w:rPr>
      </w:pPr>
    </w:p>
    <w:p>
      <w:pPr>
        <w:ind w:left="320" w:hanging="313"/>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Excludes mortgage and asset-backed securities of $567 million at June 30, 2021 as these securities are not due at a single maturity date.</w:t>
      </w:r>
    </w:p>
    <w:p>
      <w:pPr>
        <w:spacing w:after="0" w:line="228"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Proceeds from the sale of available-for-sale debt securities sold prior to maturity were $557 million and $554 million in the three months ended June 30, 2021 and 2020 and $1.1 billion and $920 million in the six months ended June 30, 2021 and 2020. Net unrealized gains and losses on available-for-sale debt securities were insignificant in the three and six months ended June 30, 2021 and 2020. Cumulative unrealized gains and losses on available-for-sale debt securities were insignificant at June 30, 2021 and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ind w:right="20" w:firstLine="161"/>
        <w:spacing w:after="0" w:line="275"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to the total shown in the condensed consolidated statement of cash flows:</w:t>
      </w:r>
    </w:p>
    <w:p>
      <w:pPr>
        <w:spacing w:after="0" w:line="82"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32955" cy="153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20" w:right="540"/>
        <w:spacing w:after="0" w:line="323" w:lineRule="auto"/>
        <w:rPr>
          <w:sz w:val="20"/>
          <w:szCs w:val="20"/>
          <w:color w:val="auto"/>
        </w:rPr>
      </w:pPr>
      <w:r>
        <w:rPr>
          <w:rFonts w:ascii="Arial" w:cs="Arial" w:eastAsia="Arial" w:hAnsi="Arial"/>
          <w:sz w:val="16"/>
          <w:szCs w:val="16"/>
          <w:color w:val="auto"/>
        </w:rPr>
        <w:t>Restricted cash included in Other current assets Restricted cash included in Other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GM Financial Receivables and Transactions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9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22,920</w:t>
            </w:r>
          </w:p>
        </w:tc>
      </w:tr>
      <w:tr>
        <w:trPr>
          <w:trHeight w:val="228"/>
        </w:trPr>
        <w:tc>
          <w:tcPr>
            <w:tcW w:w="9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3,873</w:t>
            </w:r>
          </w:p>
        </w:tc>
      </w:tr>
      <w:tr>
        <w:trPr>
          <w:trHeight w:val="229"/>
        </w:trPr>
        <w:tc>
          <w:tcPr>
            <w:tcW w:w="9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r>
      <w:tr>
        <w:trPr>
          <w:trHeight w:val="222"/>
        </w:trPr>
        <w:tc>
          <w:tcPr>
            <w:tcW w:w="9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27,365</w:t>
            </w:r>
          </w:p>
        </w:tc>
      </w:tr>
      <w:tr>
        <w:trPr>
          <w:trHeight w:val="20"/>
        </w:trPr>
        <w:tc>
          <w:tcPr>
            <w:tcW w:w="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40"/>
        </w:trPr>
        <w:tc>
          <w:tcPr>
            <w:tcW w:w="9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June 30, 2021</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December 31, 2020</w:t>
            </w:r>
          </w:p>
        </w:tc>
        <w:tc>
          <w:tcPr>
            <w:tcW w:w="880" w:type="dxa"/>
            <w:vAlign w:val="bottom"/>
            <w:tcBorders>
              <w:bottom w:val="single" w:sz="8" w:color="auto"/>
            </w:tcBorders>
          </w:tcPr>
          <w:p>
            <w:pPr>
              <w:spacing w:after="0"/>
              <w:rPr>
                <w:sz w:val="24"/>
                <w:szCs w:val="24"/>
                <w:color w:val="auto"/>
              </w:rPr>
            </w:pPr>
          </w:p>
        </w:tc>
      </w:tr>
      <w:tr>
        <w:trPr>
          <w:trHeight w:val="185"/>
        </w:trPr>
        <w:tc>
          <w:tcPr>
            <w:tcW w:w="980" w:type="dxa"/>
            <w:vAlign w:val="bottom"/>
          </w:tcPr>
          <w:p>
            <w:pPr>
              <w:ind w:left="320"/>
              <w:spacing w:after="0"/>
              <w:rPr>
                <w:sz w:val="20"/>
                <w:szCs w:val="20"/>
                <w:color w:val="auto"/>
              </w:rPr>
            </w:pPr>
            <w:r>
              <w:rPr>
                <w:rFonts w:ascii="Arial" w:cs="Arial" w:eastAsia="Arial" w:hAnsi="Arial"/>
                <w:sz w:val="14"/>
                <w:szCs w:val="14"/>
                <w:b w:val="1"/>
                <w:bCs w:val="1"/>
                <w:color w:val="auto"/>
              </w:rPr>
              <w:t>Retail</w:t>
            </w:r>
          </w:p>
        </w:tc>
        <w:tc>
          <w:tcPr>
            <w:tcW w:w="1520" w:type="dxa"/>
            <w:vAlign w:val="bottom"/>
          </w:tcPr>
          <w:p>
            <w:pPr>
              <w:ind w:left="300"/>
              <w:spacing w:after="0"/>
              <w:rPr>
                <w:sz w:val="20"/>
                <w:szCs w:val="20"/>
                <w:color w:val="auto"/>
              </w:rPr>
            </w:pPr>
            <w:r>
              <w:rPr>
                <w:rFonts w:ascii="Arial" w:cs="Arial" w:eastAsia="Arial" w:hAnsi="Arial"/>
                <w:sz w:val="14"/>
                <w:szCs w:val="14"/>
                <w:b w:val="1"/>
                <w:bCs w:val="1"/>
                <w:color w:val="auto"/>
              </w:rPr>
              <w:t>Commercial(a)</w:t>
            </w:r>
          </w:p>
        </w:tc>
        <w:tc>
          <w:tcPr>
            <w:tcW w:w="920" w:type="dxa"/>
            <w:vAlign w:val="bottom"/>
          </w:tcPr>
          <w:p>
            <w:pPr>
              <w:ind w:left="3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900" w:type="dxa"/>
            <w:vAlign w:val="bottom"/>
          </w:tcPr>
          <w:p>
            <w:pPr>
              <w:ind w:left="320"/>
              <w:spacing w:after="0"/>
              <w:rPr>
                <w:sz w:val="20"/>
                <w:szCs w:val="20"/>
                <w:color w:val="auto"/>
              </w:rPr>
            </w:pPr>
            <w:r>
              <w:rPr>
                <w:rFonts w:ascii="Arial" w:cs="Arial" w:eastAsia="Arial" w:hAnsi="Arial"/>
                <w:sz w:val="14"/>
                <w:szCs w:val="14"/>
                <w:b w:val="1"/>
                <w:bCs w:val="1"/>
                <w:color w:val="auto"/>
              </w:rPr>
              <w:t>Retail</w:t>
            </w:r>
          </w:p>
        </w:tc>
        <w:tc>
          <w:tcPr>
            <w:tcW w:w="164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Commercial(a)</w:t>
            </w:r>
          </w:p>
        </w:tc>
        <w:tc>
          <w:tcPr>
            <w:tcW w:w="880" w:type="dxa"/>
            <w:vAlign w:val="bottom"/>
          </w:tcPr>
          <w:p>
            <w:pPr>
              <w:jc w:val="right"/>
              <w:ind w:right="234"/>
              <w:spacing w:after="0"/>
              <w:rPr>
                <w:sz w:val="20"/>
                <w:szCs w:val="20"/>
                <w:color w:val="auto"/>
              </w:rPr>
            </w:pPr>
            <w:r>
              <w:rPr>
                <w:rFonts w:ascii="Arial" w:cs="Arial" w:eastAsia="Arial" w:hAnsi="Arial"/>
                <w:sz w:val="14"/>
                <w:szCs w:val="14"/>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-936625</wp:posOffset>
            </wp:positionV>
            <wp:extent cx="7132955" cy="144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60" w:space="320"/>
            <w:col w:w="69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receivables, net of fees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8"/>
              </w:rPr>
              <w:t>56,357</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8"/>
              </w:rPr>
              <w:t>51,288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59,970</w:t>
            </w:r>
          </w:p>
        </w:tc>
        <w:tc>
          <w:tcPr>
            <w:tcW w:w="0" w:type="dxa"/>
            <w:vAlign w:val="bottom"/>
          </w:tcPr>
          <w:p>
            <w:pPr>
              <w:spacing w:after="0"/>
              <w:rPr>
                <w:sz w:val="1"/>
                <w:szCs w:val="1"/>
                <w:color w:val="auto"/>
              </w:rPr>
            </w:pPr>
          </w:p>
        </w:tc>
      </w:tr>
      <w:tr>
        <w:trPr>
          <w:trHeight w:val="228"/>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loan losses</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1"/>
              </w:rPr>
              <w:t>(1,805)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1"/>
              </w:rPr>
              <w:t>(1,915)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4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receivables,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8"/>
              </w:rPr>
              <w:t>54,552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8"/>
              </w:rPr>
              <w:t>49,373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57,992</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428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7"/>
              </w:rPr>
              <w:t>Fair value of GM Financial receivables utilizing Level 2</w:t>
            </w: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28"/>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inputs</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line="175" w:lineRule="exact"/>
              <w:rPr>
                <w:sz w:val="20"/>
                <w:szCs w:val="20"/>
                <w:color w:val="auto"/>
              </w:rPr>
            </w:pPr>
            <w:r>
              <w:rPr>
                <w:rFonts w:ascii="Arial" w:cs="Arial" w:eastAsia="Arial" w:hAnsi="Arial"/>
                <w:sz w:val="18"/>
                <w:szCs w:val="18"/>
                <w:color w:val="auto"/>
                <w:w w:val="97"/>
              </w:rPr>
              <w:t>Fair value of GM Financial receivables utilizing Level 3</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56,490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51,645</w:t>
            </w:r>
          </w:p>
        </w:tc>
        <w:tc>
          <w:tcPr>
            <w:tcW w:w="0" w:type="dxa"/>
            <w:vAlign w:val="bottom"/>
          </w:tcPr>
          <w:p>
            <w:pPr>
              <w:spacing w:after="0"/>
              <w:rPr>
                <w:sz w:val="1"/>
                <w:szCs w:val="1"/>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inputs</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hanging="333"/>
        <w:spacing w:after="0" w:line="288" w:lineRule="auto"/>
        <w:tabs>
          <w:tab w:leader="none" w:pos="331" w:val="left"/>
        </w:tabs>
        <w:numPr>
          <w:ilvl w:val="0"/>
          <w:numId w:val="4"/>
        </w:numPr>
        <w:rPr>
          <w:rFonts w:ascii="Arial" w:cs="Arial" w:eastAsia="Arial" w:hAnsi="Arial"/>
          <w:sz w:val="15"/>
          <w:szCs w:val="15"/>
          <w:color w:val="auto"/>
        </w:rPr>
      </w:pPr>
      <w:r>
        <w:rPr>
          <w:rFonts w:ascii="Arial" w:cs="Arial" w:eastAsia="Arial" w:hAnsi="Arial"/>
          <w:sz w:val="15"/>
          <w:szCs w:val="15"/>
          <w:color w:val="auto"/>
        </w:rPr>
        <w:t>Net of dealer cash management balances of $1.1 billion and $1.4 billion at June 30, 2021 and December 31, 2020. Under the cash management program, subject to certain conditions, a dealer may choose to reduce the amount of interest on its floorplan line by making principal payments to GM Financial in advance.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gridSpan w:val="5"/>
          </w:tcPr>
          <w:p>
            <w:pPr>
              <w:ind w:left="7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3120" w:type="dxa"/>
            <w:vAlign w:val="bottom"/>
            <w:gridSpan w:val="4"/>
          </w:tcPr>
          <w:p>
            <w:pPr>
              <w:jc w:val="right"/>
              <w:ind w:right="1033"/>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43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June 30, 2020</w:t>
            </w:r>
          </w:p>
        </w:tc>
      </w:tr>
      <w:tr>
        <w:trPr>
          <w:trHeight w:val="223"/>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loan losses at beginning of period</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r>
      <w:tr>
        <w:trPr>
          <w:trHeight w:val="228"/>
        </w:trPr>
        <w:tc>
          <w:tcPr>
            <w:tcW w:w="4360" w:type="dxa"/>
            <w:vAlign w:val="bottom"/>
          </w:tcPr>
          <w:p>
            <w:pPr>
              <w:ind w:left="20"/>
              <w:spacing w:after="0"/>
              <w:rPr>
                <w:sz w:val="20"/>
                <w:szCs w:val="20"/>
                <w:color w:val="auto"/>
              </w:rPr>
            </w:pPr>
            <w:r>
              <w:rPr>
                <w:rFonts w:ascii="Arial" w:cs="Arial" w:eastAsia="Arial" w:hAnsi="Arial"/>
                <w:sz w:val="18"/>
                <w:szCs w:val="18"/>
                <w:color w:val="auto"/>
              </w:rPr>
              <w:t>Impact of adoption ASU 2016-13</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28"/>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loan losses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28"/>
        </w:trPr>
        <w:tc>
          <w:tcPr>
            <w:tcW w:w="4360" w:type="dxa"/>
            <w:vAlign w:val="bottom"/>
          </w:tcPr>
          <w:p>
            <w:pPr>
              <w:ind w:left="20"/>
              <w:spacing w:after="0"/>
              <w:rPr>
                <w:sz w:val="20"/>
                <w:szCs w:val="20"/>
                <w:color w:val="auto"/>
              </w:rPr>
            </w:pPr>
            <w:r>
              <w:rPr>
                <w:rFonts w:ascii="Arial" w:cs="Arial" w:eastAsia="Arial" w:hAnsi="Arial"/>
                <w:sz w:val="18"/>
                <w:szCs w:val="18"/>
                <w:color w:val="auto"/>
              </w:rPr>
              <w:t>Charge-offs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(613)</w:t>
            </w:r>
          </w:p>
        </w:tc>
      </w:tr>
      <w:tr>
        <w:trPr>
          <w:trHeight w:val="228"/>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Recoveries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28"/>
        </w:trPr>
        <w:tc>
          <w:tcPr>
            <w:tcW w:w="4360" w:type="dxa"/>
            <w:vAlign w:val="bottom"/>
          </w:tcPr>
          <w:p>
            <w:pPr>
              <w:ind w:left="20"/>
              <w:spacing w:after="0"/>
              <w:rPr>
                <w:sz w:val="20"/>
                <w:szCs w:val="20"/>
                <w:color w:val="auto"/>
              </w:rPr>
            </w:pPr>
            <w:r>
              <w:rPr>
                <w:rFonts w:ascii="Arial" w:cs="Arial" w:eastAsia="Arial" w:hAnsi="Arial"/>
                <w:sz w:val="18"/>
                <w:szCs w:val="18"/>
                <w:color w:val="auto"/>
              </w:rPr>
              <w:t>Effect of foreign currency</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47"/>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loan losses at end of period</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300" w:lineRule="auto"/>
        <w:rPr>
          <w:sz w:val="20"/>
          <w:szCs w:val="20"/>
          <w:color w:val="auto"/>
        </w:rPr>
      </w:pPr>
      <w:r>
        <w:rPr>
          <w:rFonts w:ascii="Arial" w:cs="Arial" w:eastAsia="Arial" w:hAnsi="Arial"/>
          <w:sz w:val="16"/>
          <w:szCs w:val="16"/>
          <w:color w:val="auto"/>
        </w:rPr>
        <w:t>The allowance for loan losses decreased by $261 million as of June 30, 2021 compared to June 30, 2020, primarily due to a reduction in the reserve levels established during the six months ended June 30, 2020, as a result of actual credit performance that was better than originally forecasted at the onset of the COVID-19 pandemic; and favorable expectations for future charge-offs and recoveries, reflecting improved forecast economic conditions; partially offset by additional reserves recorded in the six months ended June 30, 2021, due to increased loan origination volume.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b w:val="1"/>
          <w:bCs w:val="1"/>
          <w:i w:val="1"/>
          <w:iCs w:val="1"/>
          <w:color w:val="auto"/>
        </w:rPr>
        <w:t xml:space="preserve">Retail Finance Receivables </w:t>
      </w:r>
      <w:r>
        <w:rPr>
          <w:rFonts w:ascii="Arial" w:cs="Arial" w:eastAsia="Arial" w:hAnsi="Arial"/>
          <w:sz w:val="17"/>
          <w:szCs w:val="17"/>
          <w:color w:val="auto"/>
        </w:rPr>
        <w:t>GM Financial's retail finance receivable portfolio includes loans made to consumers and businesses to finance the purchase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vehicles for personal and commercial use. The following tables are consolidated summaries of the retail finance receivables by FICO score or its equivalent, determined at origination, for each vintage of the retail finance receivables portfolio at June 30, 2021 and December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Year of Origination</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June 30, 2021</w:t>
            </w:r>
          </w:p>
        </w:tc>
      </w:tr>
      <w:tr>
        <w:trPr>
          <w:trHeight w:val="186"/>
        </w:trPr>
        <w:tc>
          <w:tcPr>
            <w:tcW w:w="3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8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jc w:val="right"/>
              <w:ind w:right="148"/>
              <w:spacing w:after="0"/>
              <w:rPr>
                <w:sz w:val="20"/>
                <w:szCs w:val="20"/>
                <w:color w:val="auto"/>
              </w:rPr>
            </w:pPr>
            <w:r>
              <w:rPr>
                <w:rFonts w:ascii="Arial" w:cs="Arial" w:eastAsia="Arial" w:hAnsi="Arial"/>
                <w:sz w:val="14"/>
                <w:szCs w:val="14"/>
                <w:b w:val="1"/>
                <w:bCs w:val="1"/>
                <w:color w:val="auto"/>
              </w:rPr>
              <w:t>Percent</w:t>
            </w:r>
          </w:p>
        </w:tc>
      </w:tr>
      <w:tr>
        <w:trPr>
          <w:trHeight w:val="196"/>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Prime – FICO score 680 and greater</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11,303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15,390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36,959</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65.6 %</w:t>
            </w:r>
          </w:p>
        </w:tc>
      </w:tr>
      <w:tr>
        <w:trPr>
          <w:trHeight w:val="212"/>
        </w:trPr>
        <w:tc>
          <w:tcPr>
            <w:tcW w:w="3720" w:type="dxa"/>
            <w:vAlign w:val="bottom"/>
          </w:tcPr>
          <w:p>
            <w:pPr>
              <w:ind w:left="20"/>
              <w:spacing w:after="0"/>
              <w:rPr>
                <w:sz w:val="20"/>
                <w:szCs w:val="20"/>
                <w:color w:val="auto"/>
              </w:rPr>
            </w:pPr>
            <w:r>
              <w:rPr>
                <w:rFonts w:ascii="Arial" w:cs="Arial" w:eastAsia="Arial" w:hAnsi="Arial"/>
                <w:sz w:val="16"/>
                <w:szCs w:val="16"/>
                <w:color w:val="auto"/>
              </w:rPr>
              <w:t>Near-prime – FICO score 620 to 679</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2,434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8,613</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15.3 %</w:t>
            </w:r>
          </w:p>
        </w:tc>
      </w:tr>
      <w:tr>
        <w:trPr>
          <w:trHeight w:val="218"/>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Sub-prime – FICO score less than 620</w:t>
            </w: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10,785</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19.1 %</w:t>
            </w:r>
          </w:p>
        </w:tc>
      </w:tr>
      <w:tr>
        <w:trPr>
          <w:trHeight w:val="182"/>
        </w:trPr>
        <w:tc>
          <w:tcPr>
            <w:tcW w:w="3720" w:type="dxa"/>
            <w:vAlign w:val="bottom"/>
          </w:tcPr>
          <w:p>
            <w:pPr>
              <w:ind w:left="20"/>
              <w:spacing w:after="0" w:line="181" w:lineRule="exact"/>
              <w:rPr>
                <w:sz w:val="20"/>
                <w:szCs w:val="20"/>
                <w:color w:val="auto"/>
              </w:rPr>
            </w:pPr>
            <w:r>
              <w:rPr>
                <w:rFonts w:ascii="Arial" w:cs="Arial" w:eastAsia="Arial" w:hAnsi="Arial"/>
                <w:sz w:val="16"/>
                <w:szCs w:val="16"/>
                <w:color w:val="auto"/>
              </w:rPr>
              <w:t>Retail finance receivables, net of fees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16,323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21,628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9,370</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2,517</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1,031</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56,357</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Year of Origination</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December 31, 2020</w:t>
            </w:r>
          </w:p>
        </w:tc>
      </w:tr>
      <w:tr>
        <w:trPr>
          <w:trHeight w:val="186"/>
        </w:trPr>
        <w:tc>
          <w:tcPr>
            <w:tcW w:w="3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jc w:val="right"/>
              <w:ind w:right="148"/>
              <w:spacing w:after="0"/>
              <w:rPr>
                <w:sz w:val="20"/>
                <w:szCs w:val="20"/>
                <w:color w:val="auto"/>
              </w:rPr>
            </w:pPr>
            <w:r>
              <w:rPr>
                <w:rFonts w:ascii="Arial" w:cs="Arial" w:eastAsia="Arial" w:hAnsi="Arial"/>
                <w:sz w:val="14"/>
                <w:szCs w:val="14"/>
                <w:b w:val="1"/>
                <w:bCs w:val="1"/>
                <w:color w:val="auto"/>
              </w:rPr>
              <w:t>Percent</w:t>
            </w:r>
          </w:p>
        </w:tc>
      </w:tr>
      <w:tr>
        <w:trPr>
          <w:trHeight w:val="196"/>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Prime – FICO score 680 and greater</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18,685</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7,033</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4,491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1,917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32,800</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64.0 %</w:t>
            </w:r>
          </w:p>
        </w:tc>
      </w:tr>
      <w:tr>
        <w:trPr>
          <w:trHeight w:val="212"/>
        </w:trPr>
        <w:tc>
          <w:tcPr>
            <w:tcW w:w="3760" w:type="dxa"/>
            <w:vAlign w:val="bottom"/>
          </w:tcPr>
          <w:p>
            <w:pPr>
              <w:ind w:left="20"/>
              <w:spacing w:after="0"/>
              <w:rPr>
                <w:sz w:val="20"/>
                <w:szCs w:val="20"/>
                <w:color w:val="auto"/>
              </w:rPr>
            </w:pPr>
            <w:r>
              <w:rPr>
                <w:rFonts w:ascii="Arial" w:cs="Arial" w:eastAsia="Arial" w:hAnsi="Arial"/>
                <w:sz w:val="16"/>
                <w:szCs w:val="16"/>
                <w:color w:val="auto"/>
              </w:rPr>
              <w:t>Near-prime – FICO score 620 to 679</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2,097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1,232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7,935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15.4 %</w:t>
            </w:r>
          </w:p>
        </w:tc>
      </w:tr>
      <w:tr>
        <w:trPr>
          <w:trHeight w:val="218"/>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Sub-prime – FICO score less than 620</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1,740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1,173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10,553</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20.6 %</w:t>
            </w:r>
          </w:p>
        </w:tc>
      </w:tr>
      <w:tr>
        <w:trPr>
          <w:trHeight w:val="182"/>
        </w:trPr>
        <w:tc>
          <w:tcPr>
            <w:tcW w:w="3760" w:type="dxa"/>
            <w:vAlign w:val="bottom"/>
          </w:tcPr>
          <w:p>
            <w:pPr>
              <w:ind w:left="20"/>
              <w:spacing w:after="0" w:line="181" w:lineRule="exact"/>
              <w:rPr>
                <w:sz w:val="20"/>
                <w:szCs w:val="20"/>
                <w:color w:val="auto"/>
              </w:rPr>
            </w:pPr>
            <w:r>
              <w:rPr>
                <w:rFonts w:ascii="Arial" w:cs="Arial" w:eastAsia="Arial" w:hAnsi="Arial"/>
                <w:sz w:val="16"/>
                <w:szCs w:val="16"/>
                <w:color w:val="auto"/>
              </w:rPr>
              <w:t>Retail finance receivables, net of fees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26,183</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12,050</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7,463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3,693</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1,390</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51,288</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3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color w:val="auto"/>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$555 million and $714 million at June 30, 2021 and December 31, 2020. The following tables are consolidated summaries of the delinquency status of the outstanding amortized cost of retail finance receivables for each vintage of the portfolio at June 30, 2021 and December 31, 2020, as well as summary totals for June 30,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of Origination</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4"/>
          </w:tcPr>
          <w:p>
            <w:pPr>
              <w:ind w:left="26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6"/>
                <w:szCs w:val="16"/>
                <w:color w:val="auto"/>
              </w:rPr>
            </w:pPr>
          </w:p>
        </w:tc>
        <w:tc>
          <w:tcPr>
            <w:tcW w:w="150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June 30, 2020</w:t>
            </w:r>
          </w:p>
        </w:tc>
      </w:tr>
      <w:tr>
        <w:trPr>
          <w:trHeight w:val="186"/>
        </w:trPr>
        <w:tc>
          <w:tcPr>
            <w:tcW w:w="2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8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8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Percent</w:t>
            </w:r>
          </w:p>
        </w:tc>
      </w:tr>
      <w:tr>
        <w:trPr>
          <w:trHeight w:val="210"/>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0-to-30 days</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16,224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21,320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9,063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55,187</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97.9 %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44,852</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96.5 %</w:t>
            </w:r>
          </w:p>
        </w:tc>
      </w:tr>
      <w:tr>
        <w:trPr>
          <w:trHeight w:val="228"/>
        </w:trPr>
        <w:tc>
          <w:tcPr>
            <w:tcW w:w="2220" w:type="dxa"/>
            <w:vAlign w:val="bottom"/>
          </w:tcPr>
          <w:p>
            <w:pPr>
              <w:ind w:left="20"/>
              <w:spacing w:after="0"/>
              <w:rPr>
                <w:sz w:val="20"/>
                <w:szCs w:val="20"/>
                <w:color w:val="auto"/>
              </w:rPr>
            </w:pPr>
            <w:r>
              <w:rPr>
                <w:rFonts w:ascii="Arial" w:cs="Arial" w:eastAsia="Arial" w:hAnsi="Arial"/>
                <w:sz w:val="18"/>
                <w:szCs w:val="18"/>
                <w:color w:val="auto"/>
              </w:rPr>
              <w:t>31-to-60 days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856</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998</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2.2 %</w:t>
            </w:r>
          </w:p>
        </w:tc>
      </w:tr>
      <w:tr>
        <w:trPr>
          <w:trHeight w:val="228"/>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Greater-than-60 days</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1.3 %</w:t>
            </w:r>
          </w:p>
        </w:tc>
      </w:tr>
      <w:tr>
        <w:trPr>
          <w:trHeight w:val="155"/>
        </w:trPr>
        <w:tc>
          <w:tcPr>
            <w:tcW w:w="2220" w:type="dxa"/>
            <w:vAlign w:val="bottom"/>
          </w:tcPr>
          <w:p>
            <w:pPr>
              <w:ind w:left="20"/>
              <w:spacing w:after="0" w:line="154" w:lineRule="exact"/>
              <w:rPr>
                <w:sz w:val="20"/>
                <w:szCs w:val="20"/>
                <w:color w:val="auto"/>
              </w:rPr>
            </w:pPr>
            <w:r>
              <w:rPr>
                <w:rFonts w:ascii="Arial" w:cs="Arial" w:eastAsia="Arial" w:hAnsi="Arial"/>
                <w:sz w:val="17"/>
                <w:szCs w:val="17"/>
                <w:color w:val="auto"/>
              </w:rPr>
              <w:t>Finance receivables more</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28"/>
        </w:trPr>
        <w:tc>
          <w:tcPr>
            <w:tcW w:w="2220" w:type="dxa"/>
            <w:vAlign w:val="bottom"/>
          </w:tcPr>
          <w:p>
            <w:pPr>
              <w:ind w:left="180"/>
              <w:spacing w:after="0"/>
              <w:rPr>
                <w:sz w:val="20"/>
                <w:szCs w:val="20"/>
                <w:color w:val="auto"/>
              </w:rPr>
            </w:pPr>
            <w:r>
              <w:rPr>
                <w:rFonts w:ascii="Arial" w:cs="Arial" w:eastAsia="Arial" w:hAnsi="Arial"/>
                <w:sz w:val="18"/>
                <w:szCs w:val="18"/>
                <w:color w:val="auto"/>
              </w:rPr>
              <w:t>than 30 days delinquent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1,142</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1,599</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3.5 %</w:t>
            </w:r>
          </w:p>
        </w:tc>
      </w:tr>
      <w:tr>
        <w:trPr>
          <w:trHeight w:val="228"/>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repossession</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55"/>
        </w:trPr>
        <w:tc>
          <w:tcPr>
            <w:tcW w:w="2220" w:type="dxa"/>
            <w:vAlign w:val="bottom"/>
          </w:tcPr>
          <w:p>
            <w:pPr>
              <w:ind w:left="20"/>
              <w:spacing w:after="0" w:line="154" w:lineRule="exact"/>
              <w:rPr>
                <w:sz w:val="20"/>
                <w:szCs w:val="20"/>
                <w:color w:val="auto"/>
              </w:rPr>
            </w:pPr>
            <w:r>
              <w:rPr>
                <w:rFonts w:ascii="Arial" w:cs="Arial" w:eastAsia="Arial" w:hAnsi="Arial"/>
                <w:sz w:val="17"/>
                <w:szCs w:val="17"/>
                <w:color w:val="auto"/>
              </w:rPr>
              <w:t>Finance receivables more</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75"/>
        </w:trPr>
        <w:tc>
          <w:tcPr>
            <w:tcW w:w="2220" w:type="dxa"/>
            <w:vAlign w:val="bottom"/>
          </w:tcPr>
          <w:p>
            <w:pPr>
              <w:ind w:left="180"/>
              <w:spacing w:after="0" w:line="175" w:lineRule="exact"/>
              <w:rPr>
                <w:sz w:val="20"/>
                <w:szCs w:val="20"/>
                <w:color w:val="auto"/>
              </w:rPr>
            </w:pPr>
            <w:r>
              <w:rPr>
                <w:rFonts w:ascii="Arial" w:cs="Arial" w:eastAsia="Arial" w:hAnsi="Arial"/>
                <w:sz w:val="18"/>
                <w:szCs w:val="18"/>
                <w:color w:val="auto"/>
                <w:w w:val="95"/>
              </w:rPr>
              <w:t>than 30 days delinquent or</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28"/>
        </w:trPr>
        <w:tc>
          <w:tcPr>
            <w:tcW w:w="2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 repossession</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1,170</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1,620</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3.5 %</w:t>
            </w:r>
          </w:p>
        </w:tc>
      </w:tr>
      <w:tr>
        <w:trPr>
          <w:trHeight w:val="155"/>
        </w:trPr>
        <w:tc>
          <w:tcPr>
            <w:tcW w:w="222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w w:val="96"/>
              </w:rPr>
              <w:t>Retail finance receivables, net</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227"/>
        </w:trPr>
        <w:tc>
          <w:tcPr>
            <w:tcW w:w="2220" w:type="dxa"/>
            <w:vAlign w:val="bottom"/>
            <w:tcBorders>
              <w:bottom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of fees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16,323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21,628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9,370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56,357</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46,472</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632"/>
        </w:trPr>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126"/>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6"/>
        </w:trPr>
        <w:tc>
          <w:tcPr>
            <w:tcW w:w="2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Year of Origination</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December 31, 2020</w:t>
            </w:r>
          </w:p>
        </w:tc>
      </w:tr>
      <w:tr>
        <w:trPr>
          <w:trHeight w:val="186"/>
        </w:trPr>
        <w:tc>
          <w:tcPr>
            <w:tcW w:w="2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jc w:val="right"/>
              <w:ind w:right="268"/>
              <w:spacing w:after="0"/>
              <w:rPr>
                <w:sz w:val="20"/>
                <w:szCs w:val="20"/>
                <w:color w:val="auto"/>
              </w:rPr>
            </w:pPr>
            <w:r>
              <w:rPr>
                <w:rFonts w:ascii="Arial" w:cs="Arial" w:eastAsia="Arial" w:hAnsi="Arial"/>
                <w:sz w:val="14"/>
                <w:szCs w:val="14"/>
                <w:b w:val="1"/>
                <w:bCs w:val="1"/>
                <w:color w:val="auto"/>
              </w:rPr>
              <w:t>Percent</w:t>
            </w:r>
          </w:p>
        </w:tc>
      </w:tr>
      <w:tr>
        <w:trPr>
          <w:trHeight w:val="210"/>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0-to-30 days</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25,894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11,591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7,131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3,454</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49,740</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97.0 %</w:t>
            </w:r>
          </w:p>
        </w:tc>
      </w:tr>
      <w:tr>
        <w:trPr>
          <w:trHeight w:val="228"/>
        </w:trPr>
        <w:tc>
          <w:tcPr>
            <w:tcW w:w="2300" w:type="dxa"/>
            <w:vAlign w:val="bottom"/>
          </w:tcPr>
          <w:p>
            <w:pPr>
              <w:ind w:left="20"/>
              <w:spacing w:after="0"/>
              <w:rPr>
                <w:sz w:val="20"/>
                <w:szCs w:val="20"/>
                <w:color w:val="auto"/>
              </w:rPr>
            </w:pPr>
            <w:r>
              <w:rPr>
                <w:rFonts w:ascii="Arial" w:cs="Arial" w:eastAsia="Arial" w:hAnsi="Arial"/>
                <w:sz w:val="18"/>
                <w:szCs w:val="18"/>
                <w:color w:val="auto"/>
              </w:rPr>
              <w:t>31-to-60 days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1,103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2.1 %</w:t>
            </w:r>
          </w:p>
        </w:tc>
      </w:tr>
      <w:tr>
        <w:trPr>
          <w:trHeight w:val="228"/>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Greater-than-60 days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0.8 %</w:t>
            </w:r>
          </w:p>
        </w:tc>
      </w:tr>
      <w:tr>
        <w:trPr>
          <w:trHeight w:val="155"/>
        </w:trPr>
        <w:tc>
          <w:tcPr>
            <w:tcW w:w="2300" w:type="dxa"/>
            <w:vAlign w:val="bottom"/>
          </w:tcPr>
          <w:p>
            <w:pPr>
              <w:ind w:left="20"/>
              <w:spacing w:after="0" w:line="154" w:lineRule="exact"/>
              <w:rPr>
                <w:sz w:val="20"/>
                <w:szCs w:val="20"/>
                <w:color w:val="auto"/>
              </w:rPr>
            </w:pPr>
            <w:r>
              <w:rPr>
                <w:rFonts w:ascii="Arial" w:cs="Arial" w:eastAsia="Arial" w:hAnsi="Arial"/>
                <w:sz w:val="17"/>
                <w:szCs w:val="17"/>
                <w:color w:val="auto"/>
                <w:w w:val="97"/>
              </w:rPr>
              <w:t>Finance receivables more than</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8"/>
        </w:trPr>
        <w:tc>
          <w:tcPr>
            <w:tcW w:w="2300" w:type="dxa"/>
            <w:vAlign w:val="bottom"/>
          </w:tcPr>
          <w:p>
            <w:pPr>
              <w:ind w:left="180"/>
              <w:spacing w:after="0"/>
              <w:rPr>
                <w:sz w:val="20"/>
                <w:szCs w:val="20"/>
                <w:color w:val="auto"/>
              </w:rPr>
            </w:pPr>
            <w:r>
              <w:rPr>
                <w:rFonts w:ascii="Arial" w:cs="Arial" w:eastAsia="Arial" w:hAnsi="Arial"/>
                <w:sz w:val="18"/>
                <w:szCs w:val="18"/>
                <w:color w:val="auto"/>
              </w:rPr>
              <w:t>30 days delinquent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1,515</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2.9 %</w:t>
            </w:r>
          </w:p>
        </w:tc>
      </w:tr>
      <w:tr>
        <w:trPr>
          <w:trHeight w:val="228"/>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repossession</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0.1 %</w:t>
            </w:r>
          </w:p>
        </w:tc>
      </w:tr>
      <w:tr>
        <w:trPr>
          <w:trHeight w:val="155"/>
        </w:trPr>
        <w:tc>
          <w:tcPr>
            <w:tcW w:w="2300" w:type="dxa"/>
            <w:vAlign w:val="bottom"/>
          </w:tcPr>
          <w:p>
            <w:pPr>
              <w:ind w:left="20"/>
              <w:spacing w:after="0" w:line="154" w:lineRule="exact"/>
              <w:rPr>
                <w:sz w:val="20"/>
                <w:szCs w:val="20"/>
                <w:color w:val="auto"/>
              </w:rPr>
            </w:pPr>
            <w:r>
              <w:rPr>
                <w:rFonts w:ascii="Arial" w:cs="Arial" w:eastAsia="Arial" w:hAnsi="Arial"/>
                <w:sz w:val="17"/>
                <w:szCs w:val="17"/>
                <w:color w:val="auto"/>
                <w:w w:val="97"/>
              </w:rPr>
              <w:t>Finance receivables more than</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5"/>
        </w:trPr>
        <w:tc>
          <w:tcPr>
            <w:tcW w:w="2300" w:type="dxa"/>
            <w:vAlign w:val="bottom"/>
          </w:tcPr>
          <w:p>
            <w:pPr>
              <w:ind w:left="180"/>
              <w:spacing w:after="0" w:line="175" w:lineRule="exact"/>
              <w:rPr>
                <w:sz w:val="20"/>
                <w:szCs w:val="20"/>
                <w:color w:val="auto"/>
              </w:rPr>
            </w:pPr>
            <w:r>
              <w:rPr>
                <w:rFonts w:ascii="Arial" w:cs="Arial" w:eastAsia="Arial" w:hAnsi="Arial"/>
                <w:sz w:val="18"/>
                <w:szCs w:val="18"/>
                <w:color w:val="auto"/>
              </w:rPr>
              <w:t>30 days delinquent or in</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8"/>
        </w:trPr>
        <w:tc>
          <w:tcPr>
            <w:tcW w:w="2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repossession</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1,548</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3.0 %</w:t>
            </w:r>
          </w:p>
        </w:tc>
      </w:tr>
      <w:tr>
        <w:trPr>
          <w:trHeight w:val="155"/>
        </w:trPr>
        <w:tc>
          <w:tcPr>
            <w:tcW w:w="230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w w:val="99"/>
              </w:rPr>
              <w:t>Retail finance receivables, net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27"/>
        </w:trPr>
        <w:tc>
          <w:tcPr>
            <w:tcW w:w="2300" w:type="dxa"/>
            <w:vAlign w:val="bottom"/>
            <w:tcBorders>
              <w:bottom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of fees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26,183</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12,050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3,693</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51,288</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The outstanding amortized cost of retail finance receivables that are considered troubled debt restructurings was $2.0 billion at June 30, 2021, including $213 million in nonaccrual loans.</w:t>
      </w:r>
    </w:p>
    <w:p>
      <w:pPr>
        <w:spacing w:after="0" w:line="197"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b w:val="1"/>
          <w:bCs w:val="1"/>
          <w:i w:val="1"/>
          <w:iCs w:val="1"/>
          <w:color w:val="auto"/>
        </w:rPr>
        <w:t xml:space="preserve">Commercial Finance Receivables </w:t>
      </w:r>
      <w:r>
        <w:rPr>
          <w:rFonts w:ascii="Arial" w:cs="Arial" w:eastAsia="Arial" w:hAnsi="Arial"/>
          <w:sz w:val="17"/>
          <w:szCs w:val="17"/>
          <w:color w:val="auto"/>
        </w:rPr>
        <w:t>GM Financial's commercial finance receivables consist of dealer financings, primarily for inventory purchases.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models are used to assign a risk rating to each dealer. GM Financial performs periodic credit reviews of each dealership and adjusts the dealership's risk rating, if necessary. There were no commercial finance receivables on nonaccrual status at June 30,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GM Financial's commercial risk model and risk rating categories are as follows:</w:t>
      </w:r>
    </w:p>
    <w:p>
      <w:pPr>
        <w:sectPr>
          <w:pgSz w:w="11900" w:h="16838" w:orient="portrait"/>
          <w:cols w:equalWidth="0" w:num="1">
            <w:col w:w="11240"/>
          </w:cols>
          <w:pgMar w:left="320" w:top="125" w:right="339" w:bottom="1440" w:gutter="0" w:footer="0" w:header="0"/>
        </w:sectPr>
      </w:pPr>
    </w:p>
    <w:p>
      <w:pPr>
        <w:spacing w:after="0" w:line="1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Rating</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II</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III</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16510</wp:posOffset>
            </wp:positionV>
            <wp:extent cx="7132955" cy="153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Performing accounts with strong to acceptable financial metrics with at least satisfactory capacity to meet financial commitments.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Performing accounts experiencing potential weakness in financial metrics and repayment prospects resulting in increased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27940</wp:posOffset>
            </wp:positionV>
            <wp:extent cx="7132955" cy="255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255905"/>
                    </a:xfrm>
                    <a:prstGeom prst="rect">
                      <a:avLst/>
                    </a:prstGeom>
                    <a:noFill/>
                  </pic:spPr>
                </pic:pic>
              </a:graphicData>
            </a:graphic>
          </wp:anchor>
        </w:drawing>
      </w:r>
    </w:p>
    <w:p>
      <w:pPr>
        <w:spacing w:after="0" w:line="24" w:lineRule="exact"/>
        <w:rPr>
          <w:sz w:val="20"/>
          <w:szCs w:val="20"/>
          <w:color w:val="auto"/>
        </w:rPr>
      </w:pPr>
    </w:p>
    <w:p>
      <w:pPr>
        <w:ind w:left="160" w:right="560" w:hanging="160"/>
        <w:spacing w:after="0" w:line="233" w:lineRule="auto"/>
        <w:rPr>
          <w:sz w:val="20"/>
          <w:szCs w:val="20"/>
          <w:color w:val="auto"/>
        </w:rPr>
      </w:pPr>
      <w:r>
        <w:rPr>
          <w:rFonts w:ascii="Arial" w:cs="Arial" w:eastAsia="Arial" w:hAnsi="Arial"/>
          <w:sz w:val="18"/>
          <w:szCs w:val="18"/>
          <w:color w:val="auto"/>
        </w:rPr>
        <w:t>Non-Performing accounts with inadequate paying capacity for current obligations and have the distinct possibility of creating a loss if deficiencies are not corrected.</w:t>
      </w:r>
    </w:p>
    <w:p>
      <w:pPr>
        <w:spacing w:after="0" w:line="1" w:lineRule="exact"/>
        <w:rPr>
          <w:sz w:val="20"/>
          <w:szCs w:val="20"/>
          <w:color w:val="auto"/>
        </w:rPr>
      </w:pPr>
    </w:p>
    <w:p>
      <w:pPr>
        <w:ind w:left="160" w:right="780" w:hanging="160"/>
        <w:spacing w:after="0" w:line="233" w:lineRule="auto"/>
        <w:rPr>
          <w:sz w:val="20"/>
          <w:szCs w:val="20"/>
          <w:color w:val="auto"/>
        </w:rPr>
      </w:pPr>
      <w:r>
        <w:rPr>
          <w:rFonts w:ascii="Arial" w:cs="Arial" w:eastAsia="Arial" w:hAnsi="Arial"/>
          <w:sz w:val="18"/>
          <w:szCs w:val="18"/>
          <w:color w:val="auto"/>
        </w:rPr>
        <w:t>Non-Performing accounts with inadequate paying capacity for current obligations and inherent weaknesses that make collection of liquidation in full highly questionable or improbable.</w:t>
      </w:r>
    </w:p>
    <w:p>
      <w:pPr>
        <w:spacing w:after="0" w:line="200" w:lineRule="exact"/>
        <w:rPr>
          <w:sz w:val="20"/>
          <w:szCs w:val="20"/>
          <w:color w:val="auto"/>
        </w:rPr>
      </w:pPr>
    </w:p>
    <w:p>
      <w:pPr>
        <w:sectPr>
          <w:pgSz w:w="11900" w:h="16838" w:orient="portrait"/>
          <w:cols w:equalWidth="0" w:num="2">
            <w:col w:w="540" w:space="540"/>
            <w:col w:w="10160"/>
          </w:cols>
          <w:pgMar w:left="320" w:top="125" w:right="339" w:bottom="1440" w:gutter="0" w:footer="0" w:header="0"/>
          <w:type w:val="continuous"/>
        </w:sectPr>
      </w:pPr>
    </w:p>
    <w:p>
      <w:pPr>
        <w:spacing w:after="0" w:line="217"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Dealers with III and IV risk ratings are subject to additional monitoring and restrictions on funding, including suspension of lines of credit and liquidation of assets. The following tables summarize the credit risk profile by dealer risk rating of commercial finance receivables at June 30, 2021 and December 31, 2020:</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2"/>
              </w:rPr>
              <w:t>Year of Origination(a)</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6"/>
                <w:szCs w:val="16"/>
                <w:b w:val="1"/>
                <w:bCs w:val="1"/>
                <w:color w:val="auto"/>
              </w:rPr>
              <w:t>June 30, 2021</w:t>
            </w:r>
          </w:p>
        </w:tc>
      </w:tr>
      <w:tr>
        <w:trPr>
          <w:trHeight w:val="209"/>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Revolving</w:t>
            </w:r>
          </w:p>
        </w:tc>
        <w:tc>
          <w:tcPr>
            <w:tcW w:w="14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b w:val="1"/>
                <w:bCs w:val="1"/>
                <w:color w:val="auto"/>
              </w:rPr>
              <w:t>Prior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Percent</w:t>
            </w:r>
          </w:p>
        </w:tc>
      </w:tr>
      <w:tr>
        <w:trPr>
          <w:trHeight w:val="211"/>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w:t>
            </w: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4,957</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91.1 %</w:t>
            </w:r>
          </w:p>
        </w:tc>
      </w:tr>
      <w:tr>
        <w:trPr>
          <w:trHeight w:val="212"/>
        </w:trPr>
        <w:tc>
          <w:tcPr>
            <w:tcW w:w="3040" w:type="dxa"/>
            <w:vAlign w:val="bottom"/>
          </w:tcPr>
          <w:p>
            <w:pPr>
              <w:ind w:left="20"/>
              <w:spacing w:after="0"/>
              <w:rPr>
                <w:sz w:val="20"/>
                <w:szCs w:val="20"/>
                <w:color w:val="auto"/>
              </w:rPr>
            </w:pPr>
            <w:r>
              <w:rPr>
                <w:rFonts w:ascii="Arial" w:cs="Arial" w:eastAsia="Arial" w:hAnsi="Arial"/>
                <w:sz w:val="16"/>
                <w:szCs w:val="16"/>
                <w:color w:val="auto"/>
              </w:rPr>
              <w:t>II</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6.2 %</w:t>
            </w:r>
          </w:p>
        </w:tc>
      </w:tr>
      <w:tr>
        <w:trPr>
          <w:trHeight w:val="218"/>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III</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12"/>
        </w:trPr>
        <w:tc>
          <w:tcPr>
            <w:tcW w:w="3040" w:type="dxa"/>
            <w:vAlign w:val="bottom"/>
          </w:tcPr>
          <w:p>
            <w:pPr>
              <w:ind w:left="20"/>
              <w:spacing w:after="0"/>
              <w:rPr>
                <w:sz w:val="20"/>
                <w:szCs w:val="20"/>
                <w:color w:val="auto"/>
              </w:rPr>
            </w:pPr>
            <w:r>
              <w:rPr>
                <w:rFonts w:ascii="Arial" w:cs="Arial" w:eastAsia="Arial" w:hAnsi="Arial"/>
                <w:sz w:val="16"/>
                <w:szCs w:val="16"/>
                <w:color w:val="auto"/>
              </w:rPr>
              <w:t>IV</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36"/>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Commercial finance receivables, net of fees</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20" w:hanging="313"/>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Floorplan advances comprise 94% of the total revolving balance. Dealer term loans are presented by year of origination.</w:t>
      </w:r>
    </w:p>
    <w:p>
      <w:pPr>
        <w:spacing w:after="0" w:line="200" w:lineRule="exact"/>
        <w:rPr>
          <w:rFonts w:ascii="Arial" w:cs="Arial" w:eastAsia="Arial" w:hAnsi="Arial"/>
          <w:sz w:val="16"/>
          <w:szCs w:val="16"/>
          <w:color w:val="auto"/>
        </w:rPr>
      </w:pPr>
    </w:p>
    <w:p>
      <w:pPr>
        <w:spacing w:after="0" w:line="380"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2"/>
              </w:rPr>
              <w:t>Year of Origination(a)</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rPr>
              <w:t>December 31, 2020</w:t>
            </w:r>
          </w:p>
        </w:tc>
      </w:tr>
      <w:tr>
        <w:trPr>
          <w:trHeight w:val="209"/>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Revolving</w:t>
            </w:r>
          </w:p>
        </w:tc>
        <w:tc>
          <w:tcPr>
            <w:tcW w:w="14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b w:val="1"/>
                <w:bCs w:val="1"/>
                <w:color w:val="auto"/>
              </w:rPr>
              <w:t>Prior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Percent</w:t>
            </w:r>
          </w:p>
        </w:tc>
      </w:tr>
      <w:tr>
        <w:trPr>
          <w:trHeight w:val="211"/>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w:t>
            </w: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7,857</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90.5 %</w:t>
            </w:r>
          </w:p>
        </w:tc>
      </w:tr>
      <w:tr>
        <w:trPr>
          <w:trHeight w:val="212"/>
        </w:trPr>
        <w:tc>
          <w:tcPr>
            <w:tcW w:w="3040" w:type="dxa"/>
            <w:vAlign w:val="bottom"/>
          </w:tcPr>
          <w:p>
            <w:pPr>
              <w:ind w:left="20"/>
              <w:spacing w:after="0"/>
              <w:rPr>
                <w:sz w:val="20"/>
                <w:szCs w:val="20"/>
                <w:color w:val="auto"/>
              </w:rPr>
            </w:pPr>
            <w:r>
              <w:rPr>
                <w:rFonts w:ascii="Arial" w:cs="Arial" w:eastAsia="Arial" w:hAnsi="Arial"/>
                <w:sz w:val="16"/>
                <w:szCs w:val="16"/>
                <w:color w:val="auto"/>
              </w:rPr>
              <w:t>II</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6.5 %</w:t>
            </w:r>
          </w:p>
        </w:tc>
      </w:tr>
      <w:tr>
        <w:trPr>
          <w:trHeight w:val="218"/>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III</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12"/>
        </w:trPr>
        <w:tc>
          <w:tcPr>
            <w:tcW w:w="3040" w:type="dxa"/>
            <w:vAlign w:val="bottom"/>
          </w:tcPr>
          <w:p>
            <w:pPr>
              <w:ind w:left="20"/>
              <w:spacing w:after="0"/>
              <w:rPr>
                <w:sz w:val="20"/>
                <w:szCs w:val="20"/>
                <w:color w:val="auto"/>
              </w:rPr>
            </w:pPr>
            <w:r>
              <w:rPr>
                <w:rFonts w:ascii="Arial" w:cs="Arial" w:eastAsia="Arial" w:hAnsi="Arial"/>
                <w:sz w:val="16"/>
                <w:szCs w:val="16"/>
                <w:color w:val="auto"/>
              </w:rPr>
              <w:t>IV</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236"/>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Commercial finance receivables, net of fees</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Floorplan advances comprise 97% of the total revolving balance. Dealer term loans are presented by year of origination.</w:t>
      </w:r>
    </w:p>
    <w:p>
      <w:pPr>
        <w:spacing w:after="0" w:line="231"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b w:val="1"/>
          <w:bCs w:val="1"/>
          <w:i w:val="1"/>
          <w:iCs w:val="1"/>
          <w:color w:val="auto"/>
        </w:rPr>
        <w:t xml:space="preserve">Transactions with GM Financial </w:t>
      </w:r>
      <w:r>
        <w:rPr>
          <w:rFonts w:ascii="Arial" w:cs="Arial" w:eastAsia="Arial" w:hAnsi="Arial"/>
          <w:sz w:val="18"/>
          <w:szCs w:val="18"/>
          <w:color w:val="auto"/>
        </w:rPr>
        <w:t>The following table shows transactions between our Automotive segments and GM Financial. These amounts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presented in GM Financial's condensed consolidated balance sheets and statements of income.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gridSpan w:val="4"/>
          </w:tcPr>
          <w:p>
            <w:pPr>
              <w:ind w:left="8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2020</w:t>
            </w:r>
          </w:p>
        </w:tc>
      </w:tr>
      <w:tr>
        <w:trPr>
          <w:trHeight w:val="215"/>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Balance Sheets(a)</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28"/>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Commercial finance receivables, net due from GM consolidated dealers</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28"/>
        </w:trPr>
        <w:tc>
          <w:tcPr>
            <w:tcW w:w="4780" w:type="dxa"/>
            <w:vAlign w:val="bottom"/>
          </w:tcPr>
          <w:p>
            <w:pPr>
              <w:ind w:left="20"/>
              <w:spacing w:after="0"/>
              <w:rPr>
                <w:sz w:val="20"/>
                <w:szCs w:val="20"/>
                <w:color w:val="auto"/>
              </w:rPr>
            </w:pPr>
            <w:r>
              <w:rPr>
                <w:rFonts w:ascii="Arial" w:cs="Arial" w:eastAsia="Arial" w:hAnsi="Arial"/>
                <w:sz w:val="18"/>
                <w:szCs w:val="18"/>
                <w:color w:val="auto"/>
              </w:rPr>
              <w:t>Subvention receivable(b)</w:t>
            </w: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642</w:t>
            </w:r>
          </w:p>
        </w:tc>
      </w:tr>
      <w:tr>
        <w:trPr>
          <w:trHeight w:val="228"/>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loan funding payable</w:t>
            </w: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303"/>
        </w:trPr>
        <w:tc>
          <w:tcPr>
            <w:tcW w:w="4780" w:type="dxa"/>
            <w:vAlign w:val="bottom"/>
          </w:tcPr>
          <w:p>
            <w:pPr>
              <w:spacing w:after="0"/>
              <w:rPr>
                <w:sz w:val="24"/>
                <w:szCs w:val="24"/>
                <w:color w:val="auto"/>
              </w:rPr>
            </w:pPr>
          </w:p>
        </w:tc>
        <w:tc>
          <w:tcPr>
            <w:tcW w:w="302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833"/>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478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June 30, 2020</w:t>
            </w:r>
          </w:p>
        </w:tc>
      </w:tr>
      <w:tr>
        <w:trPr>
          <w:trHeight w:val="211"/>
        </w:trPr>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Statements of Income</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8"/>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subvention earned on finance receivables</w:t>
            </w:r>
          </w:p>
        </w:tc>
        <w:tc>
          <w:tcPr>
            <w:tcW w:w="1260" w:type="dxa"/>
            <w:vAlign w:val="bottom"/>
            <w:shd w:val="clear" w:color="auto" w:fill="CCEEFF"/>
          </w:tcPr>
          <w:p>
            <w:pPr>
              <w:jc w:val="right"/>
              <w:ind w:right="107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76"/>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162</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Leased vehicle subvention earned</w:t>
            </w:r>
          </w:p>
        </w:tc>
        <w:tc>
          <w:tcPr>
            <w:tcW w:w="1260" w:type="dxa"/>
            <w:vAlign w:val="bottom"/>
          </w:tcPr>
          <w:p>
            <w:pPr>
              <w:jc w:val="right"/>
              <w:ind w:right="1079"/>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704</w:t>
            </w:r>
          </w:p>
        </w:tc>
        <w:tc>
          <w:tcPr>
            <w:tcW w:w="100" w:type="dxa"/>
            <w:vAlign w:val="bottom"/>
          </w:tcPr>
          <w:p>
            <w:pPr>
              <w:spacing w:after="0"/>
              <w:rPr>
                <w:sz w:val="19"/>
                <w:szCs w:val="19"/>
                <w:color w:val="auto"/>
              </w:rPr>
            </w:pPr>
          </w:p>
        </w:tc>
        <w:tc>
          <w:tcPr>
            <w:tcW w:w="1280" w:type="dxa"/>
            <w:vAlign w:val="bottom"/>
          </w:tcPr>
          <w:p>
            <w:pPr>
              <w:jc w:val="right"/>
              <w:ind w:right="1076"/>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765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1,570</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20" w:hanging="313"/>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balance sheet amounts are eliminated upon consolidation.</w:t>
      </w:r>
    </w:p>
    <w:p>
      <w:pPr>
        <w:spacing w:after="0" w:line="8" w:lineRule="exact"/>
        <w:rPr>
          <w:rFonts w:ascii="Arial" w:cs="Arial" w:eastAsia="Arial" w:hAnsi="Arial"/>
          <w:sz w:val="16"/>
          <w:szCs w:val="16"/>
          <w:color w:val="auto"/>
        </w:rPr>
      </w:pPr>
    </w:p>
    <w:p>
      <w:pPr>
        <w:ind w:left="340" w:hanging="333"/>
        <w:spacing w:after="0" w:line="255"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Automotive segments made cash payments to GM Financial for subvention of $1.0 billion and $967 million in the three months ended June 30, 2021 and 2020 and $2.0 billion in the six months ended June 30, 2021 and 2020.</w:t>
      </w:r>
    </w:p>
    <w:p>
      <w:pPr>
        <w:spacing w:after="0" w:line="209" w:lineRule="exact"/>
        <w:rPr>
          <w:sz w:val="20"/>
          <w:szCs w:val="20"/>
          <w:color w:val="auto"/>
        </w:rPr>
      </w:pPr>
    </w:p>
    <w:p>
      <w:pPr>
        <w:ind w:right="20" w:firstLine="161"/>
        <w:spacing w:after="0" w:line="275" w:lineRule="auto"/>
        <w:rPr>
          <w:sz w:val="20"/>
          <w:szCs w:val="20"/>
          <w:color w:val="auto"/>
        </w:rPr>
      </w:pPr>
      <w:r>
        <w:rPr>
          <w:rFonts w:ascii="Arial" w:cs="Arial" w:eastAsia="Arial" w:hAnsi="Arial"/>
          <w:sz w:val="18"/>
          <w:szCs w:val="18"/>
          <w:color w:val="auto"/>
        </w:rPr>
        <w:t>GM Financial's Board of Directors declared and paid dividends of $600 million and $400 million on its common stock in the three months ended June 31, 2021 and 2020 and $1.2 billion and $800 million in the six months ended June 30, 2021 and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 2020</w:t>
            </w:r>
          </w:p>
        </w:tc>
      </w:tr>
      <w:tr>
        <w:trPr>
          <w:trHeight w:val="228"/>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productive material, supplies and work in process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5,117</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product, including service parts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jc w:val="both"/>
        <w:ind w:firstLine="161"/>
        <w:spacing w:after="0" w:line="244" w:lineRule="auto"/>
        <w:rPr>
          <w:sz w:val="20"/>
          <w:szCs w:val="20"/>
          <w:color w:val="auto"/>
        </w:rPr>
      </w:pPr>
      <w:r>
        <w:rPr>
          <w:rFonts w:ascii="Arial" w:cs="Arial" w:eastAsia="Arial" w:hAnsi="Arial"/>
          <w:sz w:val="18"/>
          <w:szCs w:val="18"/>
          <w:color w:val="auto"/>
        </w:rPr>
        <w:t>Inventories at June 30, 2021 increased primarily due to certain vehicles being manufactured without final components as a result of the global semiconductor supply shortage.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Equipment on Operating Leases</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Equipment on operating leases consists of leases to retail customers of GM Financial.</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6"/>
                <w:szCs w:val="16"/>
                <w:color w:val="auto"/>
              </w:rPr>
            </w:pPr>
          </w:p>
        </w:tc>
        <w:tc>
          <w:tcPr>
            <w:tcW w:w="1480" w:type="dxa"/>
            <w:vAlign w:val="bottom"/>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228"/>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98"/>
              </w:rPr>
              <w:t>50,217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center"/>
              <w:ind w:left="755"/>
              <w:spacing w:after="0"/>
              <w:rPr>
                <w:sz w:val="20"/>
                <w:szCs w:val="20"/>
                <w:color w:val="auto"/>
              </w:rPr>
            </w:pPr>
            <w:r>
              <w:rPr>
                <w:rFonts w:ascii="Arial" w:cs="Arial" w:eastAsia="Arial" w:hAnsi="Arial"/>
                <w:sz w:val="18"/>
                <w:szCs w:val="18"/>
                <w:color w:val="auto"/>
                <w:w w:val="87"/>
              </w:rPr>
              <w:t>50,000</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91"/>
              </w:rPr>
              <w:t>(9,621)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735"/>
              <w:spacing w:after="0"/>
              <w:rPr>
                <w:sz w:val="20"/>
                <w:szCs w:val="20"/>
                <w:color w:val="auto"/>
              </w:rPr>
            </w:pPr>
            <w:r>
              <w:rPr>
                <w:rFonts w:ascii="Arial" w:cs="Arial" w:eastAsia="Arial" w:hAnsi="Arial"/>
                <w:sz w:val="18"/>
                <w:szCs w:val="18"/>
                <w:color w:val="auto"/>
                <w:w w:val="92"/>
              </w:rPr>
              <w:t>(10,181)</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98"/>
              </w:rPr>
              <w:t>40,596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center"/>
              <w:ind w:left="755"/>
              <w:spacing w:after="0"/>
              <w:rPr>
                <w:sz w:val="20"/>
                <w:szCs w:val="20"/>
                <w:color w:val="auto"/>
              </w:rPr>
            </w:pPr>
            <w:r>
              <w:rPr>
                <w:rFonts w:ascii="Arial" w:cs="Arial" w:eastAsia="Arial" w:hAnsi="Arial"/>
                <w:sz w:val="18"/>
                <w:szCs w:val="18"/>
                <w:color w:val="auto"/>
                <w:w w:val="87"/>
              </w:rPr>
              <w:t>39,819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estimated residual value of our leased assets at the end of the lease term was $29.9 billion and $29.2 billion at June 30, 2021 and December 31, 2020.</w:t>
      </w:r>
    </w:p>
    <w:p>
      <w:pPr>
        <w:spacing w:after="0" w:line="259" w:lineRule="exact"/>
        <w:rPr>
          <w:sz w:val="20"/>
          <w:szCs w:val="20"/>
          <w:color w:val="auto"/>
        </w:rPr>
      </w:pPr>
    </w:p>
    <w:p>
      <w:pPr>
        <w:jc w:val="both"/>
        <w:ind w:right="20" w:firstLine="161"/>
        <w:spacing w:after="0" w:line="275" w:lineRule="auto"/>
        <w:rPr>
          <w:sz w:val="20"/>
          <w:szCs w:val="20"/>
          <w:color w:val="auto"/>
        </w:rPr>
      </w:pPr>
      <w:r>
        <w:rPr>
          <w:rFonts w:ascii="Arial" w:cs="Arial" w:eastAsia="Arial" w:hAnsi="Arial"/>
          <w:sz w:val="18"/>
          <w:szCs w:val="18"/>
          <w:color w:val="auto"/>
        </w:rPr>
        <w:t>Depreciation expense related to Equipment on operating leases, net was $1.5 billion and $1.9 billion in the three months ended June 30, 2021 and 2020 and $3.2 billion and $3.7 billion in the six months ended June 30, 2021 and 2020.</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lease payments due to GM Financial on leases to retail customers: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6"/>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jc w:val="right"/>
              <w:ind w:right="530"/>
              <w:spacing w:after="0"/>
              <w:rPr>
                <w:sz w:val="20"/>
                <w:szCs w:val="20"/>
                <w:color w:val="auto"/>
              </w:rPr>
            </w:pPr>
            <w:r>
              <w:rPr>
                <w:rFonts w:ascii="Arial" w:cs="Arial" w:eastAsia="Arial" w:hAnsi="Arial"/>
                <w:sz w:val="14"/>
                <w:szCs w:val="14"/>
                <w:b w:val="1"/>
                <w:bCs w:val="1"/>
                <w:color w:val="auto"/>
              </w:rPr>
              <w:t>Thereafter</w:t>
            </w:r>
          </w:p>
        </w:tc>
        <w:tc>
          <w:tcPr>
            <w:tcW w:w="72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receipts under operating leases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2,695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11,615</w:t>
            </w: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Equity in Net Assets of Nonconsolidated Affiliates</w:t>
      </w:r>
    </w:p>
    <w:p>
      <w:pPr>
        <w:spacing w:after="0" w:line="160"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color w:val="auto"/>
        </w:rPr>
        <w:t>Nonconsolidated affiliates are entities in which we maintain an equity ownership interest and for which we use the equity method of accounting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835"/>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5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June 30, 2020</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8"/>
              </w:rPr>
              <w:t>June 30, 2020</w:t>
            </w: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equity income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8"/>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joint ventures equity income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r>
      <w:tr>
        <w:trPr>
          <w:trHeight w:val="24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There have been no significant ownership changes in our Automotive China joint ventures (Automotive China JVs) since December 31,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836"/>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8"/>
              </w:rPr>
              <w:t>June 30, 2020</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June 30, 2020</w:t>
            </w:r>
          </w:p>
        </w:tc>
      </w:tr>
      <w:tr>
        <w:trPr>
          <w:trHeight w:val="211"/>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Summarized Operating Data of Automotive China JVs</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China JVs' 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13,560</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Automotive China JVs' 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1,113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214</w:t>
            </w:r>
          </w:p>
        </w:tc>
      </w:tr>
    </w:tbl>
    <w:p>
      <w:pPr>
        <w:spacing w:after="0" w:line="186"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Dividends declared but not paid from our nonconsolidated affiliates were insignificant at June 30, 2021 and December 31, 2020. Dividends received from our nonconsolidated affiliates were $693 million and $709 million in the three and six months ended June 30, 2021 and $525 million and $526 million in the three and six months ended June 30, 2020. Undistributed earnings from our nonconsolidated affiliates were $1.6 billion at June 30, 2021 and December 31,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Variable Interest Entities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GM Financial</w:t>
      </w:r>
    </w:p>
    <w:p>
      <w:pPr>
        <w:spacing w:after="0" w:line="119" w:lineRule="exact"/>
        <w:rPr>
          <w:sz w:val="20"/>
          <w:szCs w:val="20"/>
          <w:color w:val="auto"/>
        </w:rPr>
      </w:pPr>
    </w:p>
    <w:p>
      <w:pPr>
        <w:jc w:val="both"/>
        <w:ind w:firstLine="161"/>
        <w:spacing w:after="0" w:line="268" w:lineRule="auto"/>
        <w:rPr>
          <w:sz w:val="20"/>
          <w:szCs w:val="20"/>
          <w:color w:val="auto"/>
        </w:rPr>
      </w:pPr>
      <w:r>
        <w:rPr>
          <w:rFonts w:ascii="Arial" w:cs="Arial" w:eastAsia="Arial" w:hAnsi="Arial"/>
          <w:sz w:val="17"/>
          <w:szCs w:val="17"/>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subsidiaries are included in GM Financial's condensed consolidated financial statements, they are separate legal entities and their assets are legally owned by them and are not available to GM Financial's creditors.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assets and liabilities related to GM Financial's consolidated VIEs: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 2020</w:t>
            </w:r>
          </w:p>
        </w:tc>
      </w:tr>
      <w:tr>
        <w:trPr>
          <w:trHeight w:val="228"/>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 current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Restricted cash – non-current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receivables, net of fees – current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17,211</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GM Financial receivables, net of fees – non-current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14,141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15,107</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equipment on operating leases, net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16,322</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GM Financial short-term debt and current portion of long-term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18,090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20,450</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long-term debt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18,974</w:t>
            </w:r>
          </w:p>
        </w:tc>
      </w:tr>
    </w:tbl>
    <w:p>
      <w:pPr>
        <w:spacing w:after="0" w:line="200" w:lineRule="exact"/>
        <w:rPr>
          <w:sz w:val="20"/>
          <w:szCs w:val="20"/>
          <w:color w:val="auto"/>
        </w:rPr>
      </w:pPr>
    </w:p>
    <w:p>
      <w:pPr>
        <w:spacing w:after="0" w:line="202" w:lineRule="exact"/>
        <w:rPr>
          <w:sz w:val="20"/>
          <w:szCs w:val="20"/>
          <w:color w:val="auto"/>
        </w:rPr>
      </w:pPr>
    </w:p>
    <w:p>
      <w:pPr>
        <w:jc w:val="both"/>
        <w:ind w:firstLine="161"/>
        <w:spacing w:after="0" w:line="339" w:lineRule="auto"/>
        <w:rPr>
          <w:sz w:val="20"/>
          <w:szCs w:val="20"/>
          <w:color w:val="auto"/>
        </w:rPr>
      </w:pPr>
      <w:r>
        <w:rPr>
          <w:rFonts w:ascii="Arial" w:cs="Arial" w:eastAsia="Arial" w:hAnsi="Arial"/>
          <w:sz w:val="16"/>
          <w:szCs w:val="16"/>
          <w:color w:val="auto"/>
        </w:rPr>
        <w:t>GM Financial recognizes finance charge, leased vehicle and fee income on the Securitized Assets and interest expense on the secured debt issued in a securitization transaction and records a provision for loan losses to recognize loan losses expected over the remaining life of the finance receivables.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VIEs</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Automotive</w:t>
      </w:r>
    </w:p>
    <w:p>
      <w:pPr>
        <w:spacing w:after="0" w:line="119"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color w:val="auto"/>
        </w:rPr>
        <w:t>Nonconsolidated VIEs principally include automotive related operating entities to which we provided financial support to ensure that our supply needs for production are met or are not disrupted. Our variable interests in these nonconsolidated VIEs include equity investments, accounts and loans receivable, committed financial support and other off-balance sheet arrangements. The carrying amounts of assets and liabilities related to our nonconsolidated VIEs were insignificant at June 30, 2021 and December 31, 2020. Our maximum exposure to loss as a result of our involvement with these VIEs was $2.2 billion and $1.2 billion, inclusive of $1.5 billion and $776 million in committed capital contributions to Ultium Cells LLC at June 30, 2021 and December 31, 2020. We currently lack the power through voting or similar rights to direct the activities of these entities that most significantly affect their economic performance.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5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debt in our automotive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gridSpan w:val="5"/>
          </w:tcPr>
          <w:p>
            <w:pPr>
              <w:ind w:left="96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6"/>
                <w:szCs w:val="16"/>
                <w:color w:val="auto"/>
              </w:rPr>
            </w:pPr>
          </w:p>
        </w:tc>
        <w:tc>
          <w:tcPr>
            <w:tcW w:w="2860" w:type="dxa"/>
            <w:vAlign w:val="bottom"/>
            <w:gridSpan w:val="4"/>
          </w:tcPr>
          <w:p>
            <w:pPr>
              <w:jc w:val="right"/>
              <w:ind w:right="812"/>
              <w:spacing w:after="0"/>
              <w:rPr>
                <w:sz w:val="20"/>
                <w:szCs w:val="20"/>
                <w:color w:val="auto"/>
              </w:rPr>
            </w:pPr>
            <w:r>
              <w:rPr>
                <w:rFonts w:ascii="Arial" w:cs="Arial" w:eastAsia="Arial" w:hAnsi="Arial"/>
                <w:sz w:val="14"/>
                <w:szCs w:val="14"/>
                <w:b w:val="1"/>
                <w:bCs w:val="1"/>
                <w:color w:val="auto"/>
              </w:rPr>
              <w:t>December 31, 2020</w:t>
            </w:r>
          </w:p>
        </w:tc>
      </w:tr>
      <w:tr>
        <w:trPr>
          <w:trHeight w:val="186"/>
        </w:trPr>
        <w:tc>
          <w:tcPr>
            <w:tcW w:w="5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278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332</w:t>
            </w:r>
          </w:p>
        </w:tc>
      </w:tr>
      <w:tr>
        <w:trPr>
          <w:trHeight w:val="228"/>
        </w:trPr>
        <w:tc>
          <w:tcPr>
            <w:tcW w:w="5120" w:type="dxa"/>
            <w:vAlign w:val="bottom"/>
          </w:tcPr>
          <w:p>
            <w:pPr>
              <w:ind w:left="20"/>
              <w:spacing w:after="0"/>
              <w:rPr>
                <w:sz w:val="20"/>
                <w:szCs w:val="20"/>
                <w:color w:val="auto"/>
              </w:rPr>
            </w:pPr>
            <w:r>
              <w:rPr>
                <w:rFonts w:ascii="Arial" w:cs="Arial" w:eastAsia="Arial" w:hAnsi="Arial"/>
                <w:sz w:val="18"/>
                <w:szCs w:val="18"/>
                <w:color w:val="auto"/>
              </w:rPr>
              <w:t>Unsecured debt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16,743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20,756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20,988</w:t>
            </w:r>
          </w:p>
        </w:tc>
      </w:tr>
      <w:tr>
        <w:trPr>
          <w:trHeight w:val="228"/>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256</w:t>
            </w:r>
          </w:p>
        </w:tc>
      </w:tr>
      <w:tr>
        <w:trPr>
          <w:trHeight w:val="222"/>
        </w:trPr>
        <w:tc>
          <w:tcPr>
            <w:tcW w:w="5120" w:type="dxa"/>
            <w:vAlign w:val="bottom"/>
          </w:tcPr>
          <w:p>
            <w:pPr>
              <w:ind w:left="20"/>
              <w:spacing w:after="0"/>
              <w:rPr>
                <w:sz w:val="20"/>
                <w:szCs w:val="20"/>
                <w:color w:val="auto"/>
              </w:rPr>
            </w:pPr>
            <w:r>
              <w:rPr>
                <w:rFonts w:ascii="Arial" w:cs="Arial" w:eastAsia="Arial" w:hAnsi="Arial"/>
                <w:sz w:val="18"/>
                <w:szCs w:val="18"/>
                <w:color w:val="auto"/>
              </w:rPr>
              <w:t>Total automotive debt(a)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21,369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21,576</w:t>
            </w:r>
          </w:p>
        </w:tc>
      </w:tr>
      <w:tr>
        <w:trPr>
          <w:trHeight w:val="46"/>
        </w:trPr>
        <w:tc>
          <w:tcPr>
            <w:tcW w:w="5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28"/>
        </w:trPr>
        <w:tc>
          <w:tcPr>
            <w:tcW w:w="512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Fair value utilizing Level 1 inputs</w:t>
            </w:r>
          </w:p>
        </w:tc>
        <w:tc>
          <w:tcPr>
            <w:tcW w:w="1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tcBorders>
          </w:tcPr>
          <w:p>
            <w:pPr>
              <w:jc w:val="right"/>
              <w:ind w:right="132"/>
              <w:spacing w:after="0"/>
              <w:rPr>
                <w:sz w:val="20"/>
                <w:szCs w:val="20"/>
                <w:color w:val="auto"/>
              </w:rPr>
            </w:pPr>
            <w:r>
              <w:rPr>
                <w:rFonts w:ascii="Arial" w:cs="Arial" w:eastAsia="Arial" w:hAnsi="Arial"/>
                <w:sz w:val="18"/>
                <w:szCs w:val="18"/>
                <w:color w:val="auto"/>
              </w:rPr>
              <w:t>19,811</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CCEEFF"/>
            </w:tcBorders>
          </w:tcPr>
          <w:p>
            <w:pPr>
              <w:jc w:val="right"/>
              <w:ind w:right="132"/>
              <w:spacing w:after="0"/>
              <w:rPr>
                <w:sz w:val="20"/>
                <w:szCs w:val="20"/>
                <w:color w:val="auto"/>
              </w:rPr>
            </w:pPr>
            <w:r>
              <w:rPr>
                <w:rFonts w:ascii="Arial" w:cs="Arial" w:eastAsia="Arial" w:hAnsi="Arial"/>
                <w:sz w:val="18"/>
                <w:szCs w:val="18"/>
                <w:color w:val="auto"/>
              </w:rPr>
              <w:t>19,826</w:t>
            </w:r>
          </w:p>
        </w:tc>
      </w:tr>
      <w:tr>
        <w:trPr>
          <w:trHeight w:val="228"/>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utilizing Level 2 inputs</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1,750</w:t>
            </w:r>
          </w:p>
        </w:tc>
      </w:tr>
      <w:tr>
        <w:trPr>
          <w:trHeight w:val="54"/>
        </w:trPr>
        <w:tc>
          <w:tcPr>
            <w:tcW w:w="5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228"/>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under credit facility agreements(b)</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17,189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18,222</w:t>
            </w:r>
          </w:p>
        </w:tc>
      </w:tr>
      <w:tr>
        <w:trPr>
          <w:trHeight w:val="228"/>
        </w:trPr>
        <w:tc>
          <w:tcPr>
            <w:tcW w:w="5120" w:type="dxa"/>
            <w:vAlign w:val="bottom"/>
          </w:tcPr>
          <w:p>
            <w:pPr>
              <w:ind w:left="20"/>
              <w:spacing w:after="0"/>
              <w:rPr>
                <w:sz w:val="20"/>
                <w:szCs w:val="20"/>
                <w:color w:val="auto"/>
              </w:rPr>
            </w:pPr>
            <w:r>
              <w:rPr>
                <w:rFonts w:ascii="Arial" w:cs="Arial" w:eastAsia="Arial" w:hAnsi="Arial"/>
                <w:sz w:val="18"/>
                <w:szCs w:val="18"/>
                <w:color w:val="auto"/>
                <w:w w:val="98"/>
              </w:rPr>
              <w:t>Weighted-average interest rate on outstanding short-term debt(c)</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28"/>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Weighted-average interest rate on outstanding long-term debt(c)</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20" w:hanging="313"/>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net discount and debt issuance costs of $545 million and $540 million at June 30, 2021 and December 31, 2020.</w:t>
      </w:r>
    </w:p>
    <w:p>
      <w:pPr>
        <w:spacing w:after="0" w:line="8" w:lineRule="exact"/>
        <w:rPr>
          <w:rFonts w:ascii="Arial" w:cs="Arial" w:eastAsia="Arial" w:hAnsi="Arial"/>
          <w:sz w:val="16"/>
          <w:szCs w:val="16"/>
          <w:color w:val="auto"/>
        </w:rPr>
      </w:pPr>
    </w:p>
    <w:p>
      <w:pPr>
        <w:ind w:left="320" w:hanging="313"/>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Excludes our 364-day, $2.0 billion facility allocated for exclusive use by GM Financial.</w:t>
      </w:r>
    </w:p>
    <w:p>
      <w:pPr>
        <w:spacing w:after="0" w:line="4" w:lineRule="exact"/>
        <w:rPr>
          <w:rFonts w:ascii="Arial" w:cs="Arial" w:eastAsia="Arial" w:hAnsi="Arial"/>
          <w:sz w:val="16"/>
          <w:szCs w:val="16"/>
          <w:color w:val="auto"/>
        </w:rPr>
      </w:pPr>
    </w:p>
    <w:p>
      <w:pPr>
        <w:ind w:left="320" w:hanging="313"/>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coupon rates on debt denominated in various foreign currencies and interest free loans.</w:t>
      </w:r>
    </w:p>
    <w:p>
      <w:pPr>
        <w:spacing w:after="0" w:line="228"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color w:val="auto"/>
        </w:rPr>
        <w:t>Unsecured debt primarily consists of senior notes. In April 2021, we increased the total borrowing capacity of our five-year, $10.5 billion facility to $11.2 billion and extended the termination date for a $9.9 billion portion of the five-year facility by three years, now set to mature on April 18, 2026. The termination date of April 18, 2023 for the remaining portion of the five-year facility remains unchanged. We also renewed and increased the total borrowing capacity of our three-year, $4.0 billion facility to $4.3 billion, which now matures on April 7, 2024, and renewed our 364-day, $2.0 billion facility allocated for exclusive use by GM Financial, which now matures on April 6, 2022. We also terminated our 364-day, $2.0 billion revolving credit facility, entered into in May 2020. Additionally, the prior restrictions on share repurchases and dividends on our common shares were removed upon entrance into the renewed three-year, $4.3 billion facility.</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debt of GM Financial:</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2021</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December 31, 2020</w:t>
            </w:r>
          </w:p>
        </w:tc>
      </w:tr>
      <w:tr>
        <w:trPr>
          <w:trHeight w:val="186"/>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380" w:type="dxa"/>
            <w:vAlign w:val="bottom"/>
          </w:tcPr>
          <w:p>
            <w:pPr>
              <w:spacing w:after="0"/>
              <w:rPr>
                <w:sz w:val="16"/>
                <w:szCs w:val="16"/>
                <w:color w:val="auto"/>
              </w:rPr>
            </w:pPr>
          </w:p>
        </w:tc>
        <w:tc>
          <w:tcPr>
            <w:tcW w:w="1040" w:type="dxa"/>
            <w:vAlign w:val="bottom"/>
          </w:tcPr>
          <w:p>
            <w:pPr>
              <w:jc w:val="right"/>
              <w:ind w:right="293"/>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60" w:type="dxa"/>
            <w:vAlign w:val="bottom"/>
          </w:tcPr>
          <w:p>
            <w:pPr>
              <w:spacing w:after="0"/>
              <w:rPr>
                <w:sz w:val="16"/>
                <w:szCs w:val="16"/>
                <w:color w:val="auto"/>
              </w:rPr>
            </w:pPr>
          </w:p>
        </w:tc>
        <w:tc>
          <w:tcPr>
            <w:tcW w:w="1180" w:type="dxa"/>
            <w:vAlign w:val="bottom"/>
          </w:tcPr>
          <w:p>
            <w:pPr>
              <w:jc w:val="right"/>
              <w:ind w:right="313"/>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38,999</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39,272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40,380</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Unsecured debt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56,495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54,568</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GM Financial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utilizing Level 2 inputs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92,922</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Fair value utilizing Level 3 inputs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2,026</w:t>
            </w:r>
          </w:p>
        </w:tc>
      </w:tr>
    </w:tbl>
    <w:p>
      <w:pPr>
        <w:spacing w:after="0" w:line="320"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Secured debt consists of revolving credit facilities and securitization notes payable. Most of the secured debt was issued by VIEs and is repayable only from proceeds related to the underlying pledged assets. Refer to Note 8 to our condensed consolidated financial statements for additional information on GM Financial's involvement with VIEs. In the six months ended June 30, 2021, GM Financial renewed revolving credit facilities with total borrowing capacity of $18.7 billion and issued $13.4 billion in aggregate principal amount of securitization notes payable with an initial weighted average interest rate of 0.75% and maturity dates ranging from 2022 to 2028.</w:t>
      </w:r>
    </w:p>
    <w:p>
      <w:pPr>
        <w:spacing w:after="0" w:line="217" w:lineRule="exact"/>
        <w:rPr>
          <w:sz w:val="20"/>
          <w:szCs w:val="20"/>
          <w:color w:val="auto"/>
        </w:rPr>
      </w:pPr>
    </w:p>
    <w:p>
      <w:pPr>
        <w:jc w:val="both"/>
        <w:ind w:firstLine="161"/>
        <w:spacing w:after="0" w:line="339" w:lineRule="auto"/>
        <w:rPr>
          <w:sz w:val="20"/>
          <w:szCs w:val="20"/>
          <w:color w:val="auto"/>
        </w:rPr>
      </w:pPr>
      <w:r>
        <w:rPr>
          <w:rFonts w:ascii="Arial" w:cs="Arial" w:eastAsia="Arial" w:hAnsi="Arial"/>
          <w:sz w:val="16"/>
          <w:szCs w:val="16"/>
          <w:color w:val="auto"/>
        </w:rPr>
        <w:t>Unsecured debt consists of senior notes, credit facilities and other unsecured debt. In the six months ended June 30, 2021, GM Financial issued $8.3 billion in aggregate principal amount of senior notes with an initial weighted average interest rate of 1.65% and maturity dates ranging from 2024 to 2031.</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July 2021, GM Financial issued CAD $400 million in senior notes with an interest rate of 1.70% due in 2025.</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 Financial Instruments</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the notional amounts of derivative financial instruments in our automotive operations: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260" w:type="dxa"/>
            <w:vAlign w:val="bottom"/>
          </w:tcPr>
          <w:p>
            <w:pPr>
              <w:spacing w:after="0"/>
              <w:rPr>
                <w:sz w:val="14"/>
                <w:szCs w:val="14"/>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4"/>
                <w:szCs w:val="14"/>
                <w:color w:val="auto"/>
              </w:rPr>
            </w:pPr>
          </w:p>
        </w:tc>
        <w:tc>
          <w:tcPr>
            <w:tcW w:w="14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86"/>
        </w:trPr>
        <w:tc>
          <w:tcPr>
            <w:tcW w:w="67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26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hedges(a)</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Arial" w:cs="Arial" w:eastAsia="Arial" w:hAnsi="Arial"/>
                <w:sz w:val="18"/>
                <w:szCs w:val="18"/>
                <w:color w:val="auto"/>
              </w:rPr>
              <w:t>Commodity</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Stellantis warrants, formerly known as PSA warrants(b)</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color w:val="auto"/>
              </w:rPr>
              <w:t>Total derivative financial instruments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hanging="333"/>
        <w:spacing w:after="0" w:line="245" w:lineRule="auto"/>
        <w:tabs>
          <w:tab w:leader="none" w:pos="33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fair value of these derivative instruments at June 30, 2021 and December 31, 2020 and the gains/losses included in our condensed consolidated income statements for the three and six months ended June 30, 2021 and 2020 were insignificant, unless otherwise noted.</w:t>
      </w:r>
    </w:p>
    <w:p>
      <w:pPr>
        <w:jc w:val="both"/>
        <w:ind w:left="340" w:hanging="333"/>
        <w:spacing w:after="0" w:line="247"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a result of the merger of Peugeot, S.A. (PSA Group) and Fiat Chrysler Automobiles N.V. on January 16, 2021, our 39.7 million warrants in Stellantis N.V. (Stellantis) will convert into 69.2 million common shares of Stellantis upon exercise. These warrants will continue to be governed by the same terms and conditions that were applicable prior to the merger. The fair value of these warrants, located in Other assets, was $1.5 billion and $1.1 billion at June 30, 2021 and December 31, 2020. We recorded gains in Interest income and other non-operating income, net of $154 million and $114 million in the three months ended June 30, 2021 and 2020 and gains of $364 million and losses of $303 million in the six months ended June 30, 2021 and 2020.</w:t>
      </w:r>
    </w:p>
    <w:p>
      <w:pPr>
        <w:spacing w:after="0" w:line="217" w:lineRule="exact"/>
        <w:rPr>
          <w:sz w:val="20"/>
          <w:szCs w:val="20"/>
          <w:color w:val="auto"/>
        </w:rPr>
      </w:pPr>
    </w:p>
    <w:p>
      <w:pPr>
        <w:ind w:firstLine="161"/>
        <w:spacing w:after="0" w:line="339" w:lineRule="auto"/>
        <w:rPr>
          <w:sz w:val="20"/>
          <w:szCs w:val="20"/>
          <w:color w:val="auto"/>
        </w:rPr>
      </w:pPr>
      <w:r>
        <w:rPr>
          <w:rFonts w:ascii="Arial" w:cs="Arial" w:eastAsia="Arial" w:hAnsi="Arial"/>
          <w:sz w:val="16"/>
          <w:szCs w:val="16"/>
          <w:color w:val="auto"/>
        </w:rPr>
        <w:t>We estimate the fair value of the Stellantis warrants using a Black-Scholes formula. The significant inputs to the model include the Stellantis stock price and the estimated dividend yield. We are entitled to receive any dividends declared by Stellantis through the conversion date upon exercise of the warrants.</w:t>
      </w:r>
    </w:p>
    <w:p>
      <w:pPr>
        <w:spacing w:after="0" w:line="152" w:lineRule="exact"/>
        <w:rPr>
          <w:sz w:val="20"/>
          <w:szCs w:val="20"/>
          <w:color w:val="auto"/>
        </w:rPr>
      </w:pPr>
    </w:p>
    <w:p>
      <w:pPr>
        <w:ind w:right="20" w:firstLine="161"/>
        <w:spacing w:after="0" w:line="275" w:lineRule="auto"/>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the gross fair value amounts of GM Financial's derivative financial instruments and the associated notional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3"/>
              </w:rPr>
              <w:t>December 31, 2020</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Level</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7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020" w:type="dxa"/>
            <w:vAlign w:val="bottom"/>
            <w:tcBorders>
              <w:top w:val="single" w:sz="8" w:color="auto"/>
            </w:tcBorders>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5"/>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35"/>
              <w:spacing w:after="0" w:line="129" w:lineRule="exact"/>
              <w:rPr>
                <w:sz w:val="20"/>
                <w:szCs w:val="20"/>
                <w:color w:val="auto"/>
              </w:rPr>
            </w:pPr>
            <w:r>
              <w:rPr>
                <w:rFonts w:ascii="Arial" w:cs="Arial" w:eastAsia="Arial" w:hAnsi="Arial"/>
                <w:sz w:val="14"/>
                <w:szCs w:val="14"/>
                <w:b w:val="1"/>
                <w:bCs w:val="1"/>
                <w:color w:val="auto"/>
                <w:w w:val="92"/>
              </w:rPr>
              <w:t>Fair Value of</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w w:val="99"/>
              </w:rPr>
              <w:t>Notional</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5"/>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5"/>
              <w:spacing w:after="0" w:line="129" w:lineRule="exact"/>
              <w:rPr>
                <w:sz w:val="20"/>
                <w:szCs w:val="20"/>
                <w:color w:val="auto"/>
              </w:rPr>
            </w:pPr>
            <w:r>
              <w:rPr>
                <w:rFonts w:ascii="Arial" w:cs="Arial" w:eastAsia="Arial" w:hAnsi="Arial"/>
                <w:sz w:val="14"/>
                <w:szCs w:val="14"/>
                <w:b w:val="1"/>
                <w:bCs w:val="1"/>
                <w:color w:val="auto"/>
                <w:w w:val="92"/>
              </w:rPr>
              <w:t>Fair Value of</w:t>
            </w: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Liabilities</w:t>
            </w: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6"/>
                <w:szCs w:val="16"/>
                <w:color w:val="auto"/>
              </w:rPr>
            </w:pPr>
          </w:p>
        </w:tc>
        <w:tc>
          <w:tcPr>
            <w:tcW w:w="940" w:type="dxa"/>
            <w:vAlign w:val="bottom"/>
          </w:tcPr>
          <w:p>
            <w:pPr>
              <w:jc w:val="right"/>
              <w:ind w:right="135"/>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Derivatives designated as hedges(a)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Fair value hedges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8"/>
        </w:trPr>
        <w:tc>
          <w:tcPr>
            <w:tcW w:w="3740" w:type="dxa"/>
            <w:vAlign w:val="bottom"/>
          </w:tcPr>
          <w:p>
            <w:pPr>
              <w:ind w:left="140"/>
              <w:spacing w:after="0"/>
              <w:rPr>
                <w:sz w:val="20"/>
                <w:szCs w:val="20"/>
                <w:color w:val="auto"/>
              </w:rPr>
            </w:pPr>
            <w:r>
              <w:rPr>
                <w:rFonts w:ascii="Arial" w:cs="Arial" w:eastAsia="Arial" w:hAnsi="Arial"/>
                <w:sz w:val="18"/>
                <w:szCs w:val="18"/>
                <w:color w:val="auto"/>
              </w:rPr>
              <w:t>Foreign currency swaps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tcPr>
          <w:p>
            <w:pPr>
              <w:ind w:left="140"/>
              <w:spacing w:after="0"/>
              <w:rPr>
                <w:sz w:val="20"/>
                <w:szCs w:val="20"/>
                <w:color w:val="auto"/>
              </w:rPr>
            </w:pPr>
            <w:r>
              <w:rPr>
                <w:rFonts w:ascii="Arial" w:cs="Arial" w:eastAsia="Arial" w:hAnsi="Arial"/>
                <w:sz w:val="18"/>
                <w:szCs w:val="18"/>
                <w:color w:val="auto"/>
              </w:rPr>
              <w:t>Interest rate swaps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swaps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8"/>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hedges(a)</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22"/>
        </w:trPr>
        <w:tc>
          <w:tcPr>
            <w:tcW w:w="3740" w:type="dxa"/>
            <w:vAlign w:val="bottom"/>
          </w:tcPr>
          <w:p>
            <w:pPr>
              <w:ind w:left="20"/>
              <w:spacing w:after="0"/>
              <w:rPr>
                <w:sz w:val="20"/>
                <w:szCs w:val="20"/>
                <w:color w:val="auto"/>
              </w:rPr>
            </w:pPr>
            <w:r>
              <w:rPr>
                <w:rFonts w:ascii="Arial" w:cs="Arial" w:eastAsia="Arial" w:hAnsi="Arial"/>
                <w:sz w:val="18"/>
                <w:szCs w:val="18"/>
                <w:color w:val="auto"/>
              </w:rPr>
              <w:t>Total derivative financial instruments(b)</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134,811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jc w:val="both"/>
        <w:ind w:left="340" w:hanging="333"/>
        <w:spacing w:after="0" w:line="245" w:lineRule="auto"/>
        <w:tabs>
          <w:tab w:leader="none" w:pos="33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gains/losses included in our condensed consolidated income statements and statements of comprehensive income for the three and six months ended June 30, 2021 and 2020 were insignificant, unless otherwise noted. Amounts accrued for interest payments in a net receivable position are included in Other assets. Amounts accrued for interest payments in a net payable position are included in Other liabilities.</w:t>
      </w:r>
    </w:p>
    <w:p>
      <w:pPr>
        <w:ind w:left="340" w:hanging="333"/>
        <w:spacing w:after="0" w:line="288" w:lineRule="auto"/>
        <w:tabs>
          <w:tab w:leader="none" w:pos="340" w:val="left"/>
        </w:tabs>
        <w:numPr>
          <w:ilvl w:val="0"/>
          <w:numId w:val="9"/>
        </w:numPr>
        <w:rPr>
          <w:rFonts w:ascii="Arial" w:cs="Arial" w:eastAsia="Arial" w:hAnsi="Arial"/>
          <w:sz w:val="15"/>
          <w:szCs w:val="15"/>
          <w:color w:val="auto"/>
        </w:rPr>
      </w:pPr>
      <w:r>
        <w:rPr>
          <w:rFonts w:ascii="Arial" w:cs="Arial" w:eastAsia="Arial" w:hAnsi="Arial"/>
          <w:sz w:val="15"/>
          <w:szCs w:val="15"/>
          <w:color w:val="auto"/>
        </w:rPr>
        <w:t>GM Financial held $509 million and $728 million of collateral from counterparties available for netting against GM Financial's asset positions, and posted an insignificant amount of collateral to counterparties available for netting against GM Financial's liability positions at June 30, 2021 and December 31, 2020.</w:t>
      </w:r>
    </w:p>
    <w:p>
      <w:pPr>
        <w:spacing w:after="0" w:line="186" w:lineRule="exact"/>
        <w:rPr>
          <w:sz w:val="20"/>
          <w:szCs w:val="20"/>
          <w:color w:val="auto"/>
        </w:rPr>
      </w:pPr>
    </w:p>
    <w:p>
      <w:pPr>
        <w:ind w:firstLine="161"/>
        <w:spacing w:after="0" w:line="275" w:lineRule="auto"/>
        <w:rPr>
          <w:sz w:val="20"/>
          <w:szCs w:val="20"/>
          <w:color w:val="auto"/>
        </w:rPr>
      </w:pPr>
      <w:r>
        <w:rPr>
          <w:rFonts w:ascii="Arial" w:cs="Arial" w:eastAsia="Arial" w:hAnsi="Arial"/>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ind w:firstLine="161"/>
        <w:spacing w:after="0" w:line="275" w:lineRule="auto"/>
        <w:rPr>
          <w:sz w:val="20"/>
          <w:szCs w:val="20"/>
          <w:color w:val="auto"/>
        </w:rPr>
      </w:pPr>
      <w:r>
        <w:rPr>
          <w:rFonts w:ascii="Arial" w:cs="Arial" w:eastAsia="Arial" w:hAnsi="Arial"/>
          <w:sz w:val="18"/>
          <w:szCs w:val="18"/>
          <w:color w:val="auto"/>
        </w:rPr>
        <w:t>The following amounts were recorded in the condensed consolidated balance sheets related to items designated and qualifying as hedged items in fair value hedging relationships: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20" w:type="dxa"/>
            <w:vAlign w:val="bottom"/>
            <w:gridSpan w:val="5"/>
          </w:tcPr>
          <w:p>
            <w:pPr>
              <w:ind w:left="1180"/>
              <w:spacing w:after="0"/>
              <w:rPr>
                <w:sz w:val="20"/>
                <w:szCs w:val="20"/>
                <w:color w:val="auto"/>
              </w:rPr>
            </w:pPr>
            <w:r>
              <w:rPr>
                <w:rFonts w:ascii="Arial" w:cs="Arial" w:eastAsia="Arial" w:hAnsi="Arial"/>
                <w:sz w:val="14"/>
                <w:szCs w:val="14"/>
                <w:b w:val="1"/>
                <w:bCs w:val="1"/>
                <w:color w:val="auto"/>
              </w:rPr>
              <w:t>June 30, 2021</w:t>
            </w:r>
          </w:p>
        </w:tc>
        <w:tc>
          <w:tcPr>
            <w:tcW w:w="420" w:type="dxa"/>
            <w:vAlign w:val="bottom"/>
          </w:tcPr>
          <w:p>
            <w:pPr>
              <w:spacing w:after="0"/>
              <w:rPr>
                <w:sz w:val="16"/>
                <w:szCs w:val="16"/>
                <w:color w:val="auto"/>
              </w:rPr>
            </w:pPr>
          </w:p>
        </w:tc>
        <w:tc>
          <w:tcPr>
            <w:tcW w:w="3620" w:type="dxa"/>
            <w:vAlign w:val="bottom"/>
            <w:gridSpan w:val="4"/>
          </w:tcPr>
          <w:p>
            <w:pPr>
              <w:jc w:val="right"/>
              <w:ind w:right="1361"/>
              <w:spacing w:after="0"/>
              <w:rPr>
                <w:sz w:val="20"/>
                <w:szCs w:val="20"/>
                <w:color w:val="auto"/>
              </w:rPr>
            </w:pPr>
            <w:r>
              <w:rPr>
                <w:rFonts w:ascii="Arial" w:cs="Arial" w:eastAsia="Arial" w:hAnsi="Arial"/>
                <w:sz w:val="14"/>
                <w:szCs w:val="14"/>
                <w:b w:val="1"/>
                <w:bCs w:val="1"/>
                <w:color w:val="auto"/>
              </w:rPr>
              <w:t>December 31, 2020</w:t>
            </w:r>
          </w:p>
        </w:tc>
      </w:tr>
      <w:tr>
        <w:trPr>
          <w:trHeight w:val="120"/>
        </w:trPr>
        <w:tc>
          <w:tcPr>
            <w:tcW w:w="304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20"/>
              <w:spacing w:after="0" w:line="121" w:lineRule="exact"/>
              <w:rPr>
                <w:sz w:val="20"/>
                <w:szCs w:val="20"/>
                <w:color w:val="auto"/>
              </w:rPr>
            </w:pPr>
            <w:r>
              <w:rPr>
                <w:rFonts w:ascii="Arial" w:cs="Arial" w:eastAsia="Arial" w:hAnsi="Arial"/>
                <w:sz w:val="13"/>
                <w:szCs w:val="13"/>
                <w:b w:val="1"/>
                <w:bCs w:val="1"/>
                <w:color w:val="auto"/>
                <w:w w:val="88"/>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center"/>
              <w:ind w:right="61"/>
              <w:spacing w:after="0" w:line="121" w:lineRule="exact"/>
              <w:rPr>
                <w:sz w:val="20"/>
                <w:szCs w:val="20"/>
                <w:color w:val="auto"/>
              </w:rPr>
            </w:pPr>
            <w:r>
              <w:rPr>
                <w:rFonts w:ascii="Arial" w:cs="Arial" w:eastAsia="Arial" w:hAnsi="Arial"/>
                <w:sz w:val="13"/>
                <w:szCs w:val="13"/>
                <w:b w:val="1"/>
                <w:bCs w:val="1"/>
                <w:color w:val="auto"/>
                <w:w w:val="89"/>
              </w:rPr>
              <w:t>Cumulative Amount of Fair Value</w:t>
            </w:r>
          </w:p>
        </w:tc>
        <w:tc>
          <w:tcPr>
            <w:tcW w:w="10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20"/>
              <w:spacing w:after="0" w:line="121" w:lineRule="exact"/>
              <w:rPr>
                <w:sz w:val="20"/>
                <w:szCs w:val="20"/>
                <w:color w:val="auto"/>
              </w:rPr>
            </w:pPr>
            <w:r>
              <w:rPr>
                <w:rFonts w:ascii="Arial" w:cs="Arial" w:eastAsia="Arial" w:hAnsi="Arial"/>
                <w:sz w:val="13"/>
                <w:szCs w:val="13"/>
                <w:b w:val="1"/>
                <w:bCs w:val="1"/>
                <w:color w:val="auto"/>
                <w:w w:val="88"/>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right"/>
              <w:ind w:right="101"/>
              <w:spacing w:after="0" w:line="121" w:lineRule="exact"/>
              <w:rPr>
                <w:sz w:val="20"/>
                <w:szCs w:val="20"/>
                <w:color w:val="auto"/>
              </w:rPr>
            </w:pPr>
            <w:r>
              <w:rPr>
                <w:rFonts w:ascii="Arial" w:cs="Arial" w:eastAsia="Arial" w:hAnsi="Arial"/>
                <w:sz w:val="13"/>
                <w:szCs w:val="13"/>
                <w:b w:val="1"/>
                <w:bCs w:val="1"/>
                <w:color w:val="auto"/>
                <w:w w:val="89"/>
              </w:rPr>
              <w:t>Cumulative Amount of Fair Value</w:t>
            </w:r>
          </w:p>
        </w:tc>
      </w:tr>
      <w:tr>
        <w:trPr>
          <w:trHeight w:val="168"/>
        </w:trPr>
        <w:tc>
          <w:tcPr>
            <w:tcW w:w="3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8"/>
              </w:rPr>
              <w:t>Items</w:t>
            </w:r>
          </w:p>
        </w:tc>
        <w:tc>
          <w:tcPr>
            <w:tcW w:w="140" w:type="dxa"/>
            <w:vAlign w:val="bottom"/>
          </w:tcPr>
          <w:p>
            <w:pPr>
              <w:spacing w:after="0"/>
              <w:rPr>
                <w:sz w:val="14"/>
                <w:szCs w:val="14"/>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Hedging Adjustments(a)</w:t>
            </w:r>
          </w:p>
        </w:tc>
        <w:tc>
          <w:tcPr>
            <w:tcW w:w="42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8"/>
              </w:rPr>
              <w:t>Items</w:t>
            </w:r>
          </w:p>
        </w:tc>
        <w:tc>
          <w:tcPr>
            <w:tcW w:w="140" w:type="dxa"/>
            <w:vAlign w:val="bottom"/>
          </w:tcPr>
          <w:p>
            <w:pPr>
              <w:spacing w:after="0"/>
              <w:rPr>
                <w:sz w:val="14"/>
                <w:szCs w:val="14"/>
                <w:color w:val="auto"/>
              </w:rPr>
            </w:pPr>
          </w:p>
        </w:tc>
        <w:tc>
          <w:tcPr>
            <w:tcW w:w="2040" w:type="dxa"/>
            <w:vAlign w:val="bottom"/>
          </w:tcPr>
          <w:p>
            <w:pPr>
              <w:jc w:val="right"/>
              <w:ind w:right="361"/>
              <w:spacing w:after="0"/>
              <w:rPr>
                <w:sz w:val="20"/>
                <w:szCs w:val="20"/>
                <w:color w:val="auto"/>
              </w:rPr>
            </w:pPr>
            <w:r>
              <w:rPr>
                <w:rFonts w:ascii="Arial" w:cs="Arial" w:eastAsia="Arial" w:hAnsi="Arial"/>
                <w:sz w:val="13"/>
                <w:szCs w:val="13"/>
                <w:b w:val="1"/>
                <w:bCs w:val="1"/>
                <w:color w:val="auto"/>
              </w:rPr>
              <w:t>Hedging Adjustments(a)</w:t>
            </w:r>
          </w:p>
        </w:tc>
      </w:tr>
      <w:tr>
        <w:trPr>
          <w:trHeight w:val="228"/>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unsecured debt</w:t>
            </w: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8"/>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unsecured debt</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r>
      <w:tr>
        <w:trPr>
          <w:trHeight w:val="247"/>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unsecured debt</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hanging="333"/>
        <w:spacing w:after="0" w:line="255" w:lineRule="auto"/>
        <w:tabs>
          <w:tab w:leader="none" w:pos="33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$223 million and $200 million of unamortized gains remaining on hedged items for which hedge accounting has been discontinued at June 30, 2021 and December 31, 2020.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Accrued and Other Liabilities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6"/>
                <w:szCs w:val="16"/>
                <w:color w:val="auto"/>
              </w:rPr>
            </w:pPr>
          </w:p>
        </w:tc>
        <w:tc>
          <w:tcPr>
            <w:tcW w:w="148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December 31, 2020</w:t>
            </w:r>
          </w:p>
        </w:tc>
      </w:tr>
      <w:tr>
        <w:trPr>
          <w:trHeight w:val="215"/>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Accrued liabilities</w:t>
            </w:r>
          </w:p>
        </w:tc>
        <w:tc>
          <w:tcPr>
            <w:tcW w:w="2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Dealer and customer allowances, claims and discounts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3,132</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warranty and related liabilities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Payrolls and employee benefits excluding postemployment benefits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1,864</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7,725</w:t>
            </w:r>
          </w:p>
        </w:tc>
      </w:tr>
      <w:tr>
        <w:trPr>
          <w:trHeight w:val="195"/>
        </w:trPr>
        <w:tc>
          <w:tcPr>
            <w:tcW w:w="7820" w:type="dxa"/>
            <w:vAlign w:val="bottom"/>
          </w:tcPr>
          <w:p>
            <w:pPr>
              <w:ind w:left="20"/>
              <w:spacing w:after="0" w:line="195" w:lineRule="exact"/>
              <w:rPr>
                <w:sz w:val="20"/>
                <w:szCs w:val="20"/>
                <w:color w:val="auto"/>
              </w:rPr>
            </w:pPr>
            <w:r>
              <w:rPr>
                <w:rFonts w:ascii="Arial" w:cs="Arial" w:eastAsia="Arial" w:hAnsi="Arial"/>
                <w:sz w:val="18"/>
                <w:szCs w:val="18"/>
                <w:color w:val="auto"/>
              </w:rPr>
              <w:t>Total accrued liabilities</w:t>
            </w:r>
          </w:p>
        </w:tc>
        <w:tc>
          <w:tcPr>
            <w:tcW w:w="260" w:type="dxa"/>
            <w:vAlign w:val="bottom"/>
            <w:tcBorders>
              <w:bottom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19,190</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23,069</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2"/>
        </w:trPr>
        <w:tc>
          <w:tcPr>
            <w:tcW w:w="7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Other liabilities</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Product warranty and related liabilities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5,193</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Employee benefits excluding postemployment benefits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822</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Postemployment benefits including facility idling reserves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27"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22860</wp:posOffset>
            </wp:positionV>
            <wp:extent cx="18770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1" w:lineRule="exact"/>
        <w:rPr>
          <w:sz w:val="20"/>
          <w:szCs w:val="20"/>
          <w:color w:val="auto"/>
        </w:rPr>
      </w:pPr>
    </w:p>
    <w:p>
      <w:pPr>
        <w:ind w:left="5500"/>
        <w:spacing w:after="0"/>
        <w:tabs>
          <w:tab w:leader="none" w:pos="7020" w:val="left"/>
        </w:tabs>
        <w:rPr>
          <w:sz w:val="20"/>
          <w:szCs w:val="20"/>
          <w:color w:val="auto"/>
        </w:rPr>
      </w:pPr>
      <w:r>
        <w:rPr>
          <w:rFonts w:ascii="Arial" w:cs="Arial" w:eastAsia="Arial" w:hAnsi="Arial"/>
          <w:sz w:val="14"/>
          <w:szCs w:val="14"/>
          <w:b w:val="1"/>
          <w:bCs w:val="1"/>
          <w:color w:val="auto"/>
        </w:rPr>
        <w:t>June 30, 2021</w:t>
      </w:r>
      <w:r>
        <w:rPr>
          <w:sz w:val="20"/>
          <w:szCs w:val="20"/>
          <w:color w:val="auto"/>
        </w:rPr>
        <w:tab/>
      </w:r>
      <w:r>
        <w:rPr>
          <w:rFonts w:ascii="Arial" w:cs="Arial" w:eastAsia="Arial" w:hAnsi="Arial"/>
          <w:sz w:val="12"/>
          <w:szCs w:val="12"/>
          <w:b w:val="1"/>
          <w:bCs w:val="1"/>
          <w:color w:val="auto"/>
        </w:rPr>
        <w:t>June 30, 2020</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22860</wp:posOffset>
            </wp:positionV>
            <wp:extent cx="18853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21" w:lineRule="exact"/>
        <w:rPr>
          <w:sz w:val="20"/>
          <w:szCs w:val="20"/>
          <w:color w:val="auto"/>
        </w:rPr>
      </w:pPr>
    </w:p>
    <w:p>
      <w:pPr>
        <w:spacing w:after="0"/>
        <w:tabs>
          <w:tab w:leader="none" w:pos="1520" w:val="left"/>
        </w:tabs>
        <w:rPr>
          <w:sz w:val="20"/>
          <w:szCs w:val="20"/>
          <w:color w:val="auto"/>
        </w:rPr>
      </w:pPr>
      <w:r>
        <w:rPr>
          <w:rFonts w:ascii="Arial" w:cs="Arial" w:eastAsia="Arial" w:hAnsi="Arial"/>
          <w:sz w:val="14"/>
          <w:szCs w:val="14"/>
          <w:b w:val="1"/>
          <w:bCs w:val="1"/>
          <w:color w:val="auto"/>
        </w:rPr>
        <w:t>June 30, 2021</w:t>
      </w:r>
      <w:r>
        <w:rPr>
          <w:sz w:val="20"/>
          <w:szCs w:val="20"/>
          <w:color w:val="auto"/>
        </w:rPr>
        <w:tab/>
      </w:r>
      <w:r>
        <w:rPr>
          <w:rFonts w:ascii="Arial" w:cs="Arial" w:eastAsia="Arial" w:hAnsi="Arial"/>
          <w:sz w:val="12"/>
          <w:szCs w:val="12"/>
          <w:b w:val="1"/>
          <w:bCs w:val="1"/>
          <w:color w:val="auto"/>
        </w:rPr>
        <w:t>June 30, 2020</w:t>
      </w:r>
    </w:p>
    <w:p>
      <w:pPr>
        <w:spacing w:after="0" w:line="25" w:lineRule="exact"/>
        <w:rPr>
          <w:sz w:val="20"/>
          <w:szCs w:val="20"/>
          <w:color w:val="auto"/>
        </w:rPr>
      </w:pPr>
    </w:p>
    <w:p>
      <w:pPr>
        <w:sectPr>
          <w:pgSz w:w="11900" w:h="16838" w:orient="portrait"/>
          <w:cols w:equalWidth="0" w:num="2">
            <w:col w:w="7860" w:space="700"/>
            <w:col w:w="26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Product Warranty and Related Liabilities</w:t>
            </w:r>
          </w:p>
        </w:tc>
        <w:tc>
          <w:tcPr>
            <w:tcW w:w="5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balance at beginning of period</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7,798</w:t>
            </w:r>
          </w:p>
        </w:tc>
      </w:tr>
      <w:tr>
        <w:trPr>
          <w:trHeight w:val="228"/>
        </w:trPr>
        <w:tc>
          <w:tcPr>
            <w:tcW w:w="5200" w:type="dxa"/>
            <w:vAlign w:val="bottom"/>
          </w:tcPr>
          <w:p>
            <w:pPr>
              <w:ind w:left="20"/>
              <w:spacing w:after="0"/>
              <w:rPr>
                <w:sz w:val="20"/>
                <w:szCs w:val="20"/>
                <w:color w:val="auto"/>
              </w:rPr>
            </w:pPr>
            <w:r>
              <w:rPr>
                <w:rFonts w:ascii="Arial" w:cs="Arial" w:eastAsia="Arial" w:hAnsi="Arial"/>
                <w:sz w:val="18"/>
                <w:szCs w:val="18"/>
                <w:color w:val="auto"/>
              </w:rPr>
              <w:t>Warranties issued and assumed in period – recall campaigns</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Warranties issued and assumed in period – product warranty</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28"/>
        </w:trPr>
        <w:tc>
          <w:tcPr>
            <w:tcW w:w="5200" w:type="dxa"/>
            <w:vAlign w:val="bottom"/>
          </w:tcPr>
          <w:p>
            <w:pPr>
              <w:ind w:left="20"/>
              <w:spacing w:after="0"/>
              <w:rPr>
                <w:sz w:val="20"/>
                <w:szCs w:val="20"/>
                <w:color w:val="auto"/>
              </w:rPr>
            </w:pPr>
            <w:r>
              <w:rPr>
                <w:rFonts w:ascii="Arial" w:cs="Arial" w:eastAsia="Arial" w:hAnsi="Arial"/>
                <w:sz w:val="18"/>
                <w:szCs w:val="18"/>
                <w:color w:val="auto"/>
              </w:rPr>
              <w:t>Payments</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(1,533)</w:t>
            </w: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pre-existing warranties</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currency and other</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balance at end of period</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both"/>
        <w:ind w:right="20" w:firstLine="161"/>
        <w:spacing w:after="0" w:line="310" w:lineRule="auto"/>
        <w:rPr>
          <w:sz w:val="20"/>
          <w:szCs w:val="20"/>
          <w:color w:val="auto"/>
        </w:rPr>
      </w:pPr>
      <w:r>
        <w:rPr>
          <w:rFonts w:ascii="Arial" w:cs="Arial" w:eastAsia="Arial" w:hAnsi="Arial"/>
          <w:sz w:val="16"/>
          <w:szCs w:val="16"/>
          <w:color w:val="auto"/>
        </w:rPr>
        <w:t>In the three months ended June 30, 2021, we recorded warranty recall campaign accruals of $1.3 billion, of which $812 million relates to the Chevrolet Bolt EV. We estimate our reasonably possible loss in excess of amounts accrued for recall campaigns to be insignificant at June 30, 2021. Refer to Note 13 to our condensed consolidated financial statements for more details on the Chevrolet Bolt EV recall and Takata Corporation (Takata) matters.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Pensions and Other Postretirement Benefits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16"/>
              <w:spacing w:after="0"/>
              <w:rPr>
                <w:sz w:val="20"/>
                <w:szCs w:val="20"/>
                <w:color w:val="auto"/>
              </w:rPr>
            </w:pPr>
            <w:r>
              <w:rPr>
                <w:rFonts w:ascii="Arial" w:cs="Arial" w:eastAsia="Arial" w:hAnsi="Arial"/>
                <w:sz w:val="14"/>
                <w:szCs w:val="14"/>
                <w:b w:val="1"/>
                <w:bCs w:val="1"/>
                <w:color w:val="auto"/>
                <w:w w:val="93"/>
              </w:rPr>
              <w:t>Three Months Ended June 30, 2021</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Three Months Ended June 30, 2020</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1"/>
                <w:szCs w:val="21"/>
                <w:color w:val="auto"/>
              </w:rPr>
            </w:pP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Global OPEB</w:t>
            </w:r>
          </w:p>
        </w:tc>
        <w:tc>
          <w:tcPr>
            <w:tcW w:w="2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1"/>
                <w:szCs w:val="21"/>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Global OPEB</w:t>
            </w:r>
          </w:p>
        </w:tc>
        <w:tc>
          <w:tcPr>
            <w:tcW w:w="0" w:type="dxa"/>
            <w:vAlign w:val="bottom"/>
          </w:tcPr>
          <w:p>
            <w:pPr>
              <w:spacing w:after="0"/>
              <w:rPr>
                <w:sz w:val="1"/>
                <w:szCs w:val="1"/>
                <w:color w:val="auto"/>
              </w:rPr>
            </w:pPr>
          </w:p>
        </w:tc>
      </w:tr>
      <w:tr>
        <w:trPr>
          <w:trHeight w:val="66"/>
        </w:trPr>
        <w:tc>
          <w:tcPr>
            <w:tcW w:w="45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5"/>
                <w:szCs w:val="5"/>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14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5"/>
                <w:szCs w:val="5"/>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tcPr>
          <w:p>
            <w:pPr>
              <w:jc w:val="center"/>
              <w:ind w:left="239"/>
              <w:spacing w:after="0"/>
              <w:rPr>
                <w:sz w:val="20"/>
                <w:szCs w:val="20"/>
                <w:color w:val="auto"/>
              </w:rPr>
            </w:pPr>
            <w:r>
              <w:rPr>
                <w:rFonts w:ascii="Arial" w:cs="Arial" w:eastAsia="Arial" w:hAnsi="Arial"/>
                <w:sz w:val="14"/>
                <w:szCs w:val="14"/>
                <w:b w:val="1"/>
                <w:bCs w:val="1"/>
                <w:color w:val="auto"/>
                <w:w w:val="90"/>
              </w:rPr>
              <w:t>Plans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tcPr>
          <w:p>
            <w:pPr>
              <w:jc w:val="center"/>
              <w:ind w:left="279"/>
              <w:spacing w:after="0"/>
              <w:rPr>
                <w:sz w:val="20"/>
                <w:szCs w:val="20"/>
                <w:color w:val="auto"/>
              </w:rPr>
            </w:pPr>
            <w:r>
              <w:rPr>
                <w:rFonts w:ascii="Arial" w:cs="Arial" w:eastAsia="Arial" w:hAnsi="Arial"/>
                <w:sz w:val="14"/>
                <w:szCs w:val="14"/>
                <w:b w:val="1"/>
                <w:bCs w:val="1"/>
                <w:color w:val="auto"/>
                <w:w w:val="90"/>
              </w:rPr>
              <w:t>Plans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8"/>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Amortization of net actuarial losses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Net periodic pension and OPEB (income) expense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73"/>
        </w:trPr>
        <w:tc>
          <w:tcPr>
            <w:tcW w:w="45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Six Months Ended June 30, 2021</w:t>
            </w: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Six Months Ended June 30, 2020</w:t>
            </w: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5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1"/>
                <w:szCs w:val="21"/>
                <w:color w:val="auto"/>
              </w:rPr>
            </w:pP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Global OPEB</w:t>
            </w:r>
          </w:p>
        </w:tc>
        <w:tc>
          <w:tcPr>
            <w:tcW w:w="2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1"/>
                <w:szCs w:val="21"/>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Global OPEB</w:t>
            </w:r>
          </w:p>
        </w:tc>
        <w:tc>
          <w:tcPr>
            <w:tcW w:w="0" w:type="dxa"/>
            <w:vAlign w:val="bottom"/>
          </w:tcPr>
          <w:p>
            <w:pPr>
              <w:spacing w:after="0"/>
              <w:rPr>
                <w:sz w:val="1"/>
                <w:szCs w:val="1"/>
                <w:color w:val="auto"/>
              </w:rPr>
            </w:pPr>
          </w:p>
        </w:tc>
      </w:tr>
      <w:tr>
        <w:trPr>
          <w:trHeight w:val="66"/>
        </w:trPr>
        <w:tc>
          <w:tcPr>
            <w:tcW w:w="45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5"/>
                <w:szCs w:val="5"/>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14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5"/>
                <w:szCs w:val="5"/>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tcPr>
          <w:p>
            <w:pPr>
              <w:jc w:val="center"/>
              <w:ind w:left="239"/>
              <w:spacing w:after="0"/>
              <w:rPr>
                <w:sz w:val="20"/>
                <w:szCs w:val="20"/>
                <w:color w:val="auto"/>
              </w:rPr>
            </w:pPr>
            <w:r>
              <w:rPr>
                <w:rFonts w:ascii="Arial" w:cs="Arial" w:eastAsia="Arial" w:hAnsi="Arial"/>
                <w:sz w:val="14"/>
                <w:szCs w:val="14"/>
                <w:b w:val="1"/>
                <w:bCs w:val="1"/>
                <w:color w:val="auto"/>
                <w:w w:val="90"/>
              </w:rPr>
              <w:t>Plans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00" w:type="dxa"/>
            <w:vAlign w:val="bottom"/>
          </w:tcPr>
          <w:p>
            <w:pPr>
              <w:jc w:val="center"/>
              <w:ind w:left="279"/>
              <w:spacing w:after="0"/>
              <w:rPr>
                <w:sz w:val="20"/>
                <w:szCs w:val="20"/>
                <w:color w:val="auto"/>
              </w:rPr>
            </w:pPr>
            <w:r>
              <w:rPr>
                <w:rFonts w:ascii="Arial" w:cs="Arial" w:eastAsia="Arial" w:hAnsi="Arial"/>
                <w:sz w:val="14"/>
                <w:szCs w:val="14"/>
                <w:b w:val="1"/>
                <w:bCs w:val="1"/>
                <w:color w:val="auto"/>
                <w:w w:val="90"/>
              </w:rPr>
              <w:t>Plans</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499"/>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8"/>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8"/>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actuarial losses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Net periodic pension and OPEB (income)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700" w:type="dxa"/>
            <w:vAlign w:val="bottom"/>
          </w:tcPr>
          <w:p>
            <w:pPr>
              <w:jc w:val="right"/>
              <w:ind w:right="519"/>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79"/>
              </w:rPr>
              <w:t>116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700" w:type="dxa"/>
            <w:vAlign w:val="bottom"/>
          </w:tcPr>
          <w:p>
            <w:pPr>
              <w:jc w:val="right"/>
              <w:ind w:right="499"/>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79"/>
              </w:rPr>
              <w:t>129</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The non-service cost components of net periodic pension and other postretirement benefits (OPEB) income of $485 million and $336 million in the three months ended June 30, 2021 and 2020 and $968 million and $674 million in the six months ended June 30, 2021 and 2020 are presented in Interest income and other non-operating income, net.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Litigation-Related Liability and Tax Administrative Matters </w:t>
      </w:r>
      <w:r>
        <w:rPr>
          <w:rFonts w:ascii="Arial" w:cs="Arial" w:eastAsia="Arial" w:hAnsi="Arial"/>
          <w:sz w:val="18"/>
          <w:szCs w:val="18"/>
          <w:color w:val="auto"/>
        </w:rPr>
        <w:t>In the normal course of our business, we are named from time to time as a defendant in</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June 30, 2021 and December 31, 2020, we had accruals of $1.2 billion in Accrued liabilities and Other liabilities. In many matters, it is inherently difficult to determine whether loss is probable or reasonably possible or to estimate the size or range of the possible loss. Accordingly, adverse outcomes from such proceedings could exceed the amounts accrued by an amount that could be material to our results of operations or cash flows in any particular reporting period.</w:t>
      </w:r>
    </w:p>
    <w:p>
      <w:pPr>
        <w:spacing w:after="0" w:line="217"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b w:val="1"/>
          <w:bCs w:val="1"/>
          <w:i w:val="1"/>
          <w:iCs w:val="1"/>
          <w:color w:val="auto"/>
        </w:rPr>
        <w:t xml:space="preserve">GM Korea Wage Litigation </w:t>
      </w:r>
      <w:r>
        <w:rPr>
          <w:rFonts w:ascii="Arial" w:cs="Arial" w:eastAsia="Arial" w:hAnsi="Arial"/>
          <w:sz w:val="18"/>
          <w:szCs w:val="18"/>
          <w:color w:val="auto"/>
        </w:rPr>
        <w:t>GM Korea Company (GM Korea) is party to litigation with current and former salaried employees over whether to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fixed bonuses in the calculation of Ordinary Wages due under Korean regulations. In 2017, the Seoul High Court (an intermediate-level appellate court) held that certain workers are not barred from filing retroactive wage claims. GM Korea appealed this ruling to the Supreme Court of the Republic of Korea (Korea Supreme Court). In June 2021, the Korea Supreme Court affirmed the adverse rulings of the Seoul High Court. Accordingly, in the three months ended June 30, 2021, we recorded an additional accrual relating to this matter of $107 million recorded in Automotive and other selling, general and administrative expense for a total accrual of $134 million. We estimate our reasonably possible loss in excess of amounts accrued to be insignificant at June 30, 2021.</w:t>
      </w:r>
    </w:p>
    <w:p>
      <w:pPr>
        <w:spacing w:after="0" w:line="219" w:lineRule="exact"/>
        <w:rPr>
          <w:sz w:val="20"/>
          <w:szCs w:val="20"/>
          <w:color w:val="auto"/>
        </w:rPr>
      </w:pPr>
    </w:p>
    <w:p>
      <w:pPr>
        <w:jc w:val="both"/>
        <w:ind w:firstLine="161"/>
        <w:spacing w:after="0" w:line="295" w:lineRule="auto"/>
        <w:rPr>
          <w:sz w:val="20"/>
          <w:szCs w:val="20"/>
          <w:color w:val="auto"/>
        </w:rPr>
      </w:pPr>
      <w:r>
        <w:rPr>
          <w:rFonts w:ascii="Arial" w:cs="Arial" w:eastAsia="Arial" w:hAnsi="Arial"/>
          <w:sz w:val="16"/>
          <w:szCs w:val="16"/>
          <w:color w:val="auto"/>
        </w:rPr>
        <w:t>GM Korea is also party to litigation with current and former subcontract workers over allegations that they are entitled to the same wages and benefits provided to full-time employees, and to be hired as full-time employees. In May 2018 and September 2020, the Korean labor authorities issued adverse administrative orders finding that GM Korea must hire certain current subcontract workers as full-time employees. GM Korea appealed the May 2018 and September 2020 orders. In June 2020, the Seoul High Court ruled against GM Korea in one of the subcontract worker claims. GM Korea has appealed this decision to the Korea Supreme Court. At June 30, 2021, our accrual covering certain asserted claims and claims that we believe are probable of</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assertion and for which liability is probable was approximately $260 million. We estimate the reasonably possible loss in excess of amounts accrued for other current subcontract workers who may assert similar claims to be approximately $120 million at June 30, 2021. We are currently unable to estimate any possible loss or range of loss that may result from additional claims that may be asserted by former subcontract workers.</w:t>
      </w:r>
    </w:p>
    <w:p>
      <w:pPr>
        <w:spacing w:after="0" w:line="193"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b w:val="1"/>
          <w:bCs w:val="1"/>
          <w:i w:val="1"/>
          <w:iCs w:val="1"/>
          <w:color w:val="auto"/>
        </w:rPr>
        <w:t xml:space="preserve">GM Brazil Indirect Tax Claim </w:t>
      </w:r>
      <w:r>
        <w:rPr>
          <w:rFonts w:ascii="Arial" w:cs="Arial" w:eastAsia="Arial" w:hAnsi="Arial"/>
          <w:sz w:val="18"/>
          <w:szCs w:val="18"/>
          <w:color w:val="auto"/>
        </w:rPr>
        <w:t>In 2019, the Superior Court of Brazil rendered favorable decisions on three cases brought by GM Brazil that granted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the right to recover certain tax overpayments collected by the government. As a result, GM Brazil recorded pre-tax recoveries of $1.4 billion in the year ended December 31, 2019. GM Brazil is currently realizing those recoveries as there are federal tax liabilities eligible for offset. In May 2021, the Brazilian Supreme Court decided a Motion of Clarification filed by the Brazilian IRS in a related case that confirmed GM Brazil's right to recover the tax overpayments retroactively. It is possible that the Brazilian IRS will file challenges to some of the tax recoveries recognized by GM Brazil. We expect other third parties will file claims asserting entitlement to some or all of the tax recoveries awarded and recognized by GM Brazil, and GM intends to defend against any such claims.</w:t>
      </w:r>
    </w:p>
    <w:p>
      <w:pPr>
        <w:spacing w:after="0" w:line="219"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b w:val="1"/>
          <w:bCs w:val="1"/>
          <w:i w:val="1"/>
          <w:iCs w:val="1"/>
          <w:color w:val="auto"/>
        </w:rPr>
        <w:t xml:space="preserve">Other Litigation-Related Liability and Tax Administrative Matters </w:t>
      </w:r>
      <w:r>
        <w:rPr>
          <w:rFonts w:ascii="Arial" w:cs="Arial" w:eastAsia="Arial" w:hAnsi="Arial"/>
          <w:sz w:val="18"/>
          <w:szCs w:val="18"/>
          <w:color w:val="auto"/>
        </w:rPr>
        <w:t>Various other legal actions, including class actions, governmental investigations,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claims and proceedings are pending against us or our related companies or joint ventures, including matters arising out of alleged product defects; employment-related matters; product and workplace safety, vehicle emissions and fuel economy regulations; product warranties; financial services; dealer, supplier and other contractual relationships; government regulations relating to competition issues; tax-related matters not subject to the provision of Accounting Standards Codification 740, "Income Taxes" (indirect tax-related matters); product design, manufacture and performance; consumer protection laws; and environmental protection laws, including laws regulating air emissions, water discharges, waste management and environmental remediation from stationary sources.</w:t>
      </w:r>
    </w:p>
    <w:p>
      <w:pPr>
        <w:spacing w:after="0" w:line="219" w:lineRule="exact"/>
        <w:rPr>
          <w:sz w:val="20"/>
          <w:szCs w:val="20"/>
          <w:color w:val="auto"/>
        </w:rPr>
      </w:pPr>
    </w:p>
    <w:p>
      <w:pPr>
        <w:jc w:val="both"/>
        <w:ind w:firstLine="161"/>
        <w:spacing w:after="0" w:line="274" w:lineRule="auto"/>
        <w:rPr>
          <w:sz w:val="20"/>
          <w:szCs w:val="20"/>
          <w:color w:val="auto"/>
        </w:rPr>
      </w:pPr>
      <w:r>
        <w:rPr>
          <w:rFonts w:ascii="Arial" w:cs="Arial" w:eastAsia="Arial" w:hAnsi="Arial"/>
          <w:sz w:val="17"/>
          <w:szCs w:val="17"/>
          <w:color w:val="auto"/>
        </w:rPr>
        <w:t>There are several putative class actions pending against GM in federal courts in the U.S. and in the Provincial Courts in Canada alleging that various vehicles sold, including model year 2011-2016 Duramax Diesel Chevrolet Silverado and GMC Sierra vehicles, violate federal, state and foreign emission standards. We are unable to estimate any reasonably possible loss or range of loss that may result from these actions. GM has also faced a series of additional lawsuits in the U.S. based on these allegations, including putative shareholder class actions claiming violations of federal securities law and a shareholder demand lawsuit. The securities lawsuits have been voluntarily dismissed by the plaintiffs in those actions.</w:t>
      </w:r>
    </w:p>
    <w:p>
      <w:pPr>
        <w:spacing w:after="0" w:line="201"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We believe that appropriate accruals have been established for losses that are probable and can be reasonably estimated. It is possible that the resolution of one or more of these matters could exceed the amounts accrued in an amount that could be material to our results of operations. We also from time to time receive subpoenas and other inquiries or requests for information from agencies or other representatives of U.S. federal, state and foreign governments on a variety of issues.</w:t>
      </w:r>
    </w:p>
    <w:p>
      <w:pPr>
        <w:spacing w:after="0" w:line="212" w:lineRule="exact"/>
        <w:rPr>
          <w:sz w:val="20"/>
          <w:szCs w:val="20"/>
          <w:color w:val="auto"/>
        </w:rPr>
      </w:pPr>
    </w:p>
    <w:p>
      <w:pPr>
        <w:jc w:val="both"/>
        <w:ind w:firstLine="161"/>
        <w:spacing w:after="0" w:line="290" w:lineRule="auto"/>
        <w:rPr>
          <w:sz w:val="20"/>
          <w:szCs w:val="20"/>
          <w:color w:val="auto"/>
        </w:rPr>
      </w:pPr>
      <w:r>
        <w:rPr>
          <w:rFonts w:ascii="Arial" w:cs="Arial" w:eastAsia="Arial" w:hAnsi="Arial"/>
          <w:sz w:val="16"/>
          <w:szCs w:val="16"/>
          <w:color w:val="auto"/>
        </w:rPr>
        <w:t>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administrative proceedings are indirect tax-related and may require that we deposit funds in escrow or provide an alternative form of security. Some of the matters may involve compensatory, punitive or other treble damage claims, environmental remediation programs or sanctions that, if granted, could require us to pay damages or make other expenditures in amounts that could not be reasonably estimated at June 30, 2021. We believe that appropriate accruals have been established for losses that are probable and can be reasonably estimated. For indirect tax-related matters we estimate our reasonably possible loss in excess of amounts accrued to be up to approximately $900 million at June 30, 2021.</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Takata Matters </w:t>
      </w:r>
      <w:r>
        <w:rPr>
          <w:rFonts w:ascii="Arial" w:cs="Arial" w:eastAsia="Arial" w:hAnsi="Arial"/>
          <w:sz w:val="18"/>
          <w:szCs w:val="18"/>
          <w:color w:val="auto"/>
        </w:rPr>
        <w:t>In November 2020, the National Highway Traffic Safety Administration (NHTSA) directed that we replace the airbag inflators in our</w:t>
      </w:r>
      <w:r>
        <w:rPr>
          <w:rFonts w:ascii="Arial" w:cs="Arial" w:eastAsia="Arial" w:hAnsi="Arial"/>
          <w:sz w:val="18"/>
          <w:szCs w:val="18"/>
          <w:b w:val="1"/>
          <w:bCs w:val="1"/>
          <w:color w:val="auto"/>
        </w:rPr>
        <w:t xml:space="preserve"> </w:t>
      </w:r>
      <w:r>
        <w:rPr>
          <w:rFonts w:ascii="Arial" w:cs="Arial" w:eastAsia="Arial" w:hAnsi="Arial"/>
          <w:sz w:val="18"/>
          <w:szCs w:val="18"/>
          <w:color w:val="auto"/>
        </w:rPr>
        <w:t>GMT900 vehicles, which are full-size pickup trucks and sport utility vehicles (SUVs), and we decided not to contest NHTSA's decision. While we have already begun the process of executing the recall, given the number of vehicles in this population, the recall will take several years to be completed. Accordingly, in the year ended December 31, 2020, we recorded a warranty accrual of $1.1 billion for the expected costs of complying with the recall remedy, and we believe the currently accrued amount remains reasonable.</w:t>
      </w:r>
    </w:p>
    <w:p>
      <w:pPr>
        <w:spacing w:after="0" w:line="217" w:lineRule="exact"/>
        <w:rPr>
          <w:sz w:val="20"/>
          <w:szCs w:val="20"/>
          <w:color w:val="auto"/>
        </w:rPr>
      </w:pPr>
    </w:p>
    <w:p>
      <w:pPr>
        <w:jc w:val="both"/>
        <w:ind w:firstLine="161"/>
        <w:spacing w:after="0" w:line="310" w:lineRule="auto"/>
        <w:rPr>
          <w:sz w:val="20"/>
          <w:szCs w:val="20"/>
          <w:color w:val="auto"/>
        </w:rPr>
      </w:pPr>
      <w:r>
        <w:rPr>
          <w:rFonts w:ascii="Arial" w:cs="Arial" w:eastAsia="Arial" w:hAnsi="Arial"/>
          <w:sz w:val="16"/>
          <w:szCs w:val="16"/>
          <w:color w:val="auto"/>
        </w:rPr>
        <w:t>GM has recalled certain vehicles sold outside of the U.S. to replace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Any additional recalls relating to these inflators could be material to our results of operations and cash flows.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There are several putative class actions that have been filed against GM, including in the federal courts in the U.S., in the Provincial Courts in Canada, and in Mexico and Israel, arising out of allegations that airbag inflators manufactured by Takata are defective. At this stage of these proceedings, we are unable to provide an estimate of the amounts or range of possible loss.</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color w:val="auto"/>
        </w:rPr>
        <w:t xml:space="preserve">Chevrolet Bolt EV Recall </w:t>
      </w:r>
      <w:r>
        <w:rPr>
          <w:rFonts w:ascii="Arial" w:cs="Arial" w:eastAsia="Arial" w:hAnsi="Arial"/>
          <w:sz w:val="17"/>
          <w:szCs w:val="17"/>
          <w:color w:val="auto"/>
        </w:rPr>
        <w:t>In November 2020, GM voluntarily recalled certain 2017-2019 model-year Chevrolet Bolt EVs that were built with high-voltage</w:t>
      </w:r>
      <w:r>
        <w:rPr>
          <w:rFonts w:ascii="Arial" w:cs="Arial" w:eastAsia="Arial" w:hAnsi="Arial"/>
          <w:sz w:val="17"/>
          <w:szCs w:val="17"/>
          <w:b w:val="1"/>
          <w:bCs w:val="1"/>
          <w:color w:val="auto"/>
        </w:rPr>
        <w:t xml:space="preserve"> </w:t>
      </w:r>
      <w:r>
        <w:rPr>
          <w:rFonts w:ascii="Arial" w:cs="Arial" w:eastAsia="Arial" w:hAnsi="Arial"/>
          <w:sz w:val="17"/>
          <w:szCs w:val="17"/>
          <w:color w:val="auto"/>
        </w:rPr>
        <w:t>batteries that may pose a risk of fire. To mitigate this risk, GM’s original recall remedy involved (a) performing diagnostic procedures to identify and replace potentially defective battery cell-module assemblies and (b) installing onboard-diagnostic software designed to detect and warn owners regarding potential issues related to changes in battery-module performance over time. The cost of this initial remedy was not material.</w:t>
      </w:r>
    </w:p>
    <w:p>
      <w:pPr>
        <w:spacing w:after="0" w:line="197"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However, based on a recent field incident involving a battery fire in a vehicle that received the recall remedy, we have determined that the simultaneous presence of two manufacturing defects in the same battery cell can cause battery fires in certain of these Bolt vehicles. As a result, in July 2021, we initiated a new voluntary recall to replace the lithium ion battery modules in the recall population. Accordingly, in the three months ended June 30, 2021, we recorded a warranty accrual of $812 million, which reflects our current best estimate for the cost of the recall remedy. We are pursuing commitments from our supplier on reimbursement for the financial costs of this field action.</w:t>
      </w:r>
    </w:p>
    <w:p>
      <w:pPr>
        <w:spacing w:after="0" w:line="217"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addition, putative class actions have been filed against GM in federal courts in the U.S. and in the Provincial Courts in Canada alleging that the batteries contained in the Bolt EVs included in the recall population are defective. At this stage of these proceedings, we are unable to provide an estimate of the amounts or range of possible loss.</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Opel/Vauxhall Sale </w:t>
      </w:r>
      <w:r>
        <w:rPr>
          <w:rFonts w:ascii="Arial" w:cs="Arial" w:eastAsia="Arial" w:hAnsi="Arial"/>
          <w:sz w:val="16"/>
          <w:szCs w:val="16"/>
          <w:color w:val="auto"/>
        </w:rPr>
        <w:t>In 2017, we sold the Opel and Vauxhall businesses and certain other assets in Europe (the Opel/Vauxhall Business) to PSA Group (now</w:t>
      </w:r>
      <w:r>
        <w:rPr>
          <w:rFonts w:ascii="Arial" w:cs="Arial" w:eastAsia="Arial" w:hAnsi="Arial"/>
          <w:sz w:val="16"/>
          <w:szCs w:val="16"/>
          <w:b w:val="1"/>
          <w:bCs w:val="1"/>
          <w:color w:val="auto"/>
        </w:rPr>
        <w:t xml:space="preserve"> </w:t>
      </w:r>
      <w:r>
        <w:rPr>
          <w:rFonts w:ascii="Arial" w:cs="Arial" w:eastAsia="Arial" w:hAnsi="Arial"/>
          <w:sz w:val="16"/>
          <w:szCs w:val="16"/>
          <w:color w:val="auto"/>
        </w:rPr>
        <w:t>Stellantis) under a Master Agreement (the Agreement). We also sold the European financing subsidiaries and branches (the Fincos, and together with the Opel/Vauxhall Business, the European Business) to Banque PSA Finance S.A. and BNP Paribas Personal Finance S.A. Although the sale reduced our new vehicle presence in Europe, we may still be impacted by actions taken by regulators related to vehicles sold before the sale. Our wholly owned subsidiary (the Seller) agreed to indemnify Stellantis for certain losses resulting from any inaccuracy of the representations and warranties or breaches of our covenants included in the Agreement and for certain other liabilities, including certain emissions and product liabilities. The Company entered into a guarantee for the benefit of Stellantis and pursuant to which the Company agreed to guarantee the Seller's obligation to indemnify Stellantis. Certain of these indemnification obligations are subject to time limitations, thresholds and/or caps as to the amount of required payments.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Product Liability </w:t>
      </w:r>
      <w:r>
        <w:rPr>
          <w:rFonts w:ascii="Arial" w:cs="Arial" w:eastAsia="Arial" w:hAnsi="Arial"/>
          <w:sz w:val="18"/>
          <w:szCs w:val="18"/>
          <w:color w:val="auto"/>
        </w:rPr>
        <w:t>We recorded liabilities of $611 million and $589 million in Accrued liabilities and Other liabilities at June 30, 2021 and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2020 for the expected cost of all known product liability claims, plus an estimate of the expected cost for product liability claims that have already been incurred and are expected to be filed in the future for which we are self-insured. It is reasonably possible that our accruals for product liability claims may increase in future periods in material amounts, although we cannot estimate a reasonable range of incremental loss based on currently available information. We believe that any judgment against us involving our products for actual damages will be adequately covered by our recorded accruals and, where applicable, excess liability insurance coverage.</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Guarantees </w:t>
      </w:r>
      <w:r>
        <w:rPr>
          <w:rFonts w:ascii="Arial" w:cs="Arial" w:eastAsia="Arial" w:hAnsi="Arial"/>
          <w:sz w:val="18"/>
          <w:szCs w:val="18"/>
          <w:color w:val="auto"/>
        </w:rPr>
        <w:t>We enter into indemnification agreements for liability claims involving products manufactured primarily by certain joint ventures.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guarantees terminate in years ranging from 2021 to 2026 or upon the occurrence of specific events or are ongoing. We believe that the related potential costs incurred are adequately covered by our recorded accruals, which are insignificant. The maximum future undiscounted payments mainly based on vehicles sold to date were $3.4 billion and $3.1 billion for these guarantees at June 30, 2021 and December 31, 2020, the majority of which relates to the indemnification agreements.</w:t>
      </w:r>
    </w:p>
    <w:p>
      <w:pPr>
        <w:spacing w:after="0" w:line="217"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209" w:lineRule="exact"/>
        <w:rPr>
          <w:sz w:val="20"/>
          <w:szCs w:val="20"/>
          <w:color w:val="auto"/>
        </w:rPr>
      </w:pPr>
    </w:p>
    <w:p>
      <w:pPr>
        <w:jc w:val="both"/>
        <w:ind w:firstLine="161"/>
        <w:spacing w:after="0" w:line="300" w:lineRule="auto"/>
        <w:rPr>
          <w:sz w:val="20"/>
          <w:szCs w:val="20"/>
          <w:color w:val="auto"/>
        </w:rPr>
      </w:pPr>
      <w:r>
        <w:rPr>
          <w:rFonts w:ascii="Arial" w:cs="Arial" w:eastAsia="Arial" w:hAnsi="Arial"/>
          <w:sz w:val="16"/>
          <w:szCs w:val="16"/>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the Opel/Vauxhall Sale section of this note for additional information on our indemnification obligations to Stellantis under the Agreement.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119" w:lineRule="exact"/>
        <w:rPr>
          <w:sz w:val="20"/>
          <w:szCs w:val="20"/>
          <w:color w:val="auto"/>
        </w:rPr>
      </w:pPr>
    </w:p>
    <w:p>
      <w:pPr>
        <w:jc w:val="both"/>
        <w:ind w:firstLine="161"/>
        <w:spacing w:after="0" w:line="310" w:lineRule="auto"/>
        <w:rPr>
          <w:sz w:val="20"/>
          <w:szCs w:val="20"/>
          <w:color w:val="auto"/>
        </w:rPr>
      </w:pPr>
      <w:r>
        <w:rPr>
          <w:rFonts w:ascii="Arial" w:cs="Arial" w:eastAsia="Arial" w:hAnsi="Arial"/>
          <w:sz w:val="16"/>
          <w:szCs w:val="16"/>
          <w:color w:val="auto"/>
        </w:rPr>
        <w:t>For interim income tax reporting, we estimate our annual effective tax rate and apply it to our year-to-date ordinary income (loss). Tax jurisdictions with a projected or year-to-date loss for which a tax benefit cannot be realized are excluded. The tax effects of unusual or infrequently occurring items, including changes in judgment about valuation allowances and effects of changes in tax laws or rates, are reported in the interim period in which they occur.</w:t>
      </w:r>
    </w:p>
    <w:p>
      <w:pPr>
        <w:spacing w:after="0" w:line="174"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the three months ended June 30, 2021, Income tax expense of $971 million was primarily due to tax expense attributable to entities included in our effective tax rate calculation. In the three months ended June 30, 2020, Income tax benefit of $112 million was primarily due to tax benefit attributable to entities included in our effective tax rate calculation.</w:t>
      </w:r>
    </w:p>
    <w:p>
      <w:pPr>
        <w:spacing w:after="0" w:line="209" w:lineRule="exact"/>
        <w:rPr>
          <w:sz w:val="20"/>
          <w:szCs w:val="20"/>
          <w:color w:val="auto"/>
        </w:rPr>
      </w:pPr>
    </w:p>
    <w:p>
      <w:pPr>
        <w:jc w:val="both"/>
        <w:ind w:firstLine="161"/>
        <w:spacing w:after="0" w:line="277" w:lineRule="auto"/>
        <w:rPr>
          <w:sz w:val="20"/>
          <w:szCs w:val="20"/>
          <w:color w:val="auto"/>
        </w:rPr>
      </w:pPr>
      <w:r>
        <w:rPr>
          <w:rFonts w:ascii="Arial" w:cs="Arial" w:eastAsia="Arial" w:hAnsi="Arial"/>
          <w:sz w:val="17"/>
          <w:szCs w:val="17"/>
          <w:color w:val="auto"/>
        </w:rPr>
        <w:t>In the six months ended June 30, 2021, Income tax expense of $2.1 billion was primarily due to tax expense attributable to entities included in our effective tax rate calculation and the establishment of a valuation allowance against Cruise deferred tax assets that are considered no longer realizable. In the six months ended June 30, 2020, Income tax expense of $245 million on a pre-tax loss was primarily due to tax expense attributable to entities included in our effective tax rate calculation and the establishment of a valuation allowance against deferred tax assets.</w:t>
      </w:r>
    </w:p>
    <w:p>
      <w:pPr>
        <w:spacing w:after="0" w:line="199" w:lineRule="exact"/>
        <w:rPr>
          <w:sz w:val="20"/>
          <w:szCs w:val="20"/>
          <w:color w:val="auto"/>
        </w:rPr>
      </w:pPr>
    </w:p>
    <w:p>
      <w:pPr>
        <w:jc w:val="both"/>
        <w:ind w:firstLine="161"/>
        <w:spacing w:after="0" w:line="242" w:lineRule="auto"/>
        <w:rPr>
          <w:sz w:val="20"/>
          <w:szCs w:val="20"/>
          <w:color w:val="auto"/>
        </w:rPr>
      </w:pPr>
      <w:r>
        <w:rPr>
          <w:rFonts w:ascii="Arial" w:cs="Arial" w:eastAsia="Arial" w:hAnsi="Arial"/>
          <w:sz w:val="18"/>
          <w:szCs w:val="18"/>
          <w:color w:val="auto"/>
        </w:rPr>
        <w:t>In the six months ended June 30, 2021, Cruise issued new preferred shares to investors. As a result of the issuance in January 2021, Cruise fell below the ownership threshold required for inclusion in our U.S. consolidated income tax returns, and we established a valuation allowance of $316 million against deferred tax assets. Refer to Note 16 to our condensed consolidated financial statements for additional information regarding the Cruise preferred stock issuance.</w:t>
      </w:r>
    </w:p>
    <w:p>
      <w:pPr>
        <w:spacing w:after="0" w:line="213" w:lineRule="exact"/>
        <w:rPr>
          <w:sz w:val="20"/>
          <w:szCs w:val="20"/>
          <w:color w:val="auto"/>
        </w:rPr>
      </w:pPr>
    </w:p>
    <w:p>
      <w:pPr>
        <w:jc w:val="both"/>
        <w:ind w:right="20" w:firstLine="161"/>
        <w:spacing w:after="0" w:line="305" w:lineRule="auto"/>
        <w:rPr>
          <w:sz w:val="20"/>
          <w:szCs w:val="20"/>
          <w:color w:val="auto"/>
        </w:rPr>
      </w:pPr>
      <w:r>
        <w:rPr>
          <w:rFonts w:ascii="Arial" w:cs="Arial" w:eastAsia="Arial" w:hAnsi="Arial"/>
          <w:sz w:val="17"/>
          <w:szCs w:val="17"/>
          <w:color w:val="auto"/>
        </w:rPr>
        <w:t>At June 30, 2021, we had $21.7 billion of net deferred tax assets consisting of net operating losses and income tax credits, capitalized research expenditures and other timing differences that are available to offset future income tax liabilities, partially offset by valuation allowances.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Restructuring and Other Initiatives</w:t>
      </w:r>
    </w:p>
    <w:p>
      <w:pPr>
        <w:spacing w:after="0" w:line="119"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color w:val="auto"/>
        </w:rPr>
        <w:t>We have executed various restructuring and other initiatives and we may execute additional initiatives in the future, if necessary, to streamline manufacturing capacity and reduce other costs to improve the utilization of remaining facilities. To the extent these programs involve voluntary separations, a liability is generally recorded at the time offers to employees are accepted. To the extent these programs provide separation benefits in accordance with pre-existing agreements, a liability is recorded once the amount is probable and reasonably estimable. If employees are involuntarily terminated, a liability is generally recorded at the communication date. Related charges are recorded in Automotive and other cost of sales and Automotive and other selling, general and administrative expense.</w:t>
      </w:r>
    </w:p>
    <w:p>
      <w:pPr>
        <w:spacing w:after="0" w:line="217" w:lineRule="exact"/>
        <w:rPr>
          <w:sz w:val="20"/>
          <w:szCs w:val="20"/>
          <w:color w:val="auto"/>
        </w:rPr>
      </w:pPr>
    </w:p>
    <w:p>
      <w:pPr>
        <w:jc w:val="both"/>
        <w:ind w:right="20" w:firstLine="161"/>
        <w:spacing w:after="0" w:line="275" w:lineRule="auto"/>
        <w:rPr>
          <w:sz w:val="20"/>
          <w:szCs w:val="20"/>
          <w:color w:val="auto"/>
        </w:rPr>
      </w:pPr>
      <w:r>
        <w:rPr>
          <w:rFonts w:ascii="Arial" w:cs="Arial" w:eastAsia="Arial" w:hAnsi="Arial"/>
          <w:sz w:val="18"/>
          <w:szCs w:val="18"/>
          <w:color w:val="auto"/>
        </w:rPr>
        <w:t>The following table summarizes the reserves and charges related to restructuring and other initiatives, including postemployment benefit reserves and charges:</w:t>
      </w:r>
    </w:p>
    <w:p>
      <w:pPr>
        <w:spacing w:after="0" w:line="82"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5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2760" w:type="dxa"/>
            <w:vAlign w:val="bottom"/>
            <w:gridSpan w:val="4"/>
          </w:tcPr>
          <w:p>
            <w:pPr>
              <w:jc w:val="right"/>
              <w:ind w:right="833"/>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5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June 30, 2020</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8"/>
              </w:rPr>
              <w:t>June 30, 2020</w:t>
            </w:r>
          </w:p>
        </w:tc>
      </w:tr>
      <w:tr>
        <w:trPr>
          <w:trHeight w:val="223"/>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28"/>
        </w:trPr>
        <w:tc>
          <w:tcPr>
            <w:tcW w:w="5160" w:type="dxa"/>
            <w:vAlign w:val="bottom"/>
          </w:tcPr>
          <w:p>
            <w:pPr>
              <w:spacing w:after="0"/>
              <w:rPr>
                <w:sz w:val="20"/>
                <w:szCs w:val="20"/>
                <w:color w:val="auto"/>
              </w:rPr>
            </w:pPr>
            <w:r>
              <w:rPr>
                <w:rFonts w:ascii="Arial" w:cs="Arial" w:eastAsia="Arial" w:hAnsi="Arial"/>
                <w:sz w:val="18"/>
                <w:szCs w:val="18"/>
                <w:color w:val="auto"/>
              </w:rPr>
              <w:t>Additions, interest accretion and other</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w:t>
            </w:r>
          </w:p>
        </w:tc>
      </w:tr>
      <w:tr>
        <w:trPr>
          <w:trHeight w:val="22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Payments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28"/>
        </w:trPr>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Revisions to estimates and effect of foreign currency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firstLine="161"/>
        <w:spacing w:after="0" w:line="252" w:lineRule="auto"/>
        <w:rPr>
          <w:sz w:val="20"/>
          <w:szCs w:val="20"/>
          <w:color w:val="auto"/>
        </w:rPr>
      </w:pPr>
      <w:r>
        <w:rPr>
          <w:rFonts w:ascii="Arial" w:cs="Arial" w:eastAsia="Arial" w:hAnsi="Arial"/>
          <w:sz w:val="18"/>
          <w:szCs w:val="18"/>
          <w:color w:val="auto"/>
        </w:rPr>
        <w:t>In the three and six months ended June 30, 2020, restructuring and other initiatives primarily included actions in GMI related to the wind-down of Holden sales, design and engineering operations in Australia and New Zealand and the execution of binding term sheets to sell our vehicle and powertrain manufacturing facilities in Thailand. We recorded charges of $92 million in the three months ended June 30, 2020, primarily for inventory provisions. We recorded charges of $581 million in the six months ended June 30, 2020, primarily consisting of $335 million in property and intangible asset impairments, inventory provisions, sales allowances and other charges, not reflected in the table above, and $246 million in dealer restructurings and employee separation charges, which are reflected in the table above. These programs, including the execution of a binding term sheet to sell our manufacturing facility in India, had a total cost since inception of $689 million. We also recorded a $236 million charge to Income tax expense due to the establishment of a valuation allowance against deferred tax assets in Australia and New Zealand in the six months ended June 30, 2020. We incurred $69 million in net cash outflows in the six</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months ended June 30, 2020 resulting from these restructuring actions, primarily for sales allowances payments and dealer restructuring payments, and $227 million in net cash outflows since program inception, primarily for dealer restructuring payments and employee separation payments, which includes proceeds of $143 million from the sale of our manufacturing facilities in Thailand.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Stockholders' Equity and Noncontrolling Interests</w:t>
      </w:r>
    </w:p>
    <w:p>
      <w:pPr>
        <w:spacing w:after="0" w:line="119"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have 2.0 billion shares of preferred stock and 5.0 billion shares of common stock authorized for issuance. We had no shares of preferred stock issued and outstanding at June 30, 2021 and December 31, 2020. We had 1.5 billion and 1.4 billion shares of common stock issued and outstanding at June 30, 2021 and December 31, 2020.</w:t>
      </w:r>
    </w:p>
    <w:p>
      <w:pPr>
        <w:spacing w:after="0" w:line="196" w:lineRule="exact"/>
        <w:rPr>
          <w:sz w:val="20"/>
          <w:szCs w:val="20"/>
          <w:color w:val="auto"/>
        </w:rPr>
      </w:pPr>
    </w:p>
    <w:p>
      <w:pPr>
        <w:jc w:val="both"/>
        <w:ind w:firstLine="161"/>
        <w:spacing w:after="0" w:line="241" w:lineRule="auto"/>
        <w:rPr>
          <w:sz w:val="20"/>
          <w:szCs w:val="20"/>
          <w:color w:val="auto"/>
        </w:rPr>
      </w:pPr>
      <w:r>
        <w:rPr>
          <w:rFonts w:ascii="Arial" w:cs="Arial" w:eastAsia="Arial" w:hAnsi="Arial"/>
          <w:sz w:val="17"/>
          <w:szCs w:val="17"/>
          <w:b w:val="1"/>
          <w:bCs w:val="1"/>
          <w:i w:val="1"/>
          <w:iCs w:val="1"/>
          <w:color w:val="auto"/>
        </w:rPr>
        <w:t xml:space="preserve">Cruise Preferred Shares </w:t>
      </w:r>
      <w:r>
        <w:rPr>
          <w:rFonts w:ascii="Arial" w:cs="Arial" w:eastAsia="Arial" w:hAnsi="Arial"/>
          <w:sz w:val="17"/>
          <w:szCs w:val="17"/>
          <w:color w:val="auto"/>
        </w:rPr>
        <w:t>In the six months ended June 30, 2021, GM Cruise Holdings LLC (Cruise Holdings) issued $2.7 billion of Class G Preferred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(Cruise Class G Preferred Shares) to Microsoft Corporation (Microsoft), Walmart Inc. (Walmart) and other investors, including $1.0 billion to General Motors Holdings LLC. All proceeds related to the Cruise Class G Preferred Shares are designated exclusively for working capital and general corporate purposes of Cruise Holdings. In addition, we, Cruise Holdings and Microsoft entered into a long-term strategic relationship to accelerate the commercialization of self-driving vehicles with Microsoft being the preferred public cloud provider.</w:t>
      </w:r>
    </w:p>
    <w:p>
      <w:pPr>
        <w:spacing w:after="0" w:line="214" w:lineRule="exact"/>
        <w:rPr>
          <w:sz w:val="20"/>
          <w:szCs w:val="20"/>
          <w:color w:val="auto"/>
        </w:rPr>
      </w:pPr>
    </w:p>
    <w:p>
      <w:pPr>
        <w:jc w:val="both"/>
        <w:ind w:firstLine="161"/>
        <w:spacing w:after="0" w:line="288" w:lineRule="auto"/>
        <w:rPr>
          <w:sz w:val="20"/>
          <w:szCs w:val="20"/>
          <w:color w:val="auto"/>
        </w:rPr>
      </w:pPr>
      <w:r>
        <w:rPr>
          <w:rFonts w:ascii="Arial" w:cs="Arial" w:eastAsia="Arial" w:hAnsi="Arial"/>
          <w:sz w:val="16"/>
          <w:szCs w:val="16"/>
          <w:color w:val="auto"/>
        </w:rPr>
        <w:t>The Cruise Class G Preferred Shares participate pari passu with holders of Cruise Holdings common stock and Class F Preferred Shares (Cruise Class F Preferred Shares) in any dividends declared. Each Cruise Class G Preferred Share is entitled to one vote per Cruise Class G Preferred Share on all matters submitted for vote by or consent of the Cruise Holdings members. The holders of Cruise Class G Preferred Shares are restricted from transferring the Cruise Class G Preferred Shares for four years, without the written consent of both us and Cruise Holdings' Board of Directors. The Cruise Class G Preferred Shares convert into the class of shares to be issued to the public in an initial public offering (IPO) at specified exchange ratios. No covenants or other events of default exist that can trigger redemption of the Cruise Class G Preferred Shares. The Cruise Class G Preferred Shares are entitled to receive the greater of their carrying value or a pro-rata share of any proceeds or distributions upon the occurrence of a merger, sale, liquidation or dissolution of Cruise Holdings, and are classified as noncontrolling interests in our condensed consolidated financial statements.</w:t>
      </w:r>
    </w:p>
    <w:p>
      <w:pPr>
        <w:spacing w:after="0" w:line="195" w:lineRule="exact"/>
        <w:rPr>
          <w:sz w:val="20"/>
          <w:szCs w:val="20"/>
          <w:color w:val="auto"/>
        </w:rPr>
      </w:pPr>
    </w:p>
    <w:p>
      <w:pPr>
        <w:jc w:val="both"/>
        <w:ind w:firstLine="161"/>
        <w:spacing w:after="0" w:line="270" w:lineRule="auto"/>
        <w:rPr>
          <w:sz w:val="20"/>
          <w:szCs w:val="20"/>
          <w:color w:val="auto"/>
        </w:rPr>
      </w:pPr>
      <w:r>
        <w:rPr>
          <w:rFonts w:ascii="Arial" w:cs="Arial" w:eastAsia="Arial" w:hAnsi="Arial"/>
          <w:sz w:val="17"/>
          <w:szCs w:val="17"/>
          <w:color w:val="auto"/>
        </w:rPr>
        <w:t>Consistent with the Cruise Class G Preferred Shares, the Class A-1 Preferred Shares issued to SoftBank in 2018 (Cruise Class A-1 Preferred Shares) and Cruise Class F Preferred Shares convert into the class of shares to be issued to the public in an IPO at specified exchange ratios. Beginning on June 28, 2025, SoftBank has the option to convert all of the Cruise Class A-1 Preferred Shares into our common stock at a conversion ratio that is indexed to the fair value of Cruise Holdings at the time of conversion. In the event SoftBank exercises such option, we have the option to settle the conversion feature with our common shares or cash, and in certain situations with nonredeemable, nonconvertible preferred shares. The Cruise Class A-1 Preferred Shares and Cruise Class F Preferred Shares are entitled to receive the greater of their carrying value or a pro-rata share of any proceeds or distributions upon the occurrence of a merger, sale, liquidation, or dissolution of Cruise Holdings.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significant components of Accumulated other comprehensive loss: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80" w:type="dxa"/>
            <w:vAlign w:val="bottom"/>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8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8"/>
              </w:rPr>
              <w:t>June 30, 2020</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8"/>
              </w:rPr>
              <w:t>June 30, 2020</w:t>
            </w:r>
          </w:p>
        </w:tc>
        <w:tc>
          <w:tcPr>
            <w:tcW w:w="0" w:type="dxa"/>
            <w:vAlign w:val="bottom"/>
          </w:tcPr>
          <w:p>
            <w:pPr>
              <w:spacing w:after="0"/>
              <w:rPr>
                <w:sz w:val="1"/>
                <w:szCs w:val="1"/>
                <w:color w:val="auto"/>
              </w:rPr>
            </w:pPr>
          </w:p>
        </w:tc>
      </w:tr>
      <w:tr>
        <w:trPr>
          <w:trHeight w:val="211"/>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Foreign Currency Translation Adjustments</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175"/>
        </w:trPr>
        <w:tc>
          <w:tcPr>
            <w:tcW w:w="5200" w:type="dxa"/>
            <w:vAlign w:val="bottom"/>
          </w:tcPr>
          <w:p>
            <w:pPr>
              <w:ind w:left="20"/>
              <w:spacing w:after="0" w:line="175" w:lineRule="exact"/>
              <w:rPr>
                <w:sz w:val="20"/>
                <w:szCs w:val="20"/>
                <w:color w:val="auto"/>
              </w:rPr>
            </w:pPr>
            <w:r>
              <w:rPr>
                <w:rFonts w:ascii="Arial" w:cs="Arial" w:eastAsia="Arial" w:hAnsi="Arial"/>
                <w:sz w:val="18"/>
                <w:szCs w:val="18"/>
                <w:color w:val="auto"/>
                <w:w w:val="91"/>
              </w:rPr>
              <w:t>Other comprehensive income (loss) and noncontrolling interests, net of</w:t>
            </w: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28"/>
        </w:trPr>
        <w:tc>
          <w:tcPr>
            <w:tcW w:w="5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reclassification adjustment and tax(a)(b)</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Defined Benefit Plans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(10,494)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(8,540)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(10,654)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(8,857)</w:t>
            </w:r>
          </w:p>
        </w:tc>
        <w:tc>
          <w:tcPr>
            <w:tcW w:w="0" w:type="dxa"/>
            <w:vAlign w:val="bottom"/>
          </w:tcPr>
          <w:p>
            <w:pPr>
              <w:spacing w:after="0"/>
              <w:rPr>
                <w:sz w:val="1"/>
                <w:szCs w:val="1"/>
                <w:color w:val="auto"/>
              </w:rPr>
            </w:pPr>
          </w:p>
        </w:tc>
      </w:tr>
      <w:tr>
        <w:trPr>
          <w:trHeight w:val="175"/>
        </w:trPr>
        <w:tc>
          <w:tcPr>
            <w:tcW w:w="520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1"/>
              </w:rPr>
              <w:t>Other comprehensive income (loss) before reclassification adjustment,</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8"/>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tax(b)</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Reclassification adjustment, net of tax(b)</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2"/>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tax(b)</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2"/>
        </w:trPr>
        <w:tc>
          <w:tcPr>
            <w:tcW w:w="5200" w:type="dxa"/>
            <w:vAlign w:val="bottom"/>
          </w:tcPr>
          <w:p>
            <w:pPr>
              <w:ind w:left="20"/>
              <w:spacing w:after="0"/>
              <w:rPr>
                <w:sz w:val="20"/>
                <w:szCs w:val="20"/>
                <w:color w:val="auto"/>
              </w:rPr>
            </w:pPr>
            <w:r>
              <w:rPr>
                <w:rFonts w:ascii="Arial" w:cs="Arial" w:eastAsia="Arial" w:hAnsi="Arial"/>
                <w:sz w:val="18"/>
                <w:szCs w:val="18"/>
                <w:color w:val="auto"/>
              </w:rPr>
              <w:t>Balance at end of period(c)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20" w:hanging="313"/>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noncontrolling interests and reclassification adjustment were insignificant in the three and six months ended June 30, 2021 and 2020.</w:t>
      </w:r>
    </w:p>
    <w:p>
      <w:pPr>
        <w:spacing w:after="0" w:line="4" w:lineRule="exact"/>
        <w:rPr>
          <w:rFonts w:ascii="Arial" w:cs="Arial" w:eastAsia="Arial" w:hAnsi="Arial"/>
          <w:sz w:val="16"/>
          <w:szCs w:val="16"/>
          <w:color w:val="auto"/>
        </w:rPr>
      </w:pPr>
    </w:p>
    <w:p>
      <w:pPr>
        <w:ind w:left="320" w:hanging="313"/>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income tax effect was insignificant in the three and six months ended June 30, 2021 and 2020.</w:t>
      </w:r>
    </w:p>
    <w:p>
      <w:pPr>
        <w:spacing w:after="0" w:line="4" w:lineRule="exact"/>
        <w:rPr>
          <w:rFonts w:ascii="Arial" w:cs="Arial" w:eastAsia="Arial" w:hAnsi="Arial"/>
          <w:sz w:val="16"/>
          <w:szCs w:val="16"/>
          <w:color w:val="auto"/>
        </w:rPr>
      </w:pPr>
    </w:p>
    <w:p>
      <w:pPr>
        <w:ind w:left="340" w:hanging="333"/>
        <w:spacing w:after="0" w:line="255" w:lineRule="auto"/>
        <w:tabs>
          <w:tab w:leader="none" w:pos="331"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Primarily consists of unamortized actuarial loss on our defined benefit plans. Refer to Note 2. Significant Accounting Policies of our 2020 Form 10-K for additional information.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760" w:type="dxa"/>
            <w:vAlign w:val="bottom"/>
            <w:gridSpan w:val="4"/>
          </w:tcPr>
          <w:p>
            <w:pPr>
              <w:jc w:val="right"/>
              <w:ind w:right="832"/>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8"/>
              </w:rPr>
              <w:t>June 30, 2020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8"/>
              </w:rPr>
              <w:t>June 30, 2020</w:t>
            </w:r>
          </w:p>
        </w:tc>
      </w:tr>
      <w:tr>
        <w:trPr>
          <w:trHeight w:val="211"/>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stockholders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28"/>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cumulative dividends on subsidiary preferred stock</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47"/>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5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r>
      <w:tr>
        <w:trPr>
          <w:trHeight w:val="269"/>
        </w:trPr>
        <w:tc>
          <w:tcPr>
            <w:tcW w:w="5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(loss) per common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r>
      <w:tr>
        <w:trPr>
          <w:trHeight w:val="228"/>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 – 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r>
      <w:tr>
        <w:trPr>
          <w:trHeight w:val="269"/>
        </w:trPr>
        <w:tc>
          <w:tcPr>
            <w:tcW w:w="5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r>
      <w:tr>
        <w:trPr>
          <w:trHeight w:val="228"/>
        </w:trPr>
        <w:tc>
          <w:tcPr>
            <w:tcW w:w="5220" w:type="dxa"/>
            <w:vAlign w:val="bottom"/>
          </w:tcPr>
          <w:p>
            <w:pPr>
              <w:ind w:left="20"/>
              <w:spacing w:after="0"/>
              <w:rPr>
                <w:sz w:val="20"/>
                <w:szCs w:val="20"/>
                <w:color w:val="auto"/>
              </w:rPr>
            </w:pPr>
            <w:r>
              <w:rPr>
                <w:rFonts w:ascii="Arial" w:cs="Arial" w:eastAsia="Arial" w:hAnsi="Arial"/>
                <w:sz w:val="18"/>
                <w:szCs w:val="18"/>
                <w:color w:val="auto"/>
              </w:rPr>
              <w:t>Dilutive effect of awards under stock incentive plans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6"/>
        </w:trPr>
        <w:tc>
          <w:tcPr>
            <w:tcW w:w="5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Potentially dilutive securities(a)</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hanging="333"/>
        <w:spacing w:after="0" w:line="288" w:lineRule="auto"/>
        <w:tabs>
          <w:tab w:leader="none" w:pos="331" w:val="left"/>
        </w:tabs>
        <w:numPr>
          <w:ilvl w:val="0"/>
          <w:numId w:val="12"/>
        </w:numPr>
        <w:rPr>
          <w:rFonts w:ascii="Arial" w:cs="Arial" w:eastAsia="Arial" w:hAnsi="Arial"/>
          <w:sz w:val="15"/>
          <w:szCs w:val="15"/>
          <w:color w:val="auto"/>
        </w:rPr>
      </w:pPr>
      <w:r>
        <w:rPr>
          <w:rFonts w:ascii="Arial" w:cs="Arial" w:eastAsia="Arial" w:hAnsi="Arial"/>
          <w:sz w:val="15"/>
          <w:szCs w:val="15"/>
          <w:color w:val="auto"/>
        </w:rPr>
        <w:t>Potentially dilutive securities attributable to outstanding stock options at June 30, 2021 and 2020 and Performance Stock Units (PSUs) and Restricted Stock Units (RSUs) at June 30, 2020, were excluded from the computation of diluted earnings per share (EPS) because the securities would have had an antidilutive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Reporting</w:t>
      </w:r>
    </w:p>
    <w:p>
      <w:pPr>
        <w:spacing w:after="0" w:line="254"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color w:val="auto"/>
        </w:rPr>
        <w:t>We analyze the results of our business through the following reportable segments: GMNA, GMI, Cruise and GM Financial. The chief operating decision maker evaluates the operating results and performance of our automotive segments and Cruise through earnings before interest and income taxes (EBIT)-adjusted, which is presented net of noncontrolling interests. The chief operating decision maker evaluates GM Financial through earnings before income taxes (EBT)-adjusted because interest income and interest expense are part of operating results when assessing and measuring the operational and financial performance of the segment. Each segment has a manager responsible for executing our strategic initiatives.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pacing w:after="0" w:line="209"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217"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GMNA meets the demands of customers in North America with vehicles developed, manufactured and/or marketed under the Buick, Cadillac, Chevrolet and GMC brands. GMI primarily meets the demands of customers outside North America with vehicles developed, manufactured and/or marketed under the Buick, Cadillac, Chevrolet and GMC brands. We also have equity ownership stakes in entities that meet the demands of customers in other countries, primarily China, with vehicles developed, manufactured and/or marketed under the Baojun, Buick, Cadillac, Chevrolet and Wuling brands. We provide automotive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financing services through GM Financial. Cruise is our global segment responsible for the development and commercialization of autonomous vehicle technology, and includes autonomous vehicle-related engineering and other costs.</w:t>
      </w:r>
    </w:p>
    <w:p>
      <w:pPr>
        <w:spacing w:after="0" w:line="197" w:lineRule="exact"/>
        <w:rPr>
          <w:sz w:val="20"/>
          <w:szCs w:val="20"/>
          <w:color w:val="auto"/>
        </w:rPr>
      </w:pPr>
    </w:p>
    <w:p>
      <w:pPr>
        <w:jc w:val="both"/>
        <w:ind w:firstLine="161"/>
        <w:spacing w:after="0" w:line="277" w:lineRule="auto"/>
        <w:rPr>
          <w:sz w:val="20"/>
          <w:szCs w:val="20"/>
          <w:color w:val="auto"/>
        </w:rPr>
      </w:pPr>
      <w:r>
        <w:rPr>
          <w:rFonts w:ascii="Arial" w:cs="Arial" w:eastAsia="Arial" w:hAnsi="Arial"/>
          <w:sz w:val="17"/>
          <w:szCs w:val="17"/>
          <w:color w:val="auto"/>
        </w:rPr>
        <w:t>Our automotive interest income and interest expense, legacy costs from the Opel/Vauxhall Business (primarily pension costs), corporate expenditures and certain nonsegment-specific revenues and expenses are recorded centrally in Corporate. Corporate assets primarily consist of cash and cash equivalents, marketable debt securities, Stellantis warrants and intercompany balances. Retained net underfunded pension liabilities related to the European Business are also recorded in Corporate. All intersegment balances and transactions have been eliminated in consolidation.</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tables summarize key financial information by segment: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11"/>
          </w:tcPr>
          <w:p>
            <w:pPr>
              <w:ind w:left="460"/>
              <w:spacing w:after="0"/>
              <w:rPr>
                <w:sz w:val="20"/>
                <w:szCs w:val="20"/>
                <w:color w:val="auto"/>
              </w:rPr>
            </w:pPr>
            <w:r>
              <w:rPr>
                <w:rFonts w:ascii="Arial" w:cs="Arial" w:eastAsia="Arial" w:hAnsi="Arial"/>
                <w:sz w:val="13"/>
                <w:szCs w:val="13"/>
                <w:b w:val="1"/>
                <w:bCs w:val="1"/>
                <w:color w:val="auto"/>
              </w:rPr>
              <w:t>At and For the Three Months Ended June 30, 2021</w:t>
            </w: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GMNA</w:t>
            </w:r>
          </w:p>
        </w:tc>
        <w:tc>
          <w:tcPr>
            <w:tcW w:w="120" w:type="dxa"/>
            <w:vAlign w:val="bottom"/>
          </w:tcPr>
          <w:p>
            <w:pPr>
              <w:spacing w:after="0"/>
              <w:rPr>
                <w:sz w:val="10"/>
                <w:szCs w:val="10"/>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GMI</w:t>
            </w:r>
          </w:p>
        </w:tc>
        <w:tc>
          <w:tcPr>
            <w:tcW w:w="12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0"/>
                <w:szCs w:val="10"/>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Cruise</w:t>
            </w:r>
          </w:p>
        </w:tc>
        <w:tc>
          <w:tcPr>
            <w:tcW w:w="12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rPr>
              <w:t>GM</w:t>
            </w:r>
          </w:p>
        </w:tc>
        <w:tc>
          <w:tcPr>
            <w:tcW w:w="17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0"/>
              </w:rPr>
              <w:t>Eliminations/Reclassifications</w:t>
            </w:r>
          </w:p>
        </w:tc>
        <w:tc>
          <w:tcPr>
            <w:tcW w:w="160" w:type="dxa"/>
            <w:vAlign w:val="bottom"/>
          </w:tcPr>
          <w:p>
            <w:pPr>
              <w:spacing w:after="0"/>
              <w:rPr>
                <w:sz w:val="10"/>
                <w:szCs w:val="10"/>
                <w:color w:val="auto"/>
              </w:rPr>
            </w:pPr>
          </w:p>
        </w:tc>
        <w:tc>
          <w:tcPr>
            <w:tcW w:w="5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27,932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2,792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30,745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3,426</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34,167</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1" w:lineRule="exact"/>
              <w:rPr>
                <w:sz w:val="20"/>
                <w:szCs w:val="20"/>
                <w:color w:val="auto"/>
              </w:rPr>
            </w:pPr>
            <w:r>
              <w:rPr>
                <w:rFonts w:ascii="Arial" w:cs="Arial" w:eastAsia="Arial" w:hAnsi="Arial"/>
                <w:sz w:val="13"/>
                <w:szCs w:val="13"/>
                <w:color w:val="auto"/>
                <w:w w:val="99"/>
              </w:rPr>
              <w:t>Earnings (loss) before interest and taxes-</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2,894</w:t>
            </w: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2,871</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(332)</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1,581</w:t>
            </w:r>
          </w:p>
        </w:tc>
        <w:tc>
          <w:tcPr>
            <w:tcW w:w="100" w:type="dxa"/>
            <w:vAlign w:val="bottom"/>
          </w:tcPr>
          <w:p>
            <w:pPr>
              <w:spacing w:after="0"/>
              <w:rPr>
                <w:sz w:val="10"/>
                <w:szCs w:val="10"/>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4,117</w:t>
            </w:r>
          </w:p>
        </w:tc>
        <w:tc>
          <w:tcPr>
            <w:tcW w:w="0" w:type="dxa"/>
            <w:vAlign w:val="bottom"/>
          </w:tcPr>
          <w:p>
            <w:pPr>
              <w:spacing w:after="0"/>
              <w:rPr>
                <w:sz w:val="1"/>
                <w:szCs w:val="1"/>
                <w:color w:val="auto"/>
              </w:rPr>
            </w:pPr>
          </w:p>
        </w:tc>
      </w:tr>
      <w:tr>
        <w:trPr>
          <w:trHeight w:val="166"/>
        </w:trPr>
        <w:tc>
          <w:tcPr>
            <w:tcW w:w="2400" w:type="dxa"/>
            <w:vAlign w:val="bottom"/>
          </w:tcPr>
          <w:p>
            <w:pPr>
              <w:ind w:left="180"/>
              <w:spacing w:after="0"/>
              <w:rPr>
                <w:sz w:val="20"/>
                <w:szCs w:val="20"/>
                <w:color w:val="auto"/>
              </w:rPr>
            </w:pPr>
            <w:r>
              <w:rPr>
                <w:rFonts w:ascii="Arial" w:cs="Arial" w:eastAsia="Arial" w:hAnsi="Arial"/>
                <w:sz w:val="13"/>
                <w:szCs w:val="13"/>
                <w:color w:val="auto"/>
              </w:rPr>
              <w:t>adjusted</w:t>
            </w:r>
          </w:p>
        </w:tc>
        <w:tc>
          <w:tcPr>
            <w:tcW w:w="1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66"/>
        </w:trPr>
        <w:tc>
          <w:tcPr>
            <w:tcW w:w="240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1"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3,750</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(971)</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2,779</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1"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2,836</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
        </w:trPr>
        <w:tc>
          <w:tcPr>
            <w:tcW w:w="24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482</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6,696</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7,178</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1,704</w:t>
            </w: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8,882</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affiliates</w:t>
            </w:r>
          </w:p>
        </w:tc>
        <w:tc>
          <w:tcPr>
            <w:tcW w:w="12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400" w:type="dxa"/>
            <w:vAlign w:val="bottom"/>
          </w:tcPr>
          <w:p>
            <w:pPr>
              <w:ind w:left="20"/>
              <w:spacing w:after="0"/>
              <w:rPr>
                <w:sz w:val="20"/>
                <w:szCs w:val="20"/>
                <w:color w:val="auto"/>
              </w:rPr>
            </w:pPr>
            <w:r>
              <w:rPr>
                <w:rFonts w:ascii="Arial" w:cs="Arial" w:eastAsia="Arial" w:hAnsi="Arial"/>
                <w:sz w:val="13"/>
                <w:szCs w:val="13"/>
                <w:color w:val="auto"/>
              </w:rPr>
              <w:t>Goodwill and intangibles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2,292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789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3,081</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743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1,345</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5,169</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115,220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37,424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ind w:left="400"/>
              <w:spacing w:after="0"/>
              <w:rPr>
                <w:sz w:val="20"/>
                <w:szCs w:val="20"/>
                <w:color w:val="auto"/>
              </w:rPr>
            </w:pPr>
            <w:r>
              <w:rPr>
                <w:rFonts w:ascii="Arial" w:cs="Arial" w:eastAsia="Arial" w:hAnsi="Arial"/>
                <w:sz w:val="13"/>
                <w:szCs w:val="13"/>
                <w:color w:val="auto"/>
                <w:w w:val="86"/>
              </w:rPr>
              <w:t>(52,138)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122,709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115,346</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241,803</w:t>
            </w:r>
          </w:p>
        </w:tc>
        <w:tc>
          <w:tcPr>
            <w:tcW w:w="0" w:type="dxa"/>
            <w:vAlign w:val="bottom"/>
          </w:tcPr>
          <w:p>
            <w:pPr>
              <w:spacing w:after="0"/>
              <w:rPr>
                <w:sz w:val="1"/>
                <w:szCs w:val="1"/>
                <w:color w:val="auto"/>
              </w:rPr>
            </w:pPr>
          </w:p>
        </w:tc>
      </w:tr>
      <w:tr>
        <w:trPr>
          <w:trHeight w:val="166"/>
        </w:trPr>
        <w:tc>
          <w:tcPr>
            <w:tcW w:w="2400" w:type="dxa"/>
            <w:vAlign w:val="bottom"/>
          </w:tcPr>
          <w:p>
            <w:pPr>
              <w:ind w:left="2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1,281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1,422</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1,579</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3,014</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8"/>
        </w:trPr>
        <w:tc>
          <w:tcPr>
            <w:tcW w:w="2400" w:type="dxa"/>
            <w:vAlign w:val="bottom"/>
          </w:tcPr>
          <w:p>
            <w:pPr>
              <w:ind w:left="20"/>
              <w:spacing w:after="0"/>
              <w:rPr>
                <w:sz w:val="20"/>
                <w:szCs w:val="20"/>
                <w:color w:val="auto"/>
              </w:rPr>
            </w:pPr>
            <w:r>
              <w:rPr>
                <w:rFonts w:ascii="Arial" w:cs="Arial" w:eastAsia="Arial" w:hAnsi="Arial"/>
                <w:sz w:val="13"/>
                <w:szCs w:val="13"/>
                <w:color w:val="auto"/>
              </w:rPr>
              <w:t>Equity income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274</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327</w:t>
            </w:r>
          </w:p>
        </w:tc>
        <w:tc>
          <w:tcPr>
            <w:tcW w:w="0" w:type="dxa"/>
            <w:vAlign w:val="bottom"/>
          </w:tcPr>
          <w:p>
            <w:pPr>
              <w:spacing w:after="0"/>
              <w:rPr>
                <w:sz w:val="1"/>
                <w:szCs w:val="1"/>
                <w:color w:val="auto"/>
              </w:rPr>
            </w:pPr>
          </w:p>
        </w:tc>
      </w:tr>
    </w:tbl>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0" w:lineRule="exact"/>
        <w:rPr>
          <w:sz w:val="20"/>
          <w:szCs w:val="20"/>
          <w:color w:val="auto"/>
        </w:rPr>
      </w:pPr>
    </w:p>
    <w:p>
      <w:pPr>
        <w:ind w:left="340" w:right="2120" w:hanging="333"/>
        <w:spacing w:after="0" w:line="237" w:lineRule="auto"/>
        <w:tabs>
          <w:tab w:leader="none" w:pos="282"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Consists of restructuring charges related to Cadillac dealer strategy in GMNA and an adjustment related to unique events associated with recent Korea Supreme Court decisions related to our salaried workers in GMI.</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11"/>
          </w:tcPr>
          <w:p>
            <w:pPr>
              <w:ind w:left="460"/>
              <w:spacing w:after="0"/>
              <w:rPr>
                <w:sz w:val="20"/>
                <w:szCs w:val="20"/>
                <w:color w:val="auto"/>
              </w:rPr>
            </w:pPr>
            <w:r>
              <w:rPr>
                <w:rFonts w:ascii="Arial" w:cs="Arial" w:eastAsia="Arial" w:hAnsi="Arial"/>
                <w:sz w:val="13"/>
                <w:szCs w:val="13"/>
                <w:b w:val="1"/>
                <w:bCs w:val="1"/>
                <w:color w:val="auto"/>
              </w:rPr>
              <w:t>At and For the Three Months Ended June 30, 2020</w:t>
            </w: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GMNA</w:t>
            </w:r>
          </w:p>
        </w:tc>
        <w:tc>
          <w:tcPr>
            <w:tcW w:w="120" w:type="dxa"/>
            <w:vAlign w:val="bottom"/>
          </w:tcPr>
          <w:p>
            <w:pPr>
              <w:spacing w:after="0"/>
              <w:rPr>
                <w:sz w:val="10"/>
                <w:szCs w:val="10"/>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GMI</w:t>
            </w:r>
          </w:p>
        </w:tc>
        <w:tc>
          <w:tcPr>
            <w:tcW w:w="12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0"/>
                <w:szCs w:val="10"/>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Cruise</w:t>
            </w:r>
          </w:p>
        </w:tc>
        <w:tc>
          <w:tcPr>
            <w:tcW w:w="12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rPr>
              <w:t>GM</w:t>
            </w:r>
          </w:p>
        </w:tc>
        <w:tc>
          <w:tcPr>
            <w:tcW w:w="17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0"/>
              </w:rPr>
              <w:t>Eliminations/Reclassifications</w:t>
            </w:r>
          </w:p>
        </w:tc>
        <w:tc>
          <w:tcPr>
            <w:tcW w:w="160" w:type="dxa"/>
            <w:vAlign w:val="bottom"/>
          </w:tcPr>
          <w:p>
            <w:pPr>
              <w:spacing w:after="0"/>
              <w:rPr>
                <w:sz w:val="10"/>
                <w:szCs w:val="10"/>
                <w:color w:val="auto"/>
              </w:rPr>
            </w:pPr>
          </w:p>
        </w:tc>
        <w:tc>
          <w:tcPr>
            <w:tcW w:w="5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11,604</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13,361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3,423</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16,778</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1" w:lineRule="exact"/>
              <w:rPr>
                <w:sz w:val="20"/>
                <w:szCs w:val="20"/>
                <w:color w:val="auto"/>
              </w:rPr>
            </w:pPr>
            <w:r>
              <w:rPr>
                <w:rFonts w:ascii="Arial" w:cs="Arial" w:eastAsia="Arial" w:hAnsi="Arial"/>
                <w:sz w:val="13"/>
                <w:szCs w:val="13"/>
                <w:color w:val="auto"/>
                <w:w w:val="99"/>
              </w:rPr>
              <w:t>Earnings (loss) before interest and taxes-</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(101)</w:t>
            </w:r>
          </w:p>
        </w:tc>
        <w:tc>
          <w:tcPr>
            <w:tcW w:w="1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(270)</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(182)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(553)</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(195)</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226</w:t>
            </w:r>
          </w:p>
        </w:tc>
        <w:tc>
          <w:tcPr>
            <w:tcW w:w="100" w:type="dxa"/>
            <w:vAlign w:val="bottom"/>
          </w:tcPr>
          <w:p>
            <w:pPr>
              <w:spacing w:after="0"/>
              <w:rPr>
                <w:sz w:val="10"/>
                <w:szCs w:val="10"/>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(536)</w:t>
            </w:r>
          </w:p>
        </w:tc>
        <w:tc>
          <w:tcPr>
            <w:tcW w:w="0" w:type="dxa"/>
            <w:vAlign w:val="bottom"/>
          </w:tcPr>
          <w:p>
            <w:pPr>
              <w:spacing w:after="0"/>
              <w:rPr>
                <w:sz w:val="1"/>
                <w:szCs w:val="1"/>
                <w:color w:val="auto"/>
              </w:rPr>
            </w:pPr>
          </w:p>
        </w:tc>
      </w:tr>
      <w:tr>
        <w:trPr>
          <w:trHeight w:val="166"/>
        </w:trPr>
        <w:tc>
          <w:tcPr>
            <w:tcW w:w="2400" w:type="dxa"/>
            <w:vAlign w:val="bottom"/>
          </w:tcPr>
          <w:p>
            <w:pPr>
              <w:ind w:left="180"/>
              <w:spacing w:after="0"/>
              <w:rPr>
                <w:sz w:val="20"/>
                <w:szCs w:val="20"/>
                <w:color w:val="auto"/>
              </w:rPr>
            </w:pPr>
            <w:r>
              <w:rPr>
                <w:rFonts w:ascii="Arial" w:cs="Arial" w:eastAsia="Arial" w:hAnsi="Arial"/>
                <w:sz w:val="13"/>
                <w:szCs w:val="13"/>
                <w:color w:val="auto"/>
              </w:rPr>
              <w:t>adjusted</w:t>
            </w:r>
          </w:p>
        </w:tc>
        <w:tc>
          <w:tcPr>
            <w:tcW w:w="1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0" w:type="dxa"/>
            <w:vAlign w:val="bottom"/>
          </w:tcPr>
          <w:p>
            <w:pPr>
              <w:spacing w:after="0"/>
              <w:rPr>
                <w:sz w:val="1"/>
                <w:szCs w:val="1"/>
                <w:color w:val="auto"/>
              </w:rPr>
            </w:pPr>
          </w:p>
        </w:tc>
      </w:tr>
      <w:tr>
        <w:trPr>
          <w:trHeight w:val="166"/>
        </w:trPr>
        <w:tc>
          <w:tcPr>
            <w:tcW w:w="240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1"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before income taxes</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(892)</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benefit</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(780)</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1"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 attributable to stockholders</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(758)</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
        </w:trPr>
        <w:tc>
          <w:tcPr>
            <w:tcW w:w="24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Equity in net assets of nonconsolidated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6,107</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6,240</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1,484</w:t>
            </w: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7,724</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affiliates</w:t>
            </w:r>
          </w:p>
        </w:tc>
        <w:tc>
          <w:tcPr>
            <w:tcW w:w="12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400" w:type="dxa"/>
            <w:vAlign w:val="bottom"/>
          </w:tcPr>
          <w:p>
            <w:pPr>
              <w:ind w:left="20"/>
              <w:spacing w:after="0"/>
              <w:rPr>
                <w:sz w:val="20"/>
                <w:szCs w:val="20"/>
                <w:color w:val="auto"/>
              </w:rPr>
            </w:pPr>
            <w:r>
              <w:rPr>
                <w:rFonts w:ascii="Arial" w:cs="Arial" w:eastAsia="Arial" w:hAnsi="Arial"/>
                <w:sz w:val="13"/>
                <w:szCs w:val="13"/>
                <w:color w:val="auto"/>
              </w:rPr>
              <w:t>Goodwill and intangibles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2,399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819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3,219</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726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1,337</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5,282</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101,521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43,258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ind w:left="400"/>
              <w:spacing w:after="0"/>
              <w:rPr>
                <w:sz w:val="20"/>
                <w:szCs w:val="20"/>
                <w:color w:val="auto"/>
              </w:rPr>
            </w:pPr>
            <w:r>
              <w:rPr>
                <w:rFonts w:ascii="Arial" w:cs="Arial" w:eastAsia="Arial" w:hAnsi="Arial"/>
                <w:sz w:val="13"/>
                <w:szCs w:val="13"/>
                <w:color w:val="auto"/>
                <w:w w:val="86"/>
              </w:rPr>
              <w:t>(41,700)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124,573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3,963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111,154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237,535</w:t>
            </w:r>
          </w:p>
        </w:tc>
        <w:tc>
          <w:tcPr>
            <w:tcW w:w="0" w:type="dxa"/>
            <w:vAlign w:val="bottom"/>
          </w:tcPr>
          <w:p>
            <w:pPr>
              <w:spacing w:after="0"/>
              <w:rPr>
                <w:sz w:val="1"/>
                <w:szCs w:val="1"/>
                <w:color w:val="auto"/>
              </w:rPr>
            </w:pPr>
          </w:p>
        </w:tc>
      </w:tr>
      <w:tr>
        <w:trPr>
          <w:trHeight w:val="166"/>
        </w:trPr>
        <w:tc>
          <w:tcPr>
            <w:tcW w:w="2400" w:type="dxa"/>
            <w:vAlign w:val="bottom"/>
          </w:tcPr>
          <w:p>
            <w:pPr>
              <w:ind w:left="2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1,127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149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1,282</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1,965</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3,258</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8"/>
        </w:trPr>
        <w:tc>
          <w:tcPr>
            <w:tcW w:w="2400" w:type="dxa"/>
            <w:vAlign w:val="bottom"/>
          </w:tcPr>
          <w:p>
            <w:pPr>
              <w:ind w:left="20"/>
              <w:spacing w:after="0"/>
              <w:rPr>
                <w:sz w:val="20"/>
                <w:szCs w:val="20"/>
                <w:color w:val="auto"/>
              </w:rPr>
            </w:pPr>
            <w:r>
              <w:rPr>
                <w:rFonts w:ascii="Arial" w:cs="Arial" w:eastAsia="Arial" w:hAnsi="Arial"/>
                <w:sz w:val="13"/>
                <w:szCs w:val="13"/>
                <w:color w:val="auto"/>
              </w:rPr>
              <w:t>Equity income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165</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170</w:t>
            </w:r>
          </w:p>
        </w:tc>
        <w:tc>
          <w:tcPr>
            <w:tcW w:w="10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39" w:lineRule="exact"/>
        <w:rPr>
          <w:sz w:val="20"/>
          <w:szCs w:val="20"/>
          <w:color w:val="auto"/>
        </w:rPr>
      </w:pPr>
    </w:p>
    <w:p>
      <w:pPr>
        <w:ind w:left="320" w:hanging="313"/>
        <w:spacing w:after="0"/>
        <w:tabs>
          <w:tab w:leader="none" w:pos="3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Consists of restructuring and other charges in Australia, New Zealand and Thailand.</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11"/>
          </w:tcPr>
          <w:p>
            <w:pPr>
              <w:ind w:left="560"/>
              <w:spacing w:after="0"/>
              <w:rPr>
                <w:sz w:val="20"/>
                <w:szCs w:val="20"/>
                <w:color w:val="auto"/>
              </w:rPr>
            </w:pPr>
            <w:r>
              <w:rPr>
                <w:rFonts w:ascii="Arial" w:cs="Arial" w:eastAsia="Arial" w:hAnsi="Arial"/>
                <w:sz w:val="13"/>
                <w:szCs w:val="13"/>
                <w:b w:val="1"/>
                <w:bCs w:val="1"/>
                <w:color w:val="auto"/>
              </w:rPr>
              <w:t>At and For the Six Months Ended June 30, 2021</w:t>
            </w:r>
          </w:p>
        </w:tc>
        <w:tc>
          <w:tcPr>
            <w:tcW w:w="7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0"/>
                <w:szCs w:val="10"/>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Cruise</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rPr>
              <w:t>GM</w:t>
            </w:r>
          </w:p>
        </w:tc>
        <w:tc>
          <w:tcPr>
            <w:tcW w:w="1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1"/>
              </w:rPr>
              <w:t>Eliminations/Reclassifications</w:t>
            </w:r>
          </w:p>
        </w:tc>
        <w:tc>
          <w:tcPr>
            <w:tcW w:w="140" w:type="dxa"/>
            <w:vAlign w:val="bottom"/>
          </w:tcPr>
          <w:p>
            <w:pPr>
              <w:spacing w:after="0"/>
              <w:rPr>
                <w:sz w:val="10"/>
                <w:szCs w:val="10"/>
                <w:color w:val="auto"/>
              </w:rPr>
            </w:pPr>
          </w:p>
        </w:tc>
        <w:tc>
          <w:tcPr>
            <w:tcW w:w="5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Automotive</w:t>
            </w: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sales and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53,889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5,878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3"/>
                <w:szCs w:val="13"/>
                <w:color w:val="auto"/>
              </w:rPr>
              <w:t>40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59,807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6,833</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shd w:val="clear" w:color="auto" w:fill="CCEEFF"/>
          </w:tcPr>
          <w:p>
            <w:pPr>
              <w:jc w:val="center"/>
              <w:ind w:left="577"/>
              <w:spacing w:after="0"/>
              <w:rPr>
                <w:sz w:val="20"/>
                <w:szCs w:val="20"/>
                <w:color w:val="auto"/>
              </w:rPr>
            </w:pPr>
            <w:r>
              <w:rPr>
                <w:rFonts w:ascii="Arial" w:cs="Arial" w:eastAsia="Arial" w:hAnsi="Arial"/>
                <w:sz w:val="13"/>
                <w:szCs w:val="13"/>
                <w:color w:val="auto"/>
                <w:w w:val="94"/>
              </w:rPr>
              <w:t>(54)</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66,641</w:t>
            </w:r>
          </w:p>
        </w:tc>
        <w:tc>
          <w:tcPr>
            <w:tcW w:w="0" w:type="dxa"/>
            <w:vAlign w:val="bottom"/>
          </w:tcPr>
          <w:p>
            <w:pPr>
              <w:spacing w:after="0"/>
              <w:rPr>
                <w:sz w:val="1"/>
                <w:szCs w:val="1"/>
                <w:color w:val="auto"/>
              </w:rPr>
            </w:pPr>
          </w:p>
        </w:tc>
      </w:tr>
      <w:tr>
        <w:trPr>
          <w:trHeight w:val="121"/>
        </w:trPr>
        <w:tc>
          <w:tcPr>
            <w:tcW w:w="2380" w:type="dxa"/>
            <w:vAlign w:val="bottom"/>
          </w:tcPr>
          <w:p>
            <w:pPr>
              <w:spacing w:after="0" w:line="121" w:lineRule="exact"/>
              <w:rPr>
                <w:sz w:val="20"/>
                <w:szCs w:val="20"/>
                <w:color w:val="auto"/>
              </w:rPr>
            </w:pPr>
            <w:r>
              <w:rPr>
                <w:rFonts w:ascii="Arial" w:cs="Arial" w:eastAsia="Arial" w:hAnsi="Arial"/>
                <w:sz w:val="13"/>
                <w:szCs w:val="13"/>
                <w:color w:val="auto"/>
                <w:w w:val="99"/>
              </w:rPr>
              <w:t>Earnings (loss) before interest and taxes-</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ind w:right="17"/>
              <w:spacing w:after="0"/>
              <w:rPr>
                <w:sz w:val="20"/>
                <w:szCs w:val="20"/>
                <w:color w:val="auto"/>
              </w:rPr>
            </w:pPr>
            <w:r>
              <w:rPr>
                <w:rFonts w:ascii="Arial" w:cs="Arial" w:eastAsia="Arial" w:hAnsi="Arial"/>
                <w:sz w:val="13"/>
                <w:szCs w:val="13"/>
                <w:color w:val="auto"/>
              </w:rPr>
              <w:t>6,028</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ind w:right="17"/>
              <w:spacing w:after="0"/>
              <w:rPr>
                <w:sz w:val="20"/>
                <w:szCs w:val="20"/>
                <w:color w:val="auto"/>
              </w:rPr>
            </w:pPr>
            <w:r>
              <w:rPr>
                <w:rFonts w:ascii="Arial" w:cs="Arial" w:eastAsia="Arial" w:hAnsi="Arial"/>
                <w:sz w:val="13"/>
                <w:szCs w:val="13"/>
                <w:color w:val="auto"/>
              </w:rPr>
              <w:t>323</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ind w:left="540"/>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ind w:right="17"/>
              <w:spacing w:after="0"/>
              <w:rPr>
                <w:sz w:val="20"/>
                <w:szCs w:val="20"/>
                <w:color w:val="auto"/>
              </w:rPr>
            </w:pPr>
            <w:r>
              <w:rPr>
                <w:rFonts w:ascii="Arial" w:cs="Arial" w:eastAsia="Arial" w:hAnsi="Arial"/>
                <w:sz w:val="13"/>
                <w:szCs w:val="13"/>
                <w:color w:val="auto"/>
              </w:rPr>
              <w:t>6,343</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(561)</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2,763</w:t>
            </w:r>
          </w:p>
        </w:tc>
        <w:tc>
          <w:tcPr>
            <w:tcW w:w="100" w:type="dxa"/>
            <w:vAlign w:val="bottom"/>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center"/>
              <w:ind w:left="577"/>
              <w:spacing w:after="0"/>
              <w:rPr>
                <w:sz w:val="20"/>
                <w:szCs w:val="20"/>
                <w:color w:val="auto"/>
              </w:rPr>
            </w:pPr>
            <w:r>
              <w:rPr>
                <w:rFonts w:ascii="Arial" w:cs="Arial" w:eastAsia="Arial" w:hAnsi="Arial"/>
                <w:sz w:val="13"/>
                <w:szCs w:val="13"/>
                <w:color w:val="auto"/>
                <w:w w:val="94"/>
              </w:rPr>
              <w:t>(11)</w:t>
            </w:r>
          </w:p>
        </w:tc>
        <w:tc>
          <w:tcPr>
            <w:tcW w:w="120" w:type="dxa"/>
            <w:vAlign w:val="bottom"/>
          </w:tcPr>
          <w:p>
            <w:pPr>
              <w:spacing w:after="0"/>
              <w:rPr>
                <w:sz w:val="10"/>
                <w:szCs w:val="10"/>
                <w:color w:val="auto"/>
              </w:rPr>
            </w:pP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8,534</w:t>
            </w:r>
          </w:p>
        </w:tc>
        <w:tc>
          <w:tcPr>
            <w:tcW w:w="0" w:type="dxa"/>
            <w:vAlign w:val="bottom"/>
          </w:tcPr>
          <w:p>
            <w:pPr>
              <w:spacing w:after="0"/>
              <w:rPr>
                <w:sz w:val="1"/>
                <w:szCs w:val="1"/>
                <w:color w:val="auto"/>
              </w:rPr>
            </w:pPr>
          </w:p>
        </w:tc>
      </w:tr>
      <w:tr>
        <w:trPr>
          <w:trHeight w:val="166"/>
        </w:trPr>
        <w:tc>
          <w:tcPr>
            <w:tcW w:w="2380" w:type="dxa"/>
            <w:vAlign w:val="bottom"/>
          </w:tcPr>
          <w:p>
            <w:pPr>
              <w:ind w:left="160"/>
              <w:spacing w:after="0"/>
              <w:rPr>
                <w:sz w:val="20"/>
                <w:szCs w:val="20"/>
                <w:color w:val="auto"/>
              </w:rPr>
            </w:pPr>
            <w:r>
              <w:rPr>
                <w:rFonts w:ascii="Arial" w:cs="Arial" w:eastAsia="Arial" w:hAnsi="Arial"/>
                <w:sz w:val="13"/>
                <w:szCs w:val="13"/>
                <w:color w:val="auto"/>
              </w:rPr>
              <w:t>adjusted</w:t>
            </w:r>
          </w:p>
        </w:tc>
        <w:tc>
          <w:tcPr>
            <w:tcW w:w="1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Adjustments(a)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center"/>
              <w:ind w:left="477"/>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0" w:type="dxa"/>
            <w:vAlign w:val="bottom"/>
          </w:tcPr>
          <w:p>
            <w:pPr>
              <w:spacing w:after="0"/>
              <w:rPr>
                <w:sz w:val="1"/>
                <w:szCs w:val="1"/>
                <w:color w:val="auto"/>
              </w:rPr>
            </w:pPr>
          </w:p>
        </w:tc>
      </w:tr>
      <w:tr>
        <w:trPr>
          <w:trHeight w:val="166"/>
        </w:trPr>
        <w:tc>
          <w:tcPr>
            <w:tcW w:w="2380" w:type="dxa"/>
            <w:vAlign w:val="bottom"/>
          </w:tcPr>
          <w:p>
            <w:pPr>
              <w:spacing w:after="0"/>
              <w:rPr>
                <w:sz w:val="20"/>
                <w:szCs w:val="20"/>
                <w:color w:val="auto"/>
              </w:rPr>
            </w:pPr>
            <w:r>
              <w:rPr>
                <w:rFonts w:ascii="Arial" w:cs="Arial" w:eastAsia="Arial" w:hAnsi="Arial"/>
                <w:sz w:val="13"/>
                <w:szCs w:val="13"/>
                <w:color w:val="auto"/>
              </w:rPr>
              <w:t>Automotive interest income</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Automotive interest expense</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(493)</w:t>
            </w:r>
          </w:p>
        </w:tc>
        <w:tc>
          <w:tcPr>
            <w:tcW w:w="0" w:type="dxa"/>
            <w:vAlign w:val="bottom"/>
          </w:tcPr>
          <w:p>
            <w:pPr>
              <w:spacing w:after="0"/>
              <w:rPr>
                <w:sz w:val="1"/>
                <w:szCs w:val="1"/>
                <w:color w:val="auto"/>
              </w:rPr>
            </w:pPr>
          </w:p>
        </w:tc>
      </w:tr>
      <w:tr>
        <w:trPr>
          <w:trHeight w:val="121"/>
        </w:trPr>
        <w:tc>
          <w:tcPr>
            <w:tcW w:w="2380" w:type="dxa"/>
            <w:vAlign w:val="bottom"/>
          </w:tcPr>
          <w:p>
            <w:pPr>
              <w:spacing w:after="0" w:line="121" w:lineRule="exact"/>
              <w:rPr>
                <w:sz w:val="20"/>
                <w:szCs w:val="20"/>
                <w:color w:val="auto"/>
              </w:rPr>
            </w:pPr>
            <w:r>
              <w:rPr>
                <w:rFonts w:ascii="Arial" w:cs="Arial" w:eastAsia="Arial" w:hAnsi="Arial"/>
                <w:sz w:val="13"/>
                <w:szCs w:val="13"/>
                <w:color w:val="auto"/>
              </w:rPr>
              <w:t>Net (loss) attributable to noncontrolling</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68"/>
        </w:trPr>
        <w:tc>
          <w:tcPr>
            <w:tcW w:w="238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7,941</w:t>
            </w:r>
          </w:p>
        </w:tc>
        <w:tc>
          <w:tcPr>
            <w:tcW w:w="0" w:type="dxa"/>
            <w:vAlign w:val="bottom"/>
          </w:tcPr>
          <w:p>
            <w:pPr>
              <w:spacing w:after="0"/>
              <w:rPr>
                <w:sz w:val="1"/>
                <w:szCs w:val="1"/>
                <w:color w:val="auto"/>
              </w:rPr>
            </w:pPr>
          </w:p>
        </w:tc>
      </w:tr>
      <w:tr>
        <w:trPr>
          <w:trHeight w:val="168"/>
        </w:trPr>
        <w:tc>
          <w:tcPr>
            <w:tcW w:w="23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Income tax expense</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(2,148)</w:t>
            </w: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5,793</w:t>
            </w:r>
          </w:p>
        </w:tc>
        <w:tc>
          <w:tcPr>
            <w:tcW w:w="0" w:type="dxa"/>
            <w:vAlign w:val="bottom"/>
          </w:tcPr>
          <w:p>
            <w:pPr>
              <w:spacing w:after="0"/>
              <w:rPr>
                <w:sz w:val="1"/>
                <w:szCs w:val="1"/>
                <w:color w:val="auto"/>
              </w:rPr>
            </w:pPr>
          </w:p>
        </w:tc>
      </w:tr>
      <w:tr>
        <w:trPr>
          <w:trHeight w:val="121"/>
        </w:trPr>
        <w:tc>
          <w:tcPr>
            <w:tcW w:w="2380" w:type="dxa"/>
            <w:vAlign w:val="bottom"/>
          </w:tcPr>
          <w:p>
            <w:pPr>
              <w:spacing w:after="0" w:line="121" w:lineRule="exact"/>
              <w:rPr>
                <w:sz w:val="20"/>
                <w:szCs w:val="20"/>
                <w:color w:val="auto"/>
              </w:rPr>
            </w:pPr>
            <w:r>
              <w:rPr>
                <w:rFonts w:ascii="Arial" w:cs="Arial" w:eastAsia="Arial" w:hAnsi="Arial"/>
                <w:sz w:val="13"/>
                <w:szCs w:val="13"/>
                <w:color w:val="auto"/>
              </w:rPr>
              <w:t>Net loss attributable to noncontrolling</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68"/>
        </w:trPr>
        <w:tc>
          <w:tcPr>
            <w:tcW w:w="238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income attributable to stockholders</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5,858</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center"/>
              <w:ind w:left="477"/>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6,029</w:t>
            </w:r>
          </w:p>
        </w:tc>
        <w:tc>
          <w:tcPr>
            <w:tcW w:w="0" w:type="dxa"/>
            <w:vAlign w:val="bottom"/>
          </w:tcPr>
          <w:p>
            <w:pPr>
              <w:spacing w:after="0"/>
              <w:rPr>
                <w:sz w:val="1"/>
                <w:szCs w:val="1"/>
                <w:color w:val="auto"/>
              </w:rPr>
            </w:pPr>
          </w:p>
        </w:tc>
      </w:tr>
      <w:tr>
        <w:trPr>
          <w:trHeight w:val="166"/>
        </w:trPr>
        <w:tc>
          <w:tcPr>
            <w:tcW w:w="2380" w:type="dxa"/>
            <w:vAlign w:val="bottom"/>
          </w:tcPr>
          <w:p>
            <w:pPr>
              <w:spacing w:after="0"/>
              <w:rPr>
                <w:sz w:val="20"/>
                <w:szCs w:val="20"/>
                <w:color w:val="auto"/>
              </w:rPr>
            </w:pPr>
            <w:r>
              <w:rPr>
                <w:rFonts w:ascii="Arial" w:cs="Arial" w:eastAsia="Arial" w:hAnsi="Arial"/>
                <w:sz w:val="13"/>
                <w:szCs w:val="13"/>
                <w:color w:val="auto"/>
              </w:rPr>
              <w:t>Impairment charges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center"/>
              <w:ind w:left="477"/>
              <w:spacing w:after="0"/>
              <w:rPr>
                <w:sz w:val="20"/>
                <w:szCs w:val="20"/>
                <w:color w:val="auto"/>
              </w:rPr>
            </w:pPr>
            <w:r>
              <w:rPr>
                <w:rFonts w:ascii="Arial" w:cs="Arial" w:eastAsia="Arial" w:hAnsi="Arial"/>
                <w:sz w:val="13"/>
                <w:szCs w:val="13"/>
                <w:color w:val="auto"/>
                <w:w w:val="91"/>
              </w:rPr>
              <w:t>—</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Equity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581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588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center"/>
              <w:ind w:left="477"/>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0" w:lineRule="exact"/>
        <w:rPr>
          <w:sz w:val="20"/>
          <w:szCs w:val="20"/>
          <w:color w:val="auto"/>
        </w:rPr>
      </w:pPr>
    </w:p>
    <w:p>
      <w:pPr>
        <w:ind w:left="340" w:right="2100" w:hanging="333"/>
        <w:spacing w:after="0" w:line="237" w:lineRule="auto"/>
        <w:tabs>
          <w:tab w:leader="none" w:pos="282"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Consists of restructuring charges related to Cadillac dealer strategy in GMNA and an adjustment related to unique events associated with recent Korea Supreme Court decisions related to our salaried workers in GMI.</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11"/>
          </w:tcPr>
          <w:p>
            <w:pPr>
              <w:ind w:left="560"/>
              <w:spacing w:after="0"/>
              <w:rPr>
                <w:sz w:val="20"/>
                <w:szCs w:val="20"/>
                <w:color w:val="auto"/>
              </w:rPr>
            </w:pPr>
            <w:r>
              <w:rPr>
                <w:rFonts w:ascii="Arial" w:cs="Arial" w:eastAsia="Arial" w:hAnsi="Arial"/>
                <w:sz w:val="13"/>
                <w:szCs w:val="13"/>
                <w:b w:val="1"/>
                <w:bCs w:val="1"/>
                <w:color w:val="auto"/>
              </w:rPr>
              <w:t>At and For the Six Months Ended June 30, 2020</w:t>
            </w:r>
          </w:p>
        </w:tc>
        <w:tc>
          <w:tcPr>
            <w:tcW w:w="7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0"/>
                <w:szCs w:val="10"/>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GMI</w:t>
            </w:r>
          </w:p>
        </w:tc>
        <w:tc>
          <w:tcPr>
            <w:tcW w:w="10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Cruise</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rPr>
              <w:t>GM</w:t>
            </w:r>
          </w:p>
        </w:tc>
        <w:tc>
          <w:tcPr>
            <w:tcW w:w="1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1"/>
              </w:rPr>
              <w:t>Eliminations/Reclassifications</w:t>
            </w:r>
          </w:p>
        </w:tc>
        <w:tc>
          <w:tcPr>
            <w:tcW w:w="140" w:type="dxa"/>
            <w:vAlign w:val="bottom"/>
          </w:tcPr>
          <w:p>
            <w:pPr>
              <w:spacing w:after="0"/>
              <w:rPr>
                <w:sz w:val="10"/>
                <w:szCs w:val="10"/>
                <w:color w:val="auto"/>
              </w:rPr>
            </w:pPr>
          </w:p>
        </w:tc>
        <w:tc>
          <w:tcPr>
            <w:tcW w:w="5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Automotive</w:t>
            </w: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sales and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37,435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4,957</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42,510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6,984</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49,487</w:t>
            </w:r>
          </w:p>
        </w:tc>
        <w:tc>
          <w:tcPr>
            <w:tcW w:w="0" w:type="dxa"/>
            <w:vAlign w:val="bottom"/>
          </w:tcPr>
          <w:p>
            <w:pPr>
              <w:spacing w:after="0"/>
              <w:rPr>
                <w:sz w:val="1"/>
                <w:szCs w:val="1"/>
                <w:color w:val="auto"/>
              </w:rPr>
            </w:pPr>
          </w:p>
        </w:tc>
      </w:tr>
      <w:tr>
        <w:trPr>
          <w:trHeight w:val="121"/>
        </w:trPr>
        <w:tc>
          <w:tcPr>
            <w:tcW w:w="2380" w:type="dxa"/>
            <w:vAlign w:val="bottom"/>
          </w:tcPr>
          <w:p>
            <w:pPr>
              <w:spacing w:after="0" w:line="121" w:lineRule="exact"/>
              <w:rPr>
                <w:sz w:val="20"/>
                <w:szCs w:val="20"/>
                <w:color w:val="auto"/>
              </w:rPr>
            </w:pPr>
            <w:r>
              <w:rPr>
                <w:rFonts w:ascii="Arial" w:cs="Arial" w:eastAsia="Arial" w:hAnsi="Arial"/>
                <w:sz w:val="13"/>
                <w:szCs w:val="13"/>
                <w:color w:val="auto"/>
                <w:w w:val="99"/>
              </w:rPr>
              <w:t>Earnings (loss) before interest and taxes-</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ind w:right="17"/>
              <w:spacing w:after="0"/>
              <w:rPr>
                <w:sz w:val="20"/>
                <w:szCs w:val="20"/>
                <w:color w:val="auto"/>
              </w:rPr>
            </w:pPr>
            <w:r>
              <w:rPr>
                <w:rFonts w:ascii="Arial" w:cs="Arial" w:eastAsia="Arial" w:hAnsi="Arial"/>
                <w:sz w:val="13"/>
                <w:szCs w:val="13"/>
                <w:color w:val="auto"/>
              </w:rPr>
              <w:t>2,093</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(821)</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(593)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ind w:right="17"/>
              <w:spacing w:after="0"/>
              <w:rPr>
                <w:sz w:val="20"/>
                <w:szCs w:val="20"/>
                <w:color w:val="auto"/>
              </w:rPr>
            </w:pPr>
            <w:r>
              <w:rPr>
                <w:rFonts w:ascii="Arial" w:cs="Arial" w:eastAsia="Arial" w:hAnsi="Arial"/>
                <w:sz w:val="13"/>
                <w:szCs w:val="13"/>
                <w:color w:val="auto"/>
              </w:rPr>
              <w:t>679</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(423)</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456</w:t>
            </w:r>
          </w:p>
        </w:tc>
        <w:tc>
          <w:tcPr>
            <w:tcW w:w="100" w:type="dxa"/>
            <w:vAlign w:val="bottom"/>
          </w:tcPr>
          <w:p>
            <w:pPr>
              <w:spacing w:after="0"/>
              <w:rPr>
                <w:sz w:val="10"/>
                <w:szCs w:val="10"/>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0"/>
                <w:szCs w:val="10"/>
                <w:color w:val="auto"/>
              </w:rPr>
            </w:pP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714</w:t>
            </w:r>
          </w:p>
        </w:tc>
        <w:tc>
          <w:tcPr>
            <w:tcW w:w="0" w:type="dxa"/>
            <w:vAlign w:val="bottom"/>
          </w:tcPr>
          <w:p>
            <w:pPr>
              <w:spacing w:after="0"/>
              <w:rPr>
                <w:sz w:val="1"/>
                <w:szCs w:val="1"/>
                <w:color w:val="auto"/>
              </w:rPr>
            </w:pPr>
          </w:p>
        </w:tc>
      </w:tr>
      <w:tr>
        <w:trPr>
          <w:trHeight w:val="166"/>
        </w:trPr>
        <w:tc>
          <w:tcPr>
            <w:tcW w:w="2380" w:type="dxa"/>
            <w:vAlign w:val="bottom"/>
          </w:tcPr>
          <w:p>
            <w:pPr>
              <w:ind w:left="160"/>
              <w:spacing w:after="0"/>
              <w:rPr>
                <w:sz w:val="20"/>
                <w:szCs w:val="20"/>
                <w:color w:val="auto"/>
              </w:rPr>
            </w:pPr>
            <w:r>
              <w:rPr>
                <w:rFonts w:ascii="Arial" w:cs="Arial" w:eastAsia="Arial" w:hAnsi="Arial"/>
                <w:sz w:val="13"/>
                <w:szCs w:val="13"/>
                <w:color w:val="auto"/>
              </w:rPr>
              <w:t>adjusted</w:t>
            </w:r>
          </w:p>
        </w:tc>
        <w:tc>
          <w:tcPr>
            <w:tcW w:w="1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Adjustments(a)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(581)</w:t>
            </w:r>
          </w:p>
        </w:tc>
        <w:tc>
          <w:tcPr>
            <w:tcW w:w="0" w:type="dxa"/>
            <w:vAlign w:val="bottom"/>
          </w:tcPr>
          <w:p>
            <w:pPr>
              <w:spacing w:after="0"/>
              <w:rPr>
                <w:sz w:val="1"/>
                <w:szCs w:val="1"/>
                <w:color w:val="auto"/>
              </w:rPr>
            </w:pPr>
          </w:p>
        </w:tc>
      </w:tr>
      <w:tr>
        <w:trPr>
          <w:trHeight w:val="166"/>
        </w:trPr>
        <w:tc>
          <w:tcPr>
            <w:tcW w:w="2380" w:type="dxa"/>
            <w:vAlign w:val="bottom"/>
          </w:tcPr>
          <w:p>
            <w:pPr>
              <w:spacing w:after="0"/>
              <w:rPr>
                <w:sz w:val="20"/>
                <w:szCs w:val="20"/>
                <w:color w:val="auto"/>
              </w:rPr>
            </w:pPr>
            <w:r>
              <w:rPr>
                <w:rFonts w:ascii="Arial" w:cs="Arial" w:eastAsia="Arial" w:hAnsi="Arial"/>
                <w:sz w:val="13"/>
                <w:szCs w:val="13"/>
                <w:color w:val="auto"/>
              </w:rPr>
              <w:t>Automotive interest income</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144</w:t>
            </w: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Automotive interest expense</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121"/>
        </w:trPr>
        <w:tc>
          <w:tcPr>
            <w:tcW w:w="2380" w:type="dxa"/>
            <w:vAlign w:val="bottom"/>
          </w:tcPr>
          <w:p>
            <w:pPr>
              <w:spacing w:after="0" w:line="121" w:lineRule="exact"/>
              <w:rPr>
                <w:sz w:val="20"/>
                <w:szCs w:val="20"/>
                <w:color w:val="auto"/>
              </w:rPr>
            </w:pPr>
            <w:r>
              <w:rPr>
                <w:rFonts w:ascii="Arial" w:cs="Arial" w:eastAsia="Arial" w:hAnsi="Arial"/>
                <w:sz w:val="13"/>
                <w:szCs w:val="13"/>
                <w:color w:val="auto"/>
              </w:rPr>
              <w:t>Net (loss) attributable to noncontrolling</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68"/>
        </w:trPr>
        <w:tc>
          <w:tcPr>
            <w:tcW w:w="238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Loss before income taxes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0" w:type="dxa"/>
            <w:vAlign w:val="bottom"/>
          </w:tcPr>
          <w:p>
            <w:pPr>
              <w:spacing w:after="0"/>
              <w:rPr>
                <w:sz w:val="1"/>
                <w:szCs w:val="1"/>
                <w:color w:val="auto"/>
              </w:rPr>
            </w:pPr>
          </w:p>
        </w:tc>
      </w:tr>
      <w:tr>
        <w:trPr>
          <w:trHeight w:val="168"/>
        </w:trPr>
        <w:tc>
          <w:tcPr>
            <w:tcW w:w="23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Income tax expense</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w:t>
            </w: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w:t>
            </w:r>
          </w:p>
        </w:tc>
        <w:tc>
          <w:tcPr>
            <w:tcW w:w="0" w:type="dxa"/>
            <w:vAlign w:val="bottom"/>
          </w:tcPr>
          <w:p>
            <w:pPr>
              <w:spacing w:after="0"/>
              <w:rPr>
                <w:sz w:val="1"/>
                <w:szCs w:val="1"/>
                <w:color w:val="auto"/>
              </w:rPr>
            </w:pPr>
          </w:p>
        </w:tc>
      </w:tr>
      <w:tr>
        <w:trPr>
          <w:trHeight w:val="121"/>
        </w:trPr>
        <w:tc>
          <w:tcPr>
            <w:tcW w:w="2380" w:type="dxa"/>
            <w:vAlign w:val="bottom"/>
          </w:tcPr>
          <w:p>
            <w:pPr>
              <w:spacing w:after="0" w:line="121" w:lineRule="exact"/>
              <w:rPr>
                <w:sz w:val="20"/>
                <w:szCs w:val="20"/>
                <w:color w:val="auto"/>
              </w:rPr>
            </w:pPr>
            <w:r>
              <w:rPr>
                <w:rFonts w:ascii="Arial" w:cs="Arial" w:eastAsia="Arial" w:hAnsi="Arial"/>
                <w:sz w:val="13"/>
                <w:szCs w:val="13"/>
                <w:color w:val="auto"/>
              </w:rPr>
              <w:t>Net loss attributable to noncontrolling</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68"/>
        </w:trPr>
        <w:tc>
          <w:tcPr>
            <w:tcW w:w="238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interests</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loss attributable to stockholders</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(464)</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2,354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2,684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3,753</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6,456</w:t>
            </w:r>
          </w:p>
        </w:tc>
        <w:tc>
          <w:tcPr>
            <w:tcW w:w="0" w:type="dxa"/>
            <w:vAlign w:val="bottom"/>
          </w:tcPr>
          <w:p>
            <w:pPr>
              <w:spacing w:after="0"/>
              <w:rPr>
                <w:sz w:val="1"/>
                <w:szCs w:val="1"/>
                <w:color w:val="auto"/>
              </w:rPr>
            </w:pPr>
          </w:p>
        </w:tc>
      </w:tr>
      <w:tr>
        <w:trPr>
          <w:trHeight w:val="166"/>
        </w:trPr>
        <w:tc>
          <w:tcPr>
            <w:tcW w:w="2380" w:type="dxa"/>
            <w:vAlign w:val="bottom"/>
          </w:tcPr>
          <w:p>
            <w:pPr>
              <w:spacing w:after="0"/>
              <w:rPr>
                <w:sz w:val="20"/>
                <w:szCs w:val="20"/>
                <w:color w:val="auto"/>
              </w:rPr>
            </w:pPr>
            <w:r>
              <w:rPr>
                <w:rFonts w:ascii="Arial" w:cs="Arial" w:eastAsia="Arial" w:hAnsi="Arial"/>
                <w:sz w:val="13"/>
                <w:szCs w:val="13"/>
                <w:color w:val="auto"/>
              </w:rPr>
              <w:t>Impairment charges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17"/>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Equity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52" w:lineRule="exact"/>
        <w:rPr>
          <w:sz w:val="20"/>
          <w:szCs w:val="20"/>
          <w:color w:val="auto"/>
        </w:rPr>
      </w:pPr>
    </w:p>
    <w:p>
      <w:pPr>
        <w:ind w:left="320" w:hanging="313"/>
        <w:spacing w:after="0"/>
        <w:tabs>
          <w:tab w:leader="none" w:pos="3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Consists of restructuring and other charges in Australia, New Zealand and Thailand.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0" w:lineRule="exact"/>
        <w:rPr>
          <w:sz w:val="20"/>
          <w:szCs w:val="20"/>
          <w:color w:val="auto"/>
        </w:rPr>
      </w:pPr>
    </w:p>
    <w:p>
      <w:pPr>
        <w:jc w:val="both"/>
        <w:ind w:firstLine="161"/>
        <w:spacing w:after="0" w:line="264"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This Management's Discussion and Analysis of Financial Condition and Results of Operations (MD&amp;A) should be read in</w:t>
      </w:r>
      <w:r>
        <w:rPr>
          <w:rFonts w:ascii="Arial" w:cs="Arial" w:eastAsia="Arial" w:hAnsi="Arial"/>
          <w:sz w:val="18"/>
          <w:szCs w:val="18"/>
          <w:b w:val="1"/>
          <w:bCs w:val="1"/>
          <w:color w:val="auto"/>
        </w:rPr>
        <w:t xml:space="preserve"> </w:t>
      </w:r>
      <w:r>
        <w:rPr>
          <w:rFonts w:ascii="Arial" w:cs="Arial" w:eastAsia="Arial" w:hAnsi="Arial"/>
          <w:sz w:val="18"/>
          <w:szCs w:val="18"/>
          <w:color w:val="auto"/>
        </w:rPr>
        <w:t>conjunction with the accompanying condensed consolidated financial statements and the notes thereto, and the audited consolidated financial statements and notes thereto included in our 2020 Form 10-K.</w:t>
      </w:r>
    </w:p>
    <w:p>
      <w:pPr>
        <w:spacing w:after="0" w:line="208"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Part 1, Item 1A. Risk Factors of our 2020 Form 10-K for a discussion of these risks and uncertainties. Except for per share amounts or as otherwise specified, dollar amounts presented within tables are stated in millions.</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Non-GAAP Measures </w:t>
      </w:r>
      <w:r>
        <w:rPr>
          <w:rFonts w:ascii="Arial" w:cs="Arial" w:eastAsia="Arial" w:hAnsi="Arial"/>
          <w:sz w:val="18"/>
          <w:szCs w:val="18"/>
          <w:color w:val="auto"/>
        </w:rPr>
        <w:t>Our non-GAAP measures include: EBIT-adjusted, presented net of noncontrolling interests; EBT-adjusted for our GM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EPS-diluted-adjusted; effective tax rate-adjusted (ETR-adjusted);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7" w:lineRule="exact"/>
        <w:rPr>
          <w:sz w:val="20"/>
          <w:szCs w:val="20"/>
          <w:color w:val="auto"/>
        </w:rPr>
      </w:pPr>
    </w:p>
    <w:p>
      <w:pPr>
        <w:jc w:val="both"/>
        <w:ind w:firstLine="161"/>
        <w:spacing w:after="0" w:line="290"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91" w:lineRule="exact"/>
        <w:rPr>
          <w:sz w:val="20"/>
          <w:szCs w:val="20"/>
          <w:color w:val="auto"/>
        </w:rPr>
      </w:pPr>
    </w:p>
    <w:p>
      <w:pPr>
        <w:jc w:val="both"/>
        <w:ind w:firstLine="161"/>
        <w:spacing w:after="0" w:line="288" w:lineRule="auto"/>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color w:val="auto"/>
        </w:rPr>
        <w:t>EBIT-adjusted is presented net of noncontrolling interests and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195"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b w:val="1"/>
          <w:bCs w:val="1"/>
          <w:i w:val="1"/>
          <w:iCs w:val="1"/>
          <w:color w:val="auto"/>
        </w:rPr>
        <w:t xml:space="preserve">EPS-diluted-adjusted </w:t>
      </w:r>
      <w:r>
        <w:rPr>
          <w:rFonts w:ascii="Arial" w:cs="Arial" w:eastAsia="Arial" w:hAnsi="Arial"/>
          <w:sz w:val="18"/>
          <w:szCs w:val="18"/>
          <w:color w:val="auto"/>
        </w:rPr>
        <w:t>EPS-diluted-adjusted is used by management and can be used by investors to review our consolidated diluted EPS results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212"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b w:val="1"/>
          <w:bCs w:val="1"/>
          <w:i w:val="1"/>
          <w:iCs w:val="1"/>
          <w:color w:val="auto"/>
        </w:rPr>
        <w:t xml:space="preserve">ETR-adjusted </w:t>
      </w:r>
      <w:r>
        <w:rPr>
          <w:rFonts w:ascii="Arial" w:cs="Arial" w:eastAsia="Arial" w:hAnsi="Arial"/>
          <w:sz w:val="18"/>
          <w:szCs w:val="18"/>
          <w:color w:val="auto"/>
        </w:rPr>
        <w:t>ETR-adjusted is used by management and can be used by investors to review the consolidated effective tax rate for our core operations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217"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b w:val="1"/>
          <w:bCs w:val="1"/>
          <w:i w:val="1"/>
          <w:iCs w:val="1"/>
          <w:color w:val="auto"/>
        </w:rPr>
        <w:t xml:space="preserve">ROIC-adjusted </w:t>
      </w:r>
      <w:r>
        <w:rPr>
          <w:rFonts w:ascii="Arial" w:cs="Arial" w:eastAsia="Arial" w:hAnsi="Arial"/>
          <w:sz w:val="18"/>
          <w:szCs w:val="18"/>
          <w:color w:val="auto"/>
        </w:rPr>
        <w:t>ROIC-adjusted is used by management and can be used by investors to review our investment and capital allocation decisions. We define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OPEB liabilities; and average automotive net income tax assets during the same period.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ind w:firstLine="161"/>
        <w:spacing w:after="0" w:line="272" w:lineRule="auto"/>
        <w:rPr>
          <w:sz w:val="20"/>
          <w:szCs w:val="20"/>
          <w:color w:val="auto"/>
        </w:rPr>
      </w:pPr>
      <w:r>
        <w:rPr>
          <w:rFonts w:ascii="Arial" w:cs="Arial" w:eastAsia="Arial" w:hAnsi="Arial"/>
          <w:sz w:val="17"/>
          <w:szCs w:val="17"/>
          <w:b w:val="1"/>
          <w:bCs w:val="1"/>
          <w:i w:val="1"/>
          <w:iCs w:val="1"/>
          <w:color w:val="auto"/>
        </w:rPr>
        <w:t xml:space="preserve">Adjusted automotive free cash flow </w:t>
      </w:r>
      <w:r>
        <w:rPr>
          <w:rFonts w:ascii="Arial" w:cs="Arial" w:eastAsia="Arial" w:hAnsi="Arial"/>
          <w:sz w:val="17"/>
          <w:szCs w:val="17"/>
          <w:color w:val="auto"/>
        </w:rPr>
        <w:t>Adjusted automotive free cash flow is used by management and can be used by investors to review the liquidity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reconciles Net income (loss) attributable to stockholders under U.S. GAAP to EBIT (loss)-adjusted: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5"/>
          </w:tcPr>
          <w:p>
            <w:pPr>
              <w:ind w:left="30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166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2"/>
        </w:trPr>
        <w:tc>
          <w:tcPr>
            <w:tcW w:w="35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Net income (loss) attributable to stockholders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28"/>
        </w:trPr>
        <w:tc>
          <w:tcPr>
            <w:tcW w:w="352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8"/>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interest expense</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8"/>
        </w:trPr>
        <w:tc>
          <w:tcPr>
            <w:tcW w:w="3520" w:type="dxa"/>
            <w:vAlign w:val="bottom"/>
          </w:tcPr>
          <w:p>
            <w:pPr>
              <w:ind w:left="20"/>
              <w:spacing w:after="0"/>
              <w:rPr>
                <w:sz w:val="20"/>
                <w:szCs w:val="20"/>
                <w:color w:val="auto"/>
              </w:rPr>
            </w:pPr>
            <w:r>
              <w:rPr>
                <w:rFonts w:ascii="Arial" w:cs="Arial" w:eastAsia="Arial" w:hAnsi="Arial"/>
                <w:sz w:val="18"/>
                <w:szCs w:val="18"/>
                <w:color w:val="auto"/>
              </w:rPr>
              <w:t>Automotive interest income</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8"/>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520" w:type="dxa"/>
            <w:vAlign w:val="bottom"/>
          </w:tcPr>
          <w:p>
            <w:pPr>
              <w:ind w:left="140"/>
              <w:spacing w:after="0"/>
              <w:rPr>
                <w:sz w:val="20"/>
                <w:szCs w:val="20"/>
                <w:color w:val="auto"/>
              </w:rPr>
            </w:pPr>
            <w:r>
              <w:rPr>
                <w:rFonts w:ascii="Arial" w:cs="Arial" w:eastAsia="Arial" w:hAnsi="Arial"/>
                <w:sz w:val="18"/>
                <w:szCs w:val="18"/>
                <w:color w:val="auto"/>
              </w:rPr>
              <w:t>GM Korea wage litigation(a)</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Cadillac dealer strategy(b)</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520" w:type="dxa"/>
            <w:vAlign w:val="bottom"/>
          </w:tcPr>
          <w:p>
            <w:pPr>
              <w:ind w:left="140"/>
              <w:spacing w:after="0"/>
              <w:rPr>
                <w:sz w:val="20"/>
                <w:szCs w:val="20"/>
                <w:color w:val="auto"/>
              </w:rPr>
            </w:pPr>
            <w:r>
              <w:rPr>
                <w:rFonts w:ascii="Arial" w:cs="Arial" w:eastAsia="Arial" w:hAnsi="Arial"/>
                <w:sz w:val="18"/>
                <w:szCs w:val="18"/>
                <w:color w:val="auto"/>
              </w:rPr>
              <w:t>GMI restructuring(c)</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20" w:type="dxa"/>
            <w:vAlign w:val="bottom"/>
            <w:shd w:val="clear" w:color="auto" w:fill="CCEEFF"/>
          </w:tcPr>
          <w:p>
            <w:pPr>
              <w:ind w:left="140"/>
              <w:spacing w:after="0" w:line="175" w:lineRule="exact"/>
              <w:rPr>
                <w:sz w:val="20"/>
                <w:szCs w:val="20"/>
                <w:color w:val="auto"/>
              </w:rPr>
            </w:pPr>
            <w:r>
              <w:rPr>
                <w:rFonts w:ascii="Arial" w:cs="Arial" w:eastAsia="Arial" w:hAnsi="Arial"/>
                <w:sz w:val="18"/>
                <w:szCs w:val="18"/>
                <w:color w:val="auto"/>
              </w:rPr>
              <w:t>Ignition switch recall and related legal</w:t>
            </w:r>
          </w:p>
        </w:tc>
        <w:tc>
          <w:tcPr>
            <w:tcW w:w="2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matters(d)</w:t>
            </w:r>
          </w:p>
        </w:tc>
        <w:tc>
          <w:tcPr>
            <w:tcW w:w="20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520" w:type="dxa"/>
            <w:vAlign w:val="bottom"/>
          </w:tcPr>
          <w:p>
            <w:pPr>
              <w:ind w:left="140"/>
              <w:spacing w:after="0"/>
              <w:rPr>
                <w:sz w:val="20"/>
                <w:szCs w:val="20"/>
                <w:color w:val="auto"/>
              </w:rPr>
            </w:pPr>
            <w:r>
              <w:rPr>
                <w:rFonts w:ascii="Arial" w:cs="Arial" w:eastAsia="Arial" w:hAnsi="Arial"/>
                <w:sz w:val="18"/>
                <w:szCs w:val="18"/>
                <w:color w:val="auto"/>
              </w:rPr>
              <w:t>Transformation activities(e)</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28"/>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FAW-GM divestiture(f)</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520" w:type="dxa"/>
            <w:vAlign w:val="bottom"/>
          </w:tcPr>
          <w:p>
            <w:pPr>
              <w:ind w:left="140"/>
              <w:spacing w:after="0"/>
              <w:rPr>
                <w:sz w:val="20"/>
                <w:szCs w:val="20"/>
                <w:color w:val="auto"/>
              </w:rPr>
            </w:pPr>
            <w:r>
              <w:rPr>
                <w:rFonts w:ascii="Arial" w:cs="Arial" w:eastAsia="Arial" w:hAnsi="Arial"/>
                <w:sz w:val="18"/>
                <w:szCs w:val="18"/>
                <w:color w:val="auto"/>
              </w:rPr>
              <w:t>GM Brazil indirect tax recoveries(g)</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2"/>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adjustments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2"/>
        </w:trPr>
        <w:tc>
          <w:tcPr>
            <w:tcW w:w="3520" w:type="dxa"/>
            <w:vAlign w:val="bottom"/>
          </w:tcPr>
          <w:p>
            <w:pPr>
              <w:ind w:left="20"/>
              <w:spacing w:after="0"/>
              <w:rPr>
                <w:sz w:val="20"/>
                <w:szCs w:val="20"/>
                <w:color w:val="auto"/>
              </w:rPr>
            </w:pPr>
            <w:r>
              <w:rPr>
                <w:rFonts w:ascii="Arial" w:cs="Arial" w:eastAsia="Arial" w:hAnsi="Arial"/>
                <w:sz w:val="18"/>
                <w:szCs w:val="18"/>
                <w:color w:val="auto"/>
              </w:rPr>
              <w:t>EBIT (loss)-adjusted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18" w:lineRule="exact"/>
        <w:rPr>
          <w:sz w:val="20"/>
          <w:szCs w:val="20"/>
          <w:color w:val="auto"/>
        </w:rPr>
      </w:pPr>
    </w:p>
    <w:p>
      <w:pPr>
        <w:ind w:left="320" w:hanging="313"/>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adjustment was excluded because of the unique events associated with recent Supreme Court of Korea decisions related to our salaried workers.</w:t>
      </w:r>
    </w:p>
    <w:p>
      <w:pPr>
        <w:spacing w:after="0" w:line="4" w:lineRule="exact"/>
        <w:rPr>
          <w:rFonts w:ascii="Arial" w:cs="Arial" w:eastAsia="Arial" w:hAnsi="Arial"/>
          <w:sz w:val="16"/>
          <w:szCs w:val="16"/>
          <w:color w:val="auto"/>
        </w:rPr>
      </w:pPr>
    </w:p>
    <w:p>
      <w:pPr>
        <w:ind w:left="340" w:right="20" w:hanging="333"/>
        <w:spacing w:after="0" w:line="245"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These adjustments were excluded because they relate to strategic activities to transition certain Cadillac dealers from the network as part of Cadillac's electric vehicle strategy.</w:t>
      </w:r>
    </w:p>
    <w:p>
      <w:pPr>
        <w:jc w:val="both"/>
        <w:ind w:left="340" w:hanging="333"/>
        <w:spacing w:after="0" w:line="245" w:lineRule="auto"/>
        <w:tabs>
          <w:tab w:leader="none" w:pos="33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These adjustments primarily consist of inventory provisions in the three months ended June 30, 2020, asset impairments, dealer restructurings, employee separation charges and sales allowances in Australia, New Zealand and Thailand in the three months ended March 31, 2020, employee separation charges in the three months ended December 31, 2020, and supplier claims in the three months ended September 30, 2020.</w:t>
      </w:r>
    </w:p>
    <w:p>
      <w:pPr>
        <w:spacing w:after="0" w:line="1" w:lineRule="exact"/>
        <w:rPr>
          <w:rFonts w:ascii="Arial" w:cs="Arial" w:eastAsia="Arial" w:hAnsi="Arial"/>
          <w:sz w:val="16"/>
          <w:szCs w:val="16"/>
          <w:color w:val="auto"/>
        </w:rPr>
      </w:pPr>
    </w:p>
    <w:p>
      <w:pPr>
        <w:ind w:left="340" w:right="20" w:hanging="333"/>
        <w:spacing w:after="0" w:line="245"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adjustment was excluded because of the unique events associated with the ignition switch recall, which included various investigations, inquiries and complaints from constituents.</w:t>
      </w:r>
    </w:p>
    <w:p>
      <w:pPr>
        <w:jc w:val="both"/>
        <w:ind w:left="340" w:hanging="333"/>
        <w:spacing w:after="0" w:line="280" w:lineRule="auto"/>
        <w:tabs>
          <w:tab w:leader="none" w:pos="331"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accelerated depreciation and employee separation charges in the three months ended December 31, 2019, and supplier-related charges and pension curtailment and other charges in the three months ended September 30, 2019.</w:t>
      </w:r>
    </w:p>
    <w:p>
      <w:pPr>
        <w:ind w:left="340" w:hanging="333"/>
        <w:spacing w:after="0" w:line="245"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adjustment was excluded because we divested our joint venture FAW-GM Light Duty Commercial Vehicle Co., Ltd. (FAW-GM), as a result of a strategic decision by both shareholders, allowing us to focus our resources on opportunities expected to deliver higher returns.</w:t>
      </w:r>
    </w:p>
    <w:p>
      <w:pPr>
        <w:ind w:left="340" w:hanging="333"/>
        <w:spacing w:after="0" w:line="255"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adjustment was excluded because of the unique events associated with decisions rendered by the Superior Judicial Court of Brazil resulting in retrospective recoveries of indirect taxes.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diluted earnings (loss) per common share under U.S. GAAP to EPS-diluted-adjusted: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86"/>
        </w:trPr>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5"/>
          </w:tcPr>
          <w:p>
            <w:pPr>
              <w:ind w:left="36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6"/>
                <w:szCs w:val="16"/>
                <w:color w:val="auto"/>
              </w:rPr>
            </w:pPr>
          </w:p>
        </w:tc>
        <w:tc>
          <w:tcPr>
            <w:tcW w:w="166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5"/>
          </w:tcPr>
          <w:p>
            <w:pPr>
              <w:ind w:left="340"/>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6"/>
                <w:szCs w:val="16"/>
                <w:color w:val="auto"/>
              </w:rPr>
            </w:pPr>
          </w:p>
        </w:tc>
        <w:tc>
          <w:tcPr>
            <w:tcW w:w="1680" w:type="dxa"/>
            <w:vAlign w:val="bottom"/>
            <w:gridSpan w:val="4"/>
          </w:tcPr>
          <w:p>
            <w:pPr>
              <w:ind w:left="360"/>
              <w:spacing w:after="0"/>
              <w:rPr>
                <w:sz w:val="20"/>
                <w:szCs w:val="20"/>
                <w:color w:val="auto"/>
              </w:rPr>
            </w:pPr>
            <w:r>
              <w:rPr>
                <w:rFonts w:ascii="Arial" w:cs="Arial" w:eastAsia="Arial" w:hAnsi="Arial"/>
                <w:sz w:val="14"/>
                <w:szCs w:val="14"/>
                <w:b w:val="1"/>
                <w:bCs w:val="1"/>
                <w:color w:val="auto"/>
              </w:rPr>
              <w:t>June 30, 2020</w:t>
            </w:r>
          </w:p>
        </w:tc>
      </w:tr>
      <w:tr>
        <w:trPr>
          <w:trHeight w:val="182"/>
        </w:trPr>
        <w:tc>
          <w:tcPr>
            <w:tcW w:w="36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8"/>
              </w:rPr>
              <w:t>Per Share</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8"/>
              </w:rPr>
              <w:t>Per Share</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Per Share</w:t>
            </w:r>
          </w:p>
        </w:tc>
      </w:tr>
      <w:tr>
        <w:trPr>
          <w:trHeight w:val="223"/>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center"/>
              <w:ind w:left="173"/>
              <w:spacing w:after="0"/>
              <w:rPr>
                <w:sz w:val="20"/>
                <w:szCs w:val="20"/>
                <w:color w:val="auto"/>
              </w:rPr>
            </w:pPr>
            <w:r>
              <w:rPr>
                <w:rFonts w:ascii="Arial" w:cs="Arial" w:eastAsia="Arial" w:hAnsi="Arial"/>
                <w:sz w:val="18"/>
                <w:szCs w:val="18"/>
                <w:color w:val="auto"/>
                <w:w w:val="93"/>
              </w:rPr>
              <w:t>(0.39)</w:t>
            </w:r>
          </w:p>
        </w:tc>
      </w:tr>
      <w:tr>
        <w:trPr>
          <w:trHeight w:val="228"/>
        </w:trPr>
        <w:tc>
          <w:tcPr>
            <w:tcW w:w="3680" w:type="dxa"/>
            <w:vAlign w:val="bottom"/>
          </w:tcPr>
          <w:p>
            <w:pPr>
              <w:ind w:left="20"/>
              <w:spacing w:after="0"/>
              <w:rPr>
                <w:sz w:val="20"/>
                <w:szCs w:val="20"/>
                <w:color w:val="auto"/>
              </w:rPr>
            </w:pPr>
            <w:r>
              <w:rPr>
                <w:rFonts w:ascii="Arial" w:cs="Arial" w:eastAsia="Arial" w:hAnsi="Arial"/>
                <w:sz w:val="18"/>
                <w:szCs w:val="18"/>
                <w:color w:val="auto"/>
              </w:rPr>
              <w:t>Adjustments(a)</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center"/>
              <w:ind w:left="193"/>
              <w:spacing w:after="0"/>
              <w:rPr>
                <w:sz w:val="20"/>
                <w:szCs w:val="20"/>
                <w:color w:val="auto"/>
              </w:rPr>
            </w:pPr>
            <w:r>
              <w:rPr>
                <w:rFonts w:ascii="Arial" w:cs="Arial" w:eastAsia="Arial" w:hAnsi="Arial"/>
                <w:sz w:val="18"/>
                <w:szCs w:val="18"/>
                <w:color w:val="auto"/>
                <w:w w:val="85"/>
              </w:rPr>
              <w:t>0.41</w:t>
            </w:r>
          </w:p>
        </w:tc>
      </w:tr>
      <w:tr>
        <w:trPr>
          <w:trHeight w:val="228"/>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effect on adjustment(b)</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173"/>
              <w:spacing w:after="0"/>
              <w:rPr>
                <w:sz w:val="20"/>
                <w:szCs w:val="20"/>
                <w:color w:val="auto"/>
              </w:rPr>
            </w:pPr>
            <w:r>
              <w:rPr>
                <w:rFonts w:ascii="Arial" w:cs="Arial" w:eastAsia="Arial" w:hAnsi="Arial"/>
                <w:sz w:val="18"/>
                <w:szCs w:val="18"/>
                <w:color w:val="auto"/>
                <w:w w:val="93"/>
              </w:rPr>
              <w:t>(0.05)</w:t>
            </w:r>
          </w:p>
        </w:tc>
      </w:tr>
      <w:tr>
        <w:trPr>
          <w:trHeight w:val="228"/>
        </w:trPr>
        <w:tc>
          <w:tcPr>
            <w:tcW w:w="3680" w:type="dxa"/>
            <w:vAlign w:val="bottom"/>
          </w:tcPr>
          <w:p>
            <w:pPr>
              <w:ind w:left="20"/>
              <w:spacing w:after="0"/>
              <w:rPr>
                <w:sz w:val="20"/>
                <w:szCs w:val="20"/>
                <w:color w:val="auto"/>
              </w:rPr>
            </w:pPr>
            <w:r>
              <w:rPr>
                <w:rFonts w:ascii="Arial" w:cs="Arial" w:eastAsia="Arial" w:hAnsi="Arial"/>
                <w:sz w:val="18"/>
                <w:szCs w:val="18"/>
                <w:color w:val="auto"/>
              </w:rPr>
              <w:t>Tax adjustment(c)</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center"/>
              <w:ind w:left="193"/>
              <w:spacing w:after="0"/>
              <w:rPr>
                <w:sz w:val="20"/>
                <w:szCs w:val="20"/>
                <w:color w:val="auto"/>
              </w:rPr>
            </w:pPr>
            <w:r>
              <w:rPr>
                <w:rFonts w:ascii="Arial" w:cs="Arial" w:eastAsia="Arial" w:hAnsi="Arial"/>
                <w:sz w:val="18"/>
                <w:szCs w:val="18"/>
                <w:color w:val="auto"/>
                <w:w w:val="85"/>
              </w:rPr>
              <w:t>0.16</w:t>
            </w:r>
          </w:p>
        </w:tc>
      </w:tr>
      <w:tr>
        <w:trPr>
          <w:trHeight w:val="247"/>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EPS-diluted-adjusted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center"/>
              <w:ind w:left="193"/>
              <w:spacing w:after="0"/>
              <w:rPr>
                <w:sz w:val="20"/>
                <w:szCs w:val="20"/>
                <w:color w:val="auto"/>
              </w:rPr>
            </w:pPr>
            <w:r>
              <w:rPr>
                <w:rFonts w:ascii="Arial" w:cs="Arial" w:eastAsia="Arial" w:hAnsi="Arial"/>
                <w:sz w:val="18"/>
                <w:szCs w:val="18"/>
                <w:color w:val="auto"/>
                <w:w w:val="85"/>
              </w:rPr>
              <w:t>0.13</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8" w:lineRule="exact"/>
        <w:rPr>
          <w:sz w:val="20"/>
          <w:szCs w:val="20"/>
          <w:color w:val="auto"/>
        </w:rPr>
      </w:pPr>
    </w:p>
    <w:p>
      <w:pPr>
        <w:ind w:left="340" w:right="20" w:hanging="333"/>
        <w:spacing w:after="0" w:line="245" w:lineRule="auto"/>
        <w:tabs>
          <w:tab w:leader="none" w:pos="331"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 (loss)-adjusted within this section of MD&amp;A for the details of each individual adjustment.</w:t>
      </w:r>
    </w:p>
    <w:p>
      <w:pPr>
        <w:ind w:left="320" w:hanging="313"/>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tax effect of each adjustment is determined based on the tax laws and valuation allowance status of the jurisdiction to which the adjustment relates.</w:t>
      </w:r>
    </w:p>
    <w:p>
      <w:pPr>
        <w:spacing w:after="0" w:line="4" w:lineRule="exact"/>
        <w:rPr>
          <w:rFonts w:ascii="Arial" w:cs="Arial" w:eastAsia="Arial" w:hAnsi="Arial"/>
          <w:sz w:val="16"/>
          <w:szCs w:val="16"/>
          <w:color w:val="auto"/>
        </w:rPr>
      </w:pPr>
    </w:p>
    <w:p>
      <w:pPr>
        <w:jc w:val="both"/>
        <w:ind w:left="340" w:hanging="333"/>
        <w:spacing w:after="0" w:line="250" w:lineRule="auto"/>
        <w:tabs>
          <w:tab w:leader="none" w:pos="331"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These adjustments consist of tax expense related to the establishment of a valuation allowance against deferred tax assets that are considered no longer realizable for Cruise in the six months ended June 30, 2021 and for GM in Australia and New Zealand for the six months ended June 30, 2020. These adjustments were excluded because significant impacts of valuation allowances are not considered part of our core operations.</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reconciles our effective tax rate under U.S. GAAP to ETR-adjusted: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0"/>
              </w:rPr>
              <w:t>June 30, 2021</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0"/>
              </w:rPr>
              <w:t>June 30, 2020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w w:val="92"/>
              </w:rPr>
              <w:t>June 30, 2021</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0"/>
              </w:rPr>
              <w:t>June 30, 2020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ind w:right="46"/>
              <w:spacing w:after="0" w:line="116" w:lineRule="exact"/>
              <w:rPr>
                <w:sz w:val="20"/>
                <w:szCs w:val="20"/>
                <w:color w:val="auto"/>
              </w:rPr>
            </w:pPr>
            <w:r>
              <w:rPr>
                <w:rFonts w:ascii="Arial" w:cs="Arial" w:eastAsia="Arial" w:hAnsi="Arial"/>
                <w:sz w:val="13"/>
                <w:szCs w:val="13"/>
                <w:b w:val="1"/>
                <w:bCs w:val="1"/>
                <w:color w:val="auto"/>
                <w:w w:val="83"/>
              </w:rPr>
              <w:t>Income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ind w:right="26"/>
              <w:spacing w:after="0" w:line="116"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46"/>
              <w:spacing w:after="0" w:line="116" w:lineRule="exact"/>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240"/>
              <w:spacing w:after="0" w:line="116" w:lineRule="exact"/>
              <w:rPr>
                <w:sz w:val="20"/>
                <w:szCs w:val="20"/>
                <w:color w:val="auto"/>
              </w:rPr>
            </w:pPr>
            <w:r>
              <w:rPr>
                <w:rFonts w:ascii="Arial" w:cs="Arial" w:eastAsia="Arial" w:hAnsi="Arial"/>
                <w:sz w:val="13"/>
                <w:szCs w:val="13"/>
                <w:b w:val="1"/>
                <w:bCs w:val="1"/>
                <w:color w:val="auto"/>
                <w:w w:val="83"/>
              </w:rPr>
              <w:t>Income</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ind w:right="46"/>
              <w:spacing w:after="0" w:line="121" w:lineRule="exact"/>
              <w:rPr>
                <w:sz w:val="20"/>
                <w:szCs w:val="20"/>
                <w:color w:val="auto"/>
              </w:rPr>
            </w:pPr>
            <w:r>
              <w:rPr>
                <w:rFonts w:ascii="Arial" w:cs="Arial" w:eastAsia="Arial" w:hAnsi="Arial"/>
                <w:sz w:val="13"/>
                <w:szCs w:val="13"/>
                <w:b w:val="1"/>
                <w:bCs w:val="1"/>
                <w:color w:val="auto"/>
                <w:w w:val="85"/>
              </w:rPr>
              <w:t>before</w:t>
            </w:r>
          </w:p>
        </w:tc>
        <w:tc>
          <w:tcPr>
            <w:tcW w:w="120" w:type="dxa"/>
            <w:vAlign w:val="bottom"/>
          </w:tcPr>
          <w:p>
            <w:pPr>
              <w:spacing w:after="0"/>
              <w:rPr>
                <w:sz w:val="10"/>
                <w:szCs w:val="10"/>
                <w:color w:val="auto"/>
              </w:rPr>
            </w:pPr>
          </w:p>
        </w:tc>
        <w:tc>
          <w:tcPr>
            <w:tcW w:w="78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Income tax</w:t>
            </w: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8"/>
              </w:rPr>
              <w:t>Effective tax</w:t>
            </w:r>
          </w:p>
        </w:tc>
        <w:tc>
          <w:tcPr>
            <w:tcW w:w="120" w:type="dxa"/>
            <w:vAlign w:val="bottom"/>
          </w:tcPr>
          <w:p>
            <w:pPr>
              <w:spacing w:after="0"/>
              <w:rPr>
                <w:sz w:val="10"/>
                <w:szCs w:val="10"/>
                <w:color w:val="auto"/>
              </w:rPr>
            </w:pPr>
          </w:p>
        </w:tc>
        <w:tc>
          <w:tcPr>
            <w:tcW w:w="540" w:type="dxa"/>
            <w:vAlign w:val="bottom"/>
          </w:tcPr>
          <w:p>
            <w:pPr>
              <w:jc w:val="center"/>
              <w:ind w:right="46"/>
              <w:spacing w:after="0" w:line="121" w:lineRule="exact"/>
              <w:rPr>
                <w:sz w:val="20"/>
                <w:szCs w:val="20"/>
                <w:color w:val="auto"/>
              </w:rPr>
            </w:pPr>
            <w:r>
              <w:rPr>
                <w:rFonts w:ascii="Arial" w:cs="Arial" w:eastAsia="Arial" w:hAnsi="Arial"/>
                <w:sz w:val="13"/>
                <w:szCs w:val="13"/>
                <w:b w:val="1"/>
                <w:bCs w:val="1"/>
                <w:color w:val="auto"/>
                <w:w w:val="85"/>
              </w:rPr>
              <w:t>before</w:t>
            </w:r>
          </w:p>
        </w:tc>
        <w:tc>
          <w:tcPr>
            <w:tcW w:w="120" w:type="dxa"/>
            <w:vAlign w:val="bottom"/>
          </w:tcPr>
          <w:p>
            <w:pPr>
              <w:spacing w:after="0"/>
              <w:rPr>
                <w:sz w:val="10"/>
                <w:szCs w:val="10"/>
                <w:color w:val="auto"/>
              </w:rPr>
            </w:pPr>
          </w:p>
        </w:tc>
        <w:tc>
          <w:tcPr>
            <w:tcW w:w="80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Income tax</w:t>
            </w: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86"/>
              </w:rPr>
              <w:t>Effective tax</w:t>
            </w:r>
          </w:p>
        </w:tc>
        <w:tc>
          <w:tcPr>
            <w:tcW w:w="120" w:type="dxa"/>
            <w:vAlign w:val="bottom"/>
          </w:tcPr>
          <w:p>
            <w:pPr>
              <w:spacing w:after="0"/>
              <w:rPr>
                <w:sz w:val="10"/>
                <w:szCs w:val="10"/>
                <w:color w:val="auto"/>
              </w:rPr>
            </w:pPr>
          </w:p>
        </w:tc>
        <w:tc>
          <w:tcPr>
            <w:tcW w:w="560" w:type="dxa"/>
            <w:vAlign w:val="bottom"/>
          </w:tcPr>
          <w:p>
            <w:pPr>
              <w:jc w:val="center"/>
              <w:ind w:right="26"/>
              <w:spacing w:after="0" w:line="121" w:lineRule="exact"/>
              <w:rPr>
                <w:sz w:val="20"/>
                <w:szCs w:val="20"/>
                <w:color w:val="auto"/>
              </w:rPr>
            </w:pPr>
            <w:r>
              <w:rPr>
                <w:rFonts w:ascii="Arial" w:cs="Arial" w:eastAsia="Arial" w:hAnsi="Arial"/>
                <w:sz w:val="13"/>
                <w:szCs w:val="13"/>
                <w:b w:val="1"/>
                <w:bCs w:val="1"/>
                <w:color w:val="auto"/>
                <w:w w:val="85"/>
              </w:rPr>
              <w:t>before</w:t>
            </w:r>
          </w:p>
        </w:tc>
        <w:tc>
          <w:tcPr>
            <w:tcW w:w="120" w:type="dxa"/>
            <w:vAlign w:val="bottom"/>
          </w:tcPr>
          <w:p>
            <w:pPr>
              <w:spacing w:after="0"/>
              <w:rPr>
                <w:sz w:val="10"/>
                <w:szCs w:val="10"/>
                <w:color w:val="auto"/>
              </w:rPr>
            </w:pPr>
          </w:p>
        </w:tc>
        <w:tc>
          <w:tcPr>
            <w:tcW w:w="820" w:type="dxa"/>
            <w:vAlign w:val="bottom"/>
            <w:gridSpan w:val="4"/>
            <w:vMerge w:val="restart"/>
          </w:tcPr>
          <w:p>
            <w:pPr>
              <w:jc w:val="center"/>
              <w:ind w:right="140"/>
              <w:spacing w:after="0"/>
              <w:rPr>
                <w:sz w:val="20"/>
                <w:szCs w:val="20"/>
                <w:color w:val="auto"/>
              </w:rPr>
            </w:pPr>
            <w:r>
              <w:rPr>
                <w:rFonts w:ascii="Arial" w:cs="Arial" w:eastAsia="Arial" w:hAnsi="Arial"/>
                <w:sz w:val="13"/>
                <w:szCs w:val="13"/>
                <w:b w:val="1"/>
                <w:bCs w:val="1"/>
                <w:color w:val="auto"/>
                <w:w w:val="88"/>
              </w:rPr>
              <w:t>Income tax</w:t>
            </w:r>
          </w:p>
        </w:tc>
        <w:tc>
          <w:tcPr>
            <w:tcW w:w="8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Effective tax</w:t>
            </w:r>
          </w:p>
        </w:tc>
        <w:tc>
          <w:tcPr>
            <w:tcW w:w="120" w:type="dxa"/>
            <w:vAlign w:val="bottom"/>
          </w:tcPr>
          <w:p>
            <w:pPr>
              <w:spacing w:after="0"/>
              <w:rPr>
                <w:sz w:val="10"/>
                <w:szCs w:val="10"/>
                <w:color w:val="auto"/>
              </w:rPr>
            </w:pPr>
          </w:p>
        </w:tc>
        <w:tc>
          <w:tcPr>
            <w:tcW w:w="660" w:type="dxa"/>
            <w:vAlign w:val="bottom"/>
            <w:gridSpan w:val="2"/>
          </w:tcPr>
          <w:p>
            <w:pPr>
              <w:jc w:val="center"/>
              <w:ind w:right="240"/>
              <w:spacing w:after="0" w:line="121" w:lineRule="exact"/>
              <w:rPr>
                <w:sz w:val="20"/>
                <w:szCs w:val="20"/>
                <w:color w:val="auto"/>
              </w:rPr>
            </w:pPr>
            <w:r>
              <w:rPr>
                <w:rFonts w:ascii="Arial" w:cs="Arial" w:eastAsia="Arial" w:hAnsi="Arial"/>
                <w:sz w:val="13"/>
                <w:szCs w:val="13"/>
                <w:b w:val="1"/>
                <w:bCs w:val="1"/>
                <w:color w:val="auto"/>
                <w:w w:val="85"/>
              </w:rPr>
              <w:t>before</w:t>
            </w:r>
          </w:p>
        </w:tc>
        <w:tc>
          <w:tcPr>
            <w:tcW w:w="840" w:type="dxa"/>
            <w:vAlign w:val="bottom"/>
            <w:gridSpan w:val="4"/>
            <w:vMerge w:val="restart"/>
          </w:tcPr>
          <w:p>
            <w:pPr>
              <w:jc w:val="right"/>
              <w:ind w:right="220"/>
              <w:spacing w:after="0"/>
              <w:rPr>
                <w:sz w:val="20"/>
                <w:szCs w:val="20"/>
                <w:color w:val="auto"/>
              </w:rPr>
            </w:pPr>
            <w:r>
              <w:rPr>
                <w:rFonts w:ascii="Arial" w:cs="Arial" w:eastAsia="Arial" w:hAnsi="Arial"/>
                <w:sz w:val="13"/>
                <w:szCs w:val="13"/>
                <w:b w:val="1"/>
                <w:bCs w:val="1"/>
                <w:color w:val="auto"/>
                <w:w w:val="88"/>
              </w:rPr>
              <w:t>Income tax</w:t>
            </w:r>
          </w:p>
        </w:tc>
        <w:tc>
          <w:tcPr>
            <w:tcW w:w="780" w:type="dxa"/>
            <w:vAlign w:val="bottom"/>
            <w:vMerge w:val="restart"/>
          </w:tcPr>
          <w:p>
            <w:pPr>
              <w:jc w:val="right"/>
              <w:ind w:right="24"/>
              <w:spacing w:after="0"/>
              <w:rPr>
                <w:sz w:val="20"/>
                <w:szCs w:val="20"/>
                <w:color w:val="auto"/>
              </w:rPr>
            </w:pPr>
            <w:r>
              <w:rPr>
                <w:rFonts w:ascii="Arial" w:cs="Arial" w:eastAsia="Arial" w:hAnsi="Arial"/>
                <w:sz w:val="13"/>
                <w:szCs w:val="13"/>
                <w:b w:val="1"/>
                <w:bCs w:val="1"/>
                <w:color w:val="auto"/>
                <w:w w:val="86"/>
              </w:rPr>
              <w:t>Effective tax</w:t>
            </w:r>
          </w:p>
        </w:tc>
        <w:tc>
          <w:tcPr>
            <w:tcW w:w="0" w:type="dxa"/>
            <w:vAlign w:val="bottom"/>
          </w:tcPr>
          <w:p>
            <w:pPr>
              <w:spacing w:after="0"/>
              <w:rPr>
                <w:sz w:val="1"/>
                <w:szCs w:val="1"/>
                <w:color w:val="auto"/>
              </w:rPr>
            </w:pPr>
          </w:p>
        </w:tc>
      </w:tr>
      <w:tr>
        <w:trPr>
          <w:trHeight w:val="121"/>
        </w:trPr>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ind w:right="46"/>
              <w:spacing w:after="0" w:line="121" w:lineRule="exact"/>
              <w:rPr>
                <w:sz w:val="20"/>
                <w:szCs w:val="20"/>
                <w:color w:val="auto"/>
              </w:rPr>
            </w:pPr>
            <w:r>
              <w:rPr>
                <w:rFonts w:ascii="Arial" w:cs="Arial" w:eastAsia="Arial" w:hAnsi="Arial"/>
                <w:sz w:val="13"/>
                <w:szCs w:val="13"/>
                <w:b w:val="1"/>
                <w:bCs w:val="1"/>
                <w:color w:val="auto"/>
                <w:w w:val="83"/>
              </w:rPr>
              <w:t>income</w:t>
            </w:r>
          </w:p>
        </w:tc>
        <w:tc>
          <w:tcPr>
            <w:tcW w:w="120" w:type="dxa"/>
            <w:vAlign w:val="bottom"/>
          </w:tcPr>
          <w:p>
            <w:pPr>
              <w:spacing w:after="0"/>
              <w:rPr>
                <w:sz w:val="10"/>
                <w:szCs w:val="10"/>
                <w:color w:val="auto"/>
              </w:rPr>
            </w:pPr>
          </w:p>
        </w:tc>
        <w:tc>
          <w:tcPr>
            <w:tcW w:w="780" w:type="dxa"/>
            <w:vAlign w:val="bottom"/>
            <w:gridSpan w:val="4"/>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ind w:right="46"/>
              <w:spacing w:after="0" w:line="121" w:lineRule="exact"/>
              <w:rPr>
                <w:sz w:val="20"/>
                <w:szCs w:val="20"/>
                <w:color w:val="auto"/>
              </w:rPr>
            </w:pPr>
            <w:r>
              <w:rPr>
                <w:rFonts w:ascii="Arial" w:cs="Arial" w:eastAsia="Arial" w:hAnsi="Arial"/>
                <w:sz w:val="13"/>
                <w:szCs w:val="13"/>
                <w:b w:val="1"/>
                <w:bCs w:val="1"/>
                <w:color w:val="auto"/>
                <w:w w:val="83"/>
              </w:rPr>
              <w:t>income</w:t>
            </w:r>
          </w:p>
        </w:tc>
        <w:tc>
          <w:tcPr>
            <w:tcW w:w="120" w:type="dxa"/>
            <w:vAlign w:val="bottom"/>
          </w:tcPr>
          <w:p>
            <w:pPr>
              <w:spacing w:after="0"/>
              <w:rPr>
                <w:sz w:val="10"/>
                <w:szCs w:val="10"/>
                <w:color w:val="auto"/>
              </w:rPr>
            </w:pPr>
          </w:p>
        </w:tc>
        <w:tc>
          <w:tcPr>
            <w:tcW w:w="800" w:type="dxa"/>
            <w:vAlign w:val="bottom"/>
            <w:gridSpan w:val="4"/>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center"/>
              <w:ind w:right="26"/>
              <w:spacing w:after="0" w:line="121" w:lineRule="exact"/>
              <w:rPr>
                <w:sz w:val="20"/>
                <w:szCs w:val="20"/>
                <w:color w:val="auto"/>
              </w:rPr>
            </w:pPr>
            <w:r>
              <w:rPr>
                <w:rFonts w:ascii="Arial" w:cs="Arial" w:eastAsia="Arial" w:hAnsi="Arial"/>
                <w:sz w:val="13"/>
                <w:szCs w:val="13"/>
                <w:b w:val="1"/>
                <w:bCs w:val="1"/>
                <w:color w:val="auto"/>
                <w:w w:val="83"/>
              </w:rPr>
              <w:t>income</w:t>
            </w:r>
          </w:p>
        </w:tc>
        <w:tc>
          <w:tcPr>
            <w:tcW w:w="120" w:type="dxa"/>
            <w:vAlign w:val="bottom"/>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240"/>
              <w:spacing w:after="0" w:line="121" w:lineRule="exact"/>
              <w:rPr>
                <w:sz w:val="20"/>
                <w:szCs w:val="20"/>
                <w:color w:val="auto"/>
              </w:rPr>
            </w:pPr>
            <w:r>
              <w:rPr>
                <w:rFonts w:ascii="Arial" w:cs="Arial" w:eastAsia="Arial" w:hAnsi="Arial"/>
                <w:sz w:val="13"/>
                <w:szCs w:val="13"/>
                <w:b w:val="1"/>
                <w:bCs w:val="1"/>
                <w:color w:val="auto"/>
                <w:w w:val="83"/>
              </w:rPr>
              <w:t>income</w:t>
            </w:r>
          </w:p>
        </w:tc>
        <w:tc>
          <w:tcPr>
            <w:tcW w:w="840" w:type="dxa"/>
            <w:vAlign w:val="bottom"/>
            <w:gridSpan w:val="4"/>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center"/>
              <w:ind w:right="46"/>
              <w:spacing w:after="0"/>
              <w:rPr>
                <w:sz w:val="20"/>
                <w:szCs w:val="20"/>
                <w:color w:val="auto"/>
              </w:rPr>
            </w:pPr>
            <w:r>
              <w:rPr>
                <w:rFonts w:ascii="Arial" w:cs="Arial" w:eastAsia="Arial" w:hAnsi="Arial"/>
                <w:sz w:val="13"/>
                <w:szCs w:val="13"/>
                <w:b w:val="1"/>
                <w:bCs w:val="1"/>
                <w:color w:val="auto"/>
                <w:w w:val="78"/>
              </w:rPr>
              <w:t>taxes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expense</w:t>
            </w: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rate</w:t>
            </w:r>
          </w:p>
        </w:tc>
        <w:tc>
          <w:tcPr>
            <w:tcW w:w="120" w:type="dxa"/>
            <w:vAlign w:val="bottom"/>
          </w:tcPr>
          <w:p>
            <w:pPr>
              <w:spacing w:after="0"/>
              <w:rPr>
                <w:sz w:val="14"/>
                <w:szCs w:val="14"/>
                <w:color w:val="auto"/>
              </w:rPr>
            </w:pPr>
          </w:p>
        </w:tc>
        <w:tc>
          <w:tcPr>
            <w:tcW w:w="540" w:type="dxa"/>
            <w:vAlign w:val="bottom"/>
          </w:tcPr>
          <w:p>
            <w:pPr>
              <w:jc w:val="center"/>
              <w:ind w:right="46"/>
              <w:spacing w:after="0"/>
              <w:rPr>
                <w:sz w:val="20"/>
                <w:szCs w:val="20"/>
                <w:color w:val="auto"/>
              </w:rPr>
            </w:pPr>
            <w:r>
              <w:rPr>
                <w:rFonts w:ascii="Arial" w:cs="Arial" w:eastAsia="Arial" w:hAnsi="Arial"/>
                <w:sz w:val="13"/>
                <w:szCs w:val="13"/>
                <w:b w:val="1"/>
                <w:bCs w:val="1"/>
                <w:color w:val="auto"/>
                <w:w w:val="78"/>
              </w:rPr>
              <w:t>taxes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3"/>
                <w:szCs w:val="13"/>
                <w:b w:val="1"/>
                <w:bCs w:val="1"/>
                <w:color w:val="auto"/>
              </w:rPr>
              <w:t>expense</w:t>
            </w: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rate</w:t>
            </w:r>
          </w:p>
        </w:tc>
        <w:tc>
          <w:tcPr>
            <w:tcW w:w="120" w:type="dxa"/>
            <w:vAlign w:val="bottom"/>
          </w:tcPr>
          <w:p>
            <w:pPr>
              <w:spacing w:after="0"/>
              <w:rPr>
                <w:sz w:val="14"/>
                <w:szCs w:val="14"/>
                <w:color w:val="auto"/>
              </w:rPr>
            </w:pPr>
          </w:p>
        </w:tc>
        <w:tc>
          <w:tcPr>
            <w:tcW w:w="560" w:type="dxa"/>
            <w:vAlign w:val="bottom"/>
          </w:tcPr>
          <w:p>
            <w:pPr>
              <w:jc w:val="center"/>
              <w:ind w:right="46"/>
              <w:spacing w:after="0"/>
              <w:rPr>
                <w:sz w:val="20"/>
                <w:szCs w:val="20"/>
                <w:color w:val="auto"/>
              </w:rPr>
            </w:pPr>
            <w:r>
              <w:rPr>
                <w:rFonts w:ascii="Arial" w:cs="Arial" w:eastAsia="Arial" w:hAnsi="Arial"/>
                <w:sz w:val="13"/>
                <w:szCs w:val="13"/>
                <w:b w:val="1"/>
                <w:bCs w:val="1"/>
                <w:color w:val="auto"/>
                <w:w w:val="84"/>
              </w:rPr>
              <w:t>taxes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80"/>
              </w:rPr>
              <w:t>expense</w:t>
            </w:r>
          </w:p>
        </w:tc>
        <w:tc>
          <w:tcPr>
            <w:tcW w:w="860" w:type="dxa"/>
            <w:vAlign w:val="bottom"/>
            <w:gridSpan w:val="2"/>
          </w:tcPr>
          <w:p>
            <w:pPr>
              <w:ind w:left="260"/>
              <w:spacing w:after="0"/>
              <w:rPr>
                <w:sz w:val="20"/>
                <w:szCs w:val="20"/>
                <w:color w:val="auto"/>
              </w:rPr>
            </w:pPr>
            <w:r>
              <w:rPr>
                <w:rFonts w:ascii="Arial" w:cs="Arial" w:eastAsia="Arial" w:hAnsi="Arial"/>
                <w:sz w:val="13"/>
                <w:szCs w:val="13"/>
                <w:b w:val="1"/>
                <w:bCs w:val="1"/>
                <w:color w:val="auto"/>
              </w:rPr>
              <w:t>rate</w:t>
            </w:r>
          </w:p>
        </w:tc>
        <w:tc>
          <w:tcPr>
            <w:tcW w:w="12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78"/>
              </w:rPr>
              <w:t>taxes</w:t>
            </w:r>
          </w:p>
        </w:tc>
        <w:tc>
          <w:tcPr>
            <w:tcW w:w="10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expense</w:t>
            </w:r>
          </w:p>
        </w:tc>
        <w:tc>
          <w:tcPr>
            <w:tcW w:w="780" w:type="dxa"/>
            <w:vAlign w:val="bottom"/>
          </w:tcPr>
          <w:p>
            <w:pPr>
              <w:jc w:val="right"/>
              <w:ind w:right="244"/>
              <w:spacing w:after="0"/>
              <w:rPr>
                <w:sz w:val="20"/>
                <w:szCs w:val="20"/>
                <w:color w:val="auto"/>
              </w:rPr>
            </w:pPr>
            <w:r>
              <w:rPr>
                <w:rFonts w:ascii="Arial" w:cs="Arial" w:eastAsia="Arial" w:hAnsi="Arial"/>
                <w:sz w:val="13"/>
                <w:szCs w:val="13"/>
                <w:b w:val="1"/>
                <w:bCs w:val="1"/>
                <w:color w:val="auto"/>
              </w:rPr>
              <w:t>rate</w:t>
            </w:r>
          </w:p>
        </w:tc>
        <w:tc>
          <w:tcPr>
            <w:tcW w:w="0" w:type="dxa"/>
            <w:vAlign w:val="bottom"/>
          </w:tcPr>
          <w:p>
            <w:pPr>
              <w:spacing w:after="0"/>
              <w:rPr>
                <w:sz w:val="1"/>
                <w:szCs w:val="1"/>
                <w:color w:val="auto"/>
              </w:rPr>
            </w:pPr>
          </w:p>
        </w:tc>
      </w:tr>
      <w:tr>
        <w:trPr>
          <w:trHeight w:val="228"/>
        </w:trPr>
        <w:tc>
          <w:tcPr>
            <w:tcW w:w="1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center"/>
              <w:ind w:left="46"/>
              <w:spacing w:after="0"/>
              <w:rPr>
                <w:sz w:val="20"/>
                <w:szCs w:val="20"/>
                <w:color w:val="auto"/>
              </w:rPr>
            </w:pPr>
            <w:r>
              <w:rPr>
                <w:rFonts w:ascii="Arial" w:cs="Arial" w:eastAsia="Arial" w:hAnsi="Arial"/>
                <w:sz w:val="18"/>
                <w:szCs w:val="18"/>
                <w:color w:val="auto"/>
                <w:w w:val="90"/>
              </w:rPr>
              <w:t>(249)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8"/>
        </w:trPr>
        <w:tc>
          <w:tcPr>
            <w:tcW w:w="1560" w:type="dxa"/>
            <w:vAlign w:val="bottom"/>
          </w:tcPr>
          <w:p>
            <w:pPr>
              <w:ind w:left="20"/>
              <w:spacing w:after="0"/>
              <w:rPr>
                <w:sz w:val="20"/>
                <w:szCs w:val="20"/>
                <w:color w:val="auto"/>
              </w:rPr>
            </w:pPr>
            <w:r>
              <w:rPr>
                <w:rFonts w:ascii="Arial" w:cs="Arial" w:eastAsia="Arial" w:hAnsi="Arial"/>
                <w:sz w:val="18"/>
                <w:szCs w:val="18"/>
                <w:color w:val="auto"/>
              </w:rPr>
              <w:t>Adjustments(a)</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center"/>
              <w:ind w:left="66"/>
              <w:spacing w:after="0"/>
              <w:rPr>
                <w:sz w:val="20"/>
                <w:szCs w:val="20"/>
                <w:color w:val="auto"/>
              </w:rPr>
            </w:pPr>
            <w:r>
              <w:rPr>
                <w:rFonts w:ascii="Arial" w:cs="Arial" w:eastAsia="Arial" w:hAnsi="Arial"/>
                <w:sz w:val="18"/>
                <w:szCs w:val="18"/>
                <w:color w:val="auto"/>
                <w:w w:val="93"/>
              </w:rPr>
              <w:t>581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adjustment(b)</w:t>
            </w: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560" w:type="dxa"/>
            <w:vAlign w:val="bottom"/>
          </w:tcPr>
          <w:p>
            <w:pPr>
              <w:ind w:left="20"/>
              <w:spacing w:after="0"/>
              <w:rPr>
                <w:sz w:val="20"/>
                <w:szCs w:val="20"/>
                <w:color w:val="auto"/>
              </w:rPr>
            </w:pPr>
            <w:r>
              <w:rPr>
                <w:rFonts w:ascii="Arial" w:cs="Arial" w:eastAsia="Arial" w:hAnsi="Arial"/>
                <w:sz w:val="18"/>
                <w:szCs w:val="18"/>
                <w:color w:val="auto"/>
              </w:rPr>
              <w:t>ETR-adjusted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25.2 %</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14.6 %</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22.8 %</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center"/>
              <w:ind w:left="66"/>
              <w:spacing w:after="0"/>
              <w:rPr>
                <w:sz w:val="20"/>
                <w:szCs w:val="20"/>
                <w:color w:val="auto"/>
              </w:rPr>
            </w:pPr>
            <w:r>
              <w:rPr>
                <w:rFonts w:ascii="Arial" w:cs="Arial" w:eastAsia="Arial" w:hAnsi="Arial"/>
                <w:sz w:val="18"/>
                <w:szCs w:val="18"/>
                <w:color w:val="auto"/>
                <w:w w:val="93"/>
              </w:rPr>
              <w:t>332</w:t>
            </w:r>
          </w:p>
        </w:tc>
        <w:tc>
          <w:tcPr>
            <w:tcW w:w="120" w:type="dxa"/>
            <w:vAlign w:val="bottom"/>
          </w:tcPr>
          <w:p>
            <w:pPr>
              <w:spacing w:after="0"/>
              <w:rPr>
                <w:sz w:val="19"/>
                <w:szCs w:val="19"/>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4" w:lineRule="exact"/>
        <w:rPr>
          <w:sz w:val="20"/>
          <w:szCs w:val="20"/>
          <w:color w:val="auto"/>
        </w:rPr>
      </w:pPr>
    </w:p>
    <w:p>
      <w:pPr>
        <w:jc w:val="both"/>
        <w:ind w:left="340" w:hanging="333"/>
        <w:spacing w:after="0" w:line="245" w:lineRule="auto"/>
        <w:tabs>
          <w:tab w:leader="none" w:pos="331"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 (loss)-adjusted within this section of MD&amp;A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ind w:left="320" w:hanging="313"/>
        <w:spacing w:after="0"/>
        <w:tabs>
          <w:tab w:leader="none" w:pos="3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Refer to the reconciliation of diluted earnings per common share under U.S. GAAP to EPS-diluted-adjusted within this section of MD&amp;A for adjustment details.</w:t>
      </w:r>
    </w:p>
    <w:p>
      <w:pPr>
        <w:spacing w:after="0" w:line="239"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055"/>
              <w:spacing w:after="0"/>
              <w:rPr>
                <w:sz w:val="20"/>
                <w:szCs w:val="20"/>
                <w:color w:val="auto"/>
              </w:rPr>
            </w:pPr>
            <w:r>
              <w:rPr>
                <w:rFonts w:ascii="Arial" w:cs="Arial" w:eastAsia="Arial" w:hAnsi="Arial"/>
                <w:sz w:val="14"/>
                <w:szCs w:val="14"/>
                <w:b w:val="1"/>
                <w:bCs w:val="1"/>
                <w:color w:val="auto"/>
              </w:rPr>
              <w:t>Four Quarters Ended</w:t>
            </w:r>
          </w:p>
        </w:tc>
      </w:tr>
      <w:tr>
        <w:trPr>
          <w:trHeight w:val="186"/>
        </w:trPr>
        <w:tc>
          <w:tcPr>
            <w:tcW w:w="7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Pr>
          <w:p>
            <w:pPr>
              <w:spacing w:after="0"/>
              <w:rPr>
                <w:sz w:val="16"/>
                <w:szCs w:val="16"/>
                <w:color w:val="auto"/>
              </w:rPr>
            </w:pPr>
          </w:p>
        </w:tc>
        <w:tc>
          <w:tcPr>
            <w:tcW w:w="1480" w:type="dxa"/>
            <w:vAlign w:val="bottom"/>
          </w:tcPr>
          <w:p>
            <w:pPr>
              <w:jc w:val="right"/>
              <w:ind w:right="375"/>
              <w:spacing w:after="0"/>
              <w:rPr>
                <w:sz w:val="20"/>
                <w:szCs w:val="20"/>
                <w:color w:val="auto"/>
              </w:rPr>
            </w:pPr>
            <w:r>
              <w:rPr>
                <w:rFonts w:ascii="Arial" w:cs="Arial" w:eastAsia="Arial" w:hAnsi="Arial"/>
                <w:sz w:val="14"/>
                <w:szCs w:val="14"/>
                <w:b w:val="1"/>
                <w:bCs w:val="1"/>
                <w:color w:val="auto"/>
              </w:rPr>
              <w:t>June 30, 2020</w:t>
            </w:r>
          </w:p>
        </w:tc>
      </w:tr>
      <w:tr>
        <w:trPr>
          <w:trHeight w:val="223"/>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stockholders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12.7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1.7</w:t>
            </w:r>
          </w:p>
        </w:tc>
      </w:tr>
      <w:tr>
        <w:trPr>
          <w:trHeight w:val="228"/>
        </w:trPr>
        <w:tc>
          <w:tcPr>
            <w:tcW w:w="7620" w:type="dxa"/>
            <w:vAlign w:val="bottom"/>
          </w:tcPr>
          <w:p>
            <w:pPr>
              <w:ind w:left="20"/>
              <w:spacing w:after="0"/>
              <w:rPr>
                <w:sz w:val="20"/>
                <w:szCs w:val="20"/>
                <w:color w:val="auto"/>
              </w:rPr>
            </w:pPr>
            <w:r>
              <w:rPr>
                <w:rFonts w:ascii="Arial" w:cs="Arial" w:eastAsia="Arial" w:hAnsi="Arial"/>
                <w:sz w:val="18"/>
                <w:szCs w:val="18"/>
                <w:color w:val="auto"/>
              </w:rPr>
              <w:t>Average equity(a)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Pr>
          <w:p>
            <w:pPr>
              <w:ind w:left="94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35"/>
              <w:spacing w:after="0"/>
              <w:rPr>
                <w:sz w:val="20"/>
                <w:szCs w:val="20"/>
                <w:color w:val="auto"/>
              </w:rPr>
            </w:pPr>
            <w:r>
              <w:rPr>
                <w:rFonts w:ascii="Arial" w:cs="Arial" w:eastAsia="Arial" w:hAnsi="Arial"/>
                <w:sz w:val="18"/>
                <w:szCs w:val="18"/>
                <w:color w:val="auto"/>
              </w:rPr>
              <w:t>42.8</w:t>
            </w:r>
          </w:p>
        </w:tc>
      </w:tr>
      <w:tr>
        <w:trPr>
          <w:trHeight w:val="228"/>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ROE</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ind w:left="940"/>
              <w:spacing w:after="0"/>
              <w:rPr>
                <w:sz w:val="20"/>
                <w:szCs w:val="20"/>
                <w:color w:val="auto"/>
              </w:rPr>
            </w:pPr>
            <w:r>
              <w:rPr>
                <w:rFonts w:ascii="Arial" w:cs="Arial" w:eastAsia="Arial" w:hAnsi="Arial"/>
                <w:sz w:val="18"/>
                <w:szCs w:val="18"/>
                <w:color w:val="auto"/>
                <w:w w:val="92"/>
              </w:rPr>
              <w:t>25.9 %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20" w:hanging="313"/>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Net income (loss) attributable to stockholders.</w:t>
      </w:r>
    </w:p>
    <w:p>
      <w:pPr>
        <w:spacing w:after="0" w:line="200" w:lineRule="exact"/>
        <w:rPr>
          <w:rFonts w:ascii="Arial" w:cs="Arial" w:eastAsia="Arial" w:hAnsi="Arial"/>
          <w:sz w:val="16"/>
          <w:szCs w:val="16"/>
          <w:color w:val="auto"/>
        </w:rPr>
      </w:pPr>
    </w:p>
    <w:p>
      <w:pPr>
        <w:spacing w:after="0" w:line="376"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calculation of ROIC-adjusted (dollars in billions):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rPr>
              <w:t>Four Quarters Ended</w:t>
            </w:r>
          </w:p>
        </w:tc>
      </w:tr>
      <w:tr>
        <w:trPr>
          <w:trHeight w:val="186"/>
        </w:trPr>
        <w:tc>
          <w:tcPr>
            <w:tcW w:w="7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2021</w:t>
            </w:r>
          </w:p>
        </w:tc>
        <w:tc>
          <w:tcPr>
            <w:tcW w:w="280" w:type="dxa"/>
            <w:vAlign w:val="bottom"/>
          </w:tcPr>
          <w:p>
            <w:pPr>
              <w:spacing w:after="0"/>
              <w:rPr>
                <w:sz w:val="16"/>
                <w:szCs w:val="16"/>
                <w:color w:val="auto"/>
              </w:rPr>
            </w:pPr>
          </w:p>
        </w:tc>
        <w:tc>
          <w:tcPr>
            <w:tcW w:w="1480" w:type="dxa"/>
            <w:vAlign w:val="bottom"/>
          </w:tcPr>
          <w:p>
            <w:pPr>
              <w:jc w:val="right"/>
              <w:ind w:right="373"/>
              <w:spacing w:after="0"/>
              <w:rPr>
                <w:sz w:val="20"/>
                <w:szCs w:val="20"/>
                <w:color w:val="auto"/>
              </w:rPr>
            </w:pPr>
            <w:r>
              <w:rPr>
                <w:rFonts w:ascii="Arial" w:cs="Arial" w:eastAsia="Arial" w:hAnsi="Arial"/>
                <w:sz w:val="14"/>
                <w:szCs w:val="14"/>
                <w:b w:val="1"/>
                <w:bCs w:val="1"/>
                <w:color w:val="auto"/>
              </w:rPr>
              <w:t>June 30, 2020</w:t>
            </w:r>
          </w:p>
        </w:tc>
      </w:tr>
      <w:tr>
        <w:trPr>
          <w:trHeight w:val="223"/>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 (loss)-adjusted(a)</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3.8</w:t>
            </w:r>
          </w:p>
        </w:tc>
      </w:tr>
      <w:tr>
        <w:trPr>
          <w:trHeight w:val="228"/>
        </w:trPr>
        <w:tc>
          <w:tcPr>
            <w:tcW w:w="7620" w:type="dxa"/>
            <w:vAlign w:val="bottom"/>
          </w:tcPr>
          <w:p>
            <w:pPr>
              <w:ind w:left="20"/>
              <w:spacing w:after="0"/>
              <w:rPr>
                <w:sz w:val="20"/>
                <w:szCs w:val="20"/>
                <w:color w:val="auto"/>
              </w:rPr>
            </w:pPr>
            <w:r>
              <w:rPr>
                <w:rFonts w:ascii="Arial" w:cs="Arial" w:eastAsia="Arial" w:hAnsi="Arial"/>
                <w:sz w:val="18"/>
                <w:szCs w:val="18"/>
                <w:color w:val="auto"/>
              </w:rPr>
              <w:t>Average equity(b)</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Pr>
          <w:p>
            <w:pPr>
              <w:ind w:left="940"/>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33"/>
              <w:spacing w:after="0"/>
              <w:rPr>
                <w:sz w:val="20"/>
                <w:szCs w:val="20"/>
                <w:color w:val="auto"/>
              </w:rPr>
            </w:pPr>
            <w:r>
              <w:rPr>
                <w:rFonts w:ascii="Arial" w:cs="Arial" w:eastAsia="Arial" w:hAnsi="Arial"/>
                <w:sz w:val="18"/>
                <w:szCs w:val="18"/>
                <w:color w:val="auto"/>
              </w:rPr>
              <w:t>42.8</w:t>
            </w:r>
          </w:p>
        </w:tc>
      </w:tr>
      <w:tr>
        <w:trPr>
          <w:trHeight w:val="228"/>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Average automotive debt and interest liabilities (excluding finance leases)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ind w:left="94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23.6</w:t>
            </w:r>
          </w:p>
        </w:tc>
      </w:tr>
      <w:tr>
        <w:trPr>
          <w:trHeight w:val="228"/>
        </w:trPr>
        <w:tc>
          <w:tcPr>
            <w:tcW w:w="7620" w:type="dxa"/>
            <w:vAlign w:val="bottom"/>
          </w:tcPr>
          <w:p>
            <w:pPr>
              <w:ind w:left="20"/>
              <w:spacing w:after="0"/>
              <w:rPr>
                <w:sz w:val="20"/>
                <w:szCs w:val="20"/>
                <w:color w:val="auto"/>
              </w:rPr>
            </w:pPr>
            <w:r>
              <w:rPr>
                <w:rFonts w:ascii="Arial" w:cs="Arial" w:eastAsia="Arial" w:hAnsi="Arial"/>
                <w:sz w:val="18"/>
                <w:szCs w:val="18"/>
                <w:color w:val="auto"/>
              </w:rPr>
              <w:t>Add: Average automotive net pension &amp; OPEB liability</w:t>
            </w:r>
          </w:p>
        </w:tc>
        <w:tc>
          <w:tcPr>
            <w:tcW w:w="280" w:type="dxa"/>
            <w:vAlign w:val="bottom"/>
          </w:tcPr>
          <w:p>
            <w:pPr>
              <w:spacing w:after="0"/>
              <w:rPr>
                <w:sz w:val="19"/>
                <w:szCs w:val="19"/>
                <w:color w:val="auto"/>
              </w:rPr>
            </w:pPr>
          </w:p>
        </w:tc>
        <w:tc>
          <w:tcPr>
            <w:tcW w:w="1480" w:type="dxa"/>
            <w:vAlign w:val="bottom"/>
          </w:tcPr>
          <w:p>
            <w:pPr>
              <w:ind w:left="94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jc w:val="right"/>
              <w:ind w:right="133"/>
              <w:spacing w:after="0"/>
              <w:rPr>
                <w:sz w:val="20"/>
                <w:szCs w:val="20"/>
                <w:color w:val="auto"/>
              </w:rPr>
            </w:pPr>
            <w:r>
              <w:rPr>
                <w:rFonts w:ascii="Arial" w:cs="Arial" w:eastAsia="Arial" w:hAnsi="Arial"/>
                <w:sz w:val="18"/>
                <w:szCs w:val="18"/>
                <w:color w:val="auto"/>
              </w:rPr>
              <w:t>17.1</w:t>
            </w:r>
          </w:p>
        </w:tc>
      </w:tr>
      <w:tr>
        <w:trPr>
          <w:trHeight w:val="228"/>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Average automotive and other net income tax asset</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(23.9)</w:t>
            </w:r>
          </w:p>
        </w:tc>
      </w:tr>
      <w:tr>
        <w:trPr>
          <w:trHeight w:val="222"/>
        </w:trPr>
        <w:tc>
          <w:tcPr>
            <w:tcW w:w="7620" w:type="dxa"/>
            <w:vAlign w:val="bottom"/>
          </w:tcPr>
          <w:p>
            <w:pPr>
              <w:ind w:left="20"/>
              <w:spacing w:after="0"/>
              <w:rPr>
                <w:sz w:val="20"/>
                <w:szCs w:val="20"/>
                <w:color w:val="auto"/>
              </w:rPr>
            </w:pPr>
            <w:r>
              <w:rPr>
                <w:rFonts w:ascii="Arial" w:cs="Arial" w:eastAsia="Arial" w:hAnsi="Arial"/>
                <w:sz w:val="18"/>
                <w:szCs w:val="18"/>
                <w:color w:val="auto"/>
              </w:rPr>
              <w:t>ROIC-adjusted average net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59.6</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2"/>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ROIC-adjusted</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ind w:left="940"/>
              <w:spacing w:after="0"/>
              <w:rPr>
                <w:sz w:val="20"/>
                <w:szCs w:val="20"/>
                <w:color w:val="auto"/>
              </w:rPr>
            </w:pPr>
            <w:r>
              <w:rPr>
                <w:rFonts w:ascii="Arial" w:cs="Arial" w:eastAsia="Arial" w:hAnsi="Arial"/>
                <w:sz w:val="18"/>
                <w:szCs w:val="18"/>
                <w:color w:val="auto"/>
                <w:w w:val="92"/>
              </w:rPr>
              <w:t>27.3 %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20" w:hanging="313"/>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 (loss)-adjusted within this section of MD&amp;A.</w:t>
      </w:r>
    </w:p>
    <w:p>
      <w:pPr>
        <w:spacing w:after="0" w:line="4" w:lineRule="exact"/>
        <w:rPr>
          <w:rFonts w:ascii="Arial" w:cs="Arial" w:eastAsia="Arial" w:hAnsi="Arial"/>
          <w:sz w:val="16"/>
          <w:szCs w:val="16"/>
          <w:color w:val="auto"/>
        </w:rPr>
      </w:pPr>
    </w:p>
    <w:p>
      <w:pPr>
        <w:ind w:left="320" w:hanging="313"/>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EBIT (loss)-adjusted.</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color w:val="auto"/>
        </w:rPr>
        <w:t xml:space="preserve">Overview </w:t>
      </w:r>
      <w:r>
        <w:rPr>
          <w:rFonts w:ascii="Arial" w:cs="Arial" w:eastAsia="Arial" w:hAnsi="Arial"/>
          <w:sz w:val="17"/>
          <w:szCs w:val="17"/>
          <w:color w:val="auto"/>
        </w:rPr>
        <w:t>Our vision for the future is a world with zero crashes, zero emissions and zero congestion, which guides our growth-focused investment in</w:t>
      </w:r>
      <w:r>
        <w:rPr>
          <w:rFonts w:ascii="Arial" w:cs="Arial" w:eastAsia="Arial" w:hAnsi="Arial"/>
          <w:sz w:val="17"/>
          <w:szCs w:val="17"/>
          <w:b w:val="1"/>
          <w:bCs w:val="1"/>
          <w:color w:val="auto"/>
        </w:rPr>
        <w:t xml:space="preserve"> </w:t>
      </w:r>
      <w:r>
        <w:rPr>
          <w:rFonts w:ascii="Arial" w:cs="Arial" w:eastAsia="Arial" w:hAnsi="Arial"/>
          <w:sz w:val="17"/>
          <w:szCs w:val="17"/>
          <w:color w:val="auto"/>
        </w:rPr>
        <w:t>electric and autonomous vehicles, and new products and services. The all-electric future we are building integrates our technology, scale and manufacturing expertise to drive growth, profitability and deliver world-class customer interactions. Our strategy includes product leadership in electric and autonomous vehicles, continued leadership in trucks and SUVs, and developing and monetizing new software and services. We will execute our strategy with a diverse team and a steadfast commitment to good citizenship through sustainable operations and a leading health and safety culture.</w:t>
      </w:r>
    </w:p>
    <w:p>
      <w:pPr>
        <w:spacing w:after="0" w:line="187" w:lineRule="exact"/>
        <w:rPr>
          <w:sz w:val="20"/>
          <w:szCs w:val="20"/>
          <w:color w:val="auto"/>
        </w:rPr>
      </w:pPr>
    </w:p>
    <w:p>
      <w:pPr>
        <w:jc w:val="both"/>
        <w:ind w:firstLine="161"/>
        <w:spacing w:after="0" w:line="226" w:lineRule="auto"/>
        <w:rPr>
          <w:sz w:val="20"/>
          <w:szCs w:val="20"/>
          <w:color w:val="auto"/>
        </w:rPr>
      </w:pPr>
      <w:r>
        <w:rPr>
          <w:rFonts w:ascii="Arial" w:cs="Arial" w:eastAsia="Arial" w:hAnsi="Arial"/>
          <w:sz w:val="18"/>
          <w:szCs w:val="18"/>
          <w:color w:val="auto"/>
        </w:rPr>
        <w:t>The automotive industry and GM are currently experiencing a global semiconductor supply shortage. The supply shortage has impacted, and continues to impact, multiple suppliers that incorporate semiconductors into the parts they supply to us. We expect the semiconductor supply shortage will continue to have an impact on our business for the foreseeable future. We will continue prioritizing our most popular and in-demand vehicles, including our full-size trucks, full-size SUVs, and electric vehicles. We do not expect this shortage to impact our growth and electric vehicle initiatives. In June 2021, we announced plans to increase our investment in electric and autonomous vehicles from $27.0 billion to $35.0 billion, through 2025, to accelerate battery and electric vehicle assembly capacity.</w:t>
      </w:r>
    </w:p>
    <w:p>
      <w:pPr>
        <w:spacing w:after="0" w:line="215"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We also continue to monitor the impact of the COVID-19 pandemic, and government actions and measures taken to prevent its spread, and the potential to affect our operations. Refer to Part I, Item 1A. Risk Factors of our 2020 Form 10-K for further discussion of these risks.</w:t>
      </w:r>
    </w:p>
    <w:p>
      <w:pPr>
        <w:spacing w:after="0" w:line="197"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For the year ending December 31, 2021, we expect EPS-diluted of between $5.12 and $6.12, EPS-diluted-adjusted of between $5.40 and $6.40, Net income attributable to stockholders of between $7.7 billion and $9.2 billion and EBIT-adjusted of between $11.5 billion and $13.5 billion. Due to the uncertainty of the semiconductor supply shortage, our cash flow from operations could be impacted by year end work-in-process inventory related to vehicles produced without modules. The value of the vehicles manufactured without modules held in inventory was $1.4 billion at June 30, 2021. We do not consider the potential impact of future adjustments on our expected financial results.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reconciles expected Net income attributable to stockholders under U.S. GAAP to expected EBIT-adjusted (dollars in billions):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960" w:type="dxa"/>
            <w:vAlign w:val="bottom"/>
            <w:tcBorders>
              <w:bottom w:val="single" w:sz="8" w:color="CCEEFF"/>
            </w:tcBorders>
          </w:tcPr>
          <w:p>
            <w:pPr>
              <w:spacing w:after="0"/>
              <w:rPr>
                <w:sz w:val="16"/>
                <w:szCs w:val="16"/>
                <w:color w:val="auto"/>
              </w:rPr>
            </w:pPr>
          </w:p>
        </w:tc>
        <w:tc>
          <w:tcPr>
            <w:tcW w:w="32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Year Ending December 31, 2021</w:t>
            </w:r>
          </w:p>
        </w:tc>
      </w:tr>
      <w:tr>
        <w:trPr>
          <w:trHeight w:val="228"/>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$ 7.7-9.2</w:t>
            </w:r>
          </w:p>
        </w:tc>
      </w:tr>
      <w:tr>
        <w:trPr>
          <w:trHeight w:val="228"/>
        </w:trPr>
        <w:tc>
          <w:tcPr>
            <w:tcW w:w="79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80" w:type="dxa"/>
            <w:vAlign w:val="bottom"/>
          </w:tcPr>
          <w:p>
            <w:pPr>
              <w:jc w:val="right"/>
              <w:spacing w:after="0"/>
              <w:rPr>
                <w:sz w:val="20"/>
                <w:szCs w:val="20"/>
                <w:color w:val="auto"/>
              </w:rPr>
            </w:pPr>
            <w:r>
              <w:rPr>
                <w:rFonts w:ascii="Arial" w:cs="Arial" w:eastAsia="Arial" w:hAnsi="Arial"/>
                <w:sz w:val="18"/>
                <w:szCs w:val="18"/>
                <w:color w:val="auto"/>
              </w:rPr>
              <w:t>2.8-3.3</w:t>
            </w:r>
          </w:p>
        </w:tc>
      </w:tr>
      <w:tr>
        <w:trPr>
          <w:trHeight w:val="228"/>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interest expense, net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8"/>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Adjustments(a)</w:t>
            </w: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EBIT-adjusted(b)</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$ 11.5-13.5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5" w:lineRule="exact"/>
        <w:rPr>
          <w:sz w:val="20"/>
          <w:szCs w:val="20"/>
          <w:color w:val="auto"/>
        </w:rPr>
      </w:pPr>
    </w:p>
    <w:p>
      <w:pPr>
        <w:ind w:left="340" w:right="640" w:hanging="333"/>
        <w:spacing w:after="0" w:line="227" w:lineRule="auto"/>
        <w:tabs>
          <w:tab w:leader="none" w:pos="331"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 (loss)-adjusted within the MD&amp;A for the details of each individual adjustment.</w:t>
      </w:r>
    </w:p>
    <w:p>
      <w:pPr>
        <w:spacing w:after="0" w:line="1" w:lineRule="exact"/>
        <w:rPr>
          <w:rFonts w:ascii="Arial" w:cs="Arial" w:eastAsia="Arial" w:hAnsi="Arial"/>
          <w:sz w:val="16"/>
          <w:szCs w:val="16"/>
          <w:color w:val="auto"/>
        </w:rPr>
      </w:pPr>
    </w:p>
    <w:p>
      <w:pPr>
        <w:ind w:left="320" w:hanging="313"/>
        <w:spacing w:after="0"/>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do not consider the potential future impact of adjustments on our expected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ind w:left="3400"/>
              <w:spacing w:after="0"/>
              <w:rPr>
                <w:sz w:val="20"/>
                <w:szCs w:val="20"/>
                <w:color w:val="auto"/>
              </w:rPr>
            </w:pPr>
            <w:r>
              <w:rPr>
                <w:rFonts w:ascii="Arial" w:cs="Arial" w:eastAsia="Arial" w:hAnsi="Arial"/>
                <w:sz w:val="18"/>
                <w:szCs w:val="18"/>
                <w:b w:val="1"/>
                <w:bCs w:val="1"/>
                <w:color w:val="auto"/>
              </w:rPr>
              <w:t>GENERAL MOTORS COMPANY AND SUBSIDIARIES</w:t>
            </w:r>
          </w:p>
        </w:tc>
        <w:tc>
          <w:tcPr>
            <w:tcW w:w="2880" w:type="dxa"/>
            <w:vAlign w:val="bottom"/>
          </w:tcPr>
          <w:p>
            <w:pPr>
              <w:spacing w:after="0"/>
              <w:rPr>
                <w:sz w:val="20"/>
                <w:szCs w:val="20"/>
                <w:color w:val="auto"/>
              </w:rPr>
            </w:pPr>
          </w:p>
        </w:tc>
      </w:tr>
      <w:tr>
        <w:trPr>
          <w:trHeight w:val="680"/>
        </w:trPr>
        <w:tc>
          <w:tcPr>
            <w:tcW w:w="8360" w:type="dxa"/>
            <w:vAlign w:val="bottom"/>
            <w:gridSpan w:val="2"/>
          </w:tcPr>
          <w:p>
            <w:pPr>
              <w:ind w:left="500"/>
              <w:spacing w:after="0"/>
              <w:rPr>
                <w:sz w:val="20"/>
                <w:szCs w:val="20"/>
                <w:color w:val="auto"/>
              </w:rPr>
            </w:pPr>
            <w:r>
              <w:rPr>
                <w:rFonts w:ascii="Arial" w:cs="Arial" w:eastAsia="Arial" w:hAnsi="Arial"/>
                <w:sz w:val="18"/>
                <w:szCs w:val="18"/>
                <w:color w:val="auto"/>
                <w:w w:val="93"/>
              </w:rPr>
              <w:t>The following table reconciles expected EPS-diluted under U.S. GAAP to expected EPS-diluted-adjusted</w:t>
            </w:r>
            <w:r>
              <w:rPr>
                <w:rFonts w:ascii="Arial" w:cs="Arial" w:eastAsia="Arial" w:hAnsi="Arial"/>
                <w:sz w:val="16"/>
                <w:szCs w:val="16"/>
                <w:color w:val="auto"/>
                <w:w w:val="93"/>
              </w:rPr>
              <w:t>:</w:t>
            </w:r>
          </w:p>
        </w:tc>
        <w:tc>
          <w:tcPr>
            <w:tcW w:w="2880" w:type="dxa"/>
            <w:vAlign w:val="bottom"/>
          </w:tcPr>
          <w:p>
            <w:pPr>
              <w:spacing w:after="0"/>
              <w:rPr>
                <w:sz w:val="24"/>
                <w:szCs w:val="24"/>
                <w:color w:val="auto"/>
              </w:rPr>
            </w:pPr>
          </w:p>
        </w:tc>
      </w:tr>
      <w:tr>
        <w:trPr>
          <w:trHeight w:val="437"/>
        </w:trPr>
        <w:tc>
          <w:tcPr>
            <w:tcW w:w="796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Year Ending December 31, 2021</w:t>
            </w:r>
          </w:p>
        </w:tc>
      </w:tr>
      <w:tr>
        <w:trPr>
          <w:trHeight w:val="228"/>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shd w:val="clear" w:color="auto" w:fill="CCEEFF"/>
          </w:tcPr>
          <w:p>
            <w:pPr>
              <w:spacing w:after="0"/>
              <w:rPr>
                <w:sz w:val="19"/>
                <w:szCs w:val="19"/>
                <w:color w:val="auto"/>
              </w:rPr>
            </w:pP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$ 5.12-6.12</w:t>
            </w:r>
          </w:p>
        </w:tc>
      </w:tr>
      <w:tr>
        <w:trPr>
          <w:trHeight w:val="228"/>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Adjustments(a)</w:t>
            </w:r>
          </w:p>
        </w:tc>
        <w:tc>
          <w:tcPr>
            <w:tcW w:w="40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r>
      <w:tr>
        <w:trPr>
          <w:trHeight w:val="242"/>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EPS-diluted-adjusted(b)</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$ 5.40-6.40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80" w:type="dxa"/>
            <w:vAlign w:val="bottom"/>
            <w:tcBorders>
              <w:top w:val="single" w:sz="8" w:color="auto"/>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5" w:lineRule="exact"/>
        <w:rPr>
          <w:sz w:val="20"/>
          <w:szCs w:val="20"/>
          <w:color w:val="auto"/>
        </w:rPr>
      </w:pPr>
    </w:p>
    <w:p>
      <w:pPr>
        <w:ind w:left="340" w:right="660" w:hanging="333"/>
        <w:spacing w:after="0" w:line="227" w:lineRule="auto"/>
        <w:tabs>
          <w:tab w:leader="none" w:pos="331"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Refer to the reconciliation of diluted earnings (loss) per common share under U.S. GAAP to EPS-diluted-adjusted for within the MD&amp;A for the details of each individual adjustment.</w:t>
      </w:r>
    </w:p>
    <w:p>
      <w:pPr>
        <w:spacing w:after="0" w:line="1" w:lineRule="exact"/>
        <w:rPr>
          <w:rFonts w:ascii="Arial" w:cs="Arial" w:eastAsia="Arial" w:hAnsi="Arial"/>
          <w:sz w:val="16"/>
          <w:szCs w:val="16"/>
          <w:color w:val="auto"/>
        </w:rPr>
      </w:pPr>
    </w:p>
    <w:p>
      <w:pPr>
        <w:ind w:left="320" w:hanging="313"/>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do not consider the potential future impact of adjustments on our expected financial results.</w:t>
      </w:r>
    </w:p>
    <w:p>
      <w:pPr>
        <w:spacing w:after="0" w:line="228"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We also face continuing market, operating and regulatory challenges in several countries across the globe due to, among other factors, weak economic conditions, competitive pressures, our product portfolio offerings, heightened emissions standards, labor disruptions, foreign exchange volatility, rising material prices, evolving trade policy and political uncertainty. Refer to Part I, Item 1A. Risk Factors of our 2020 Form 10-K for a discussion of these challenges.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 we continue to assess our performance and the needs of our evolving business, additional restructuring and rationalization actions could be required.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actions could give rise to future asset impairments or other charges, which may have a material impact on our operating results.</w:t>
      </w:r>
    </w:p>
    <w:p>
      <w:pPr>
        <w:spacing w:after="0" w:line="235" w:lineRule="exact"/>
        <w:rPr>
          <w:sz w:val="20"/>
          <w:szCs w:val="20"/>
          <w:color w:val="auto"/>
        </w:rPr>
      </w:pPr>
    </w:p>
    <w:p>
      <w:pPr>
        <w:jc w:val="both"/>
        <w:ind w:right="20" w:firstLine="161"/>
        <w:spacing w:after="0" w:line="262" w:lineRule="auto"/>
        <w:rPr>
          <w:sz w:val="20"/>
          <w:szCs w:val="20"/>
          <w:color w:val="auto"/>
        </w:rPr>
      </w:pPr>
      <w:r>
        <w:rPr>
          <w:rFonts w:ascii="Arial" w:cs="Arial" w:eastAsia="Arial" w:hAnsi="Arial"/>
          <w:sz w:val="18"/>
          <w:szCs w:val="18"/>
          <w:b w:val="1"/>
          <w:bCs w:val="1"/>
          <w:i w:val="1"/>
          <w:iCs w:val="1"/>
          <w:color w:val="auto"/>
        </w:rPr>
        <w:t xml:space="preserve">GMNA </w:t>
      </w:r>
      <w:r>
        <w:rPr>
          <w:rFonts w:ascii="Arial" w:cs="Arial" w:eastAsia="Arial" w:hAnsi="Arial"/>
          <w:sz w:val="18"/>
          <w:szCs w:val="18"/>
          <w:color w:val="auto"/>
        </w:rPr>
        <w:t>Industry sales in North America were 10.1 million units in the six months ended June 30, 2021, representing an increase of 29.5%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corresponding period in 2020. U.S. industry sales were 8.5 million units in the six months ended June 30, 2021, representing an increase of 29.5% compared to the corresponding period in 2020.</w:t>
      </w:r>
    </w:p>
    <w:p>
      <w:pPr>
        <w:spacing w:after="0" w:line="209" w:lineRule="exact"/>
        <w:rPr>
          <w:sz w:val="20"/>
          <w:szCs w:val="20"/>
          <w:color w:val="auto"/>
        </w:rPr>
      </w:pPr>
    </w:p>
    <w:p>
      <w:pPr>
        <w:jc w:val="both"/>
        <w:ind w:right="20" w:firstLine="161"/>
        <w:spacing w:after="0" w:line="275" w:lineRule="auto"/>
        <w:rPr>
          <w:sz w:val="20"/>
          <w:szCs w:val="20"/>
          <w:color w:val="auto"/>
        </w:rPr>
      </w:pPr>
      <w:r>
        <w:rPr>
          <w:rFonts w:ascii="Arial" w:cs="Arial" w:eastAsia="Arial" w:hAnsi="Arial"/>
          <w:sz w:val="18"/>
          <w:szCs w:val="18"/>
          <w:color w:val="auto"/>
        </w:rPr>
        <w:t>Our total vehicle sales in the U.S., our largest market in North America, were 1.3 million units for market share of 15.6% in the six months ended June 30, 2021, representing a decrease of 1.3 percentage points compared to the corresponding period in 2020.</w:t>
      </w:r>
    </w:p>
    <w:p>
      <w:pPr>
        <w:spacing w:after="0" w:line="197" w:lineRule="exact"/>
        <w:rPr>
          <w:sz w:val="20"/>
          <w:szCs w:val="20"/>
          <w:color w:val="auto"/>
        </w:rPr>
      </w:pPr>
    </w:p>
    <w:p>
      <w:pPr>
        <w:jc w:val="both"/>
        <w:ind w:firstLine="161"/>
        <w:spacing w:after="0" w:line="270" w:lineRule="auto"/>
        <w:rPr>
          <w:sz w:val="20"/>
          <w:szCs w:val="20"/>
          <w:color w:val="auto"/>
        </w:rPr>
      </w:pPr>
      <w:r>
        <w:rPr>
          <w:rFonts w:ascii="Arial" w:cs="Arial" w:eastAsia="Arial" w:hAnsi="Arial"/>
          <w:sz w:val="17"/>
          <w:szCs w:val="17"/>
          <w:color w:val="auto"/>
        </w:rPr>
        <w:t>We expect to sustain relatively strong EBIT-adjusted margins in 2021 on the continued strength of favorable vehicle pricing and strong U.S. industry light vehicle sales, partially offset by higher costs associated with commodities and raw materials. Our outlook is dependent on the economic impact of the COVID-19 pandemic and the global shortage of semiconductors, both of which continue to evolve. As a result of the shortage of semiconductors, we have experienced interruptions to our planned production schedules and temporarily suspended certain manufacturing sites to prioritize production of our most popular and in-demand products, including our full-size trucks and full-size SUVs. Additionally, we have been manufacturing vehicles, without the impacted components, representing an inventory carrying value of approximately $1.4 billion at June 30, 2021. We expect to hold these vehicles in our inventory until they are completed and sold to our dealers.</w:t>
      </w:r>
    </w:p>
    <w:p>
      <w:pPr>
        <w:spacing w:after="0" w:line="207"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b w:val="1"/>
          <w:bCs w:val="1"/>
          <w:i w:val="1"/>
          <w:iCs w:val="1"/>
          <w:color w:val="auto"/>
        </w:rPr>
        <w:t xml:space="preserve">GMI </w:t>
      </w:r>
      <w:r>
        <w:rPr>
          <w:rFonts w:ascii="Arial" w:cs="Arial" w:eastAsia="Arial" w:hAnsi="Arial"/>
          <w:sz w:val="17"/>
          <w:szCs w:val="17"/>
          <w:color w:val="auto"/>
        </w:rPr>
        <w:t>Industry sales in China were 13.3 million units in the six months ended June 30, 2021, representing an increase of 29.1% compared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corresponding period in 2020, which was adversely impacted by the COVID-19 pandemic. Our total vehicle sales in China were 1.5 million units for market share of 11.5% in the six months ended June 30, 2021, representing an increase of 0.1 percentage points compared to the corresponding period in 2020. The ongoing global semiconductor supply shortage, macro-economic impact of COVID-19 and geopolitical tensions may place pressure on China's automotive industry. Our Automotive China JVs generated equity income of $0.6 billion in the six months ended June 30, 2021. Although price competition, higher costs associated with commodities and raw materials, and a more challenging regulatory environment related to emissions, fuel consumption and new energy vehicles will place pressure on our operations in China, we will continue to build upon our strong brands, network, and partnerships in China as well as drive improvements in vehicle mix and cost.</w:t>
      </w:r>
    </w:p>
    <w:p>
      <w:pPr>
        <w:spacing w:after="0" w:line="209"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Outside of China, industry sales were 11.7 million units in the six months ended June 30, 2021, representing an increase of 25.5% compared to the corresponding period in 2020. Our total vehicle sales outside of China were 0.4 million units for a market share of 3.7% in the six months ended June 30, 2021, representing a decrease of 1.3 percentage points compared to the corresponding period in 2020.</w:t>
      </w:r>
    </w:p>
    <w:p>
      <w:pPr>
        <w:spacing w:after="0" w:line="209"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b w:val="1"/>
          <w:bCs w:val="1"/>
          <w:i w:val="1"/>
          <w:iCs w:val="1"/>
          <w:color w:val="auto"/>
        </w:rPr>
        <w:t xml:space="preserve">Cruise </w:t>
      </w:r>
      <w:r>
        <w:rPr>
          <w:rFonts w:ascii="Arial" w:cs="Arial" w:eastAsia="Arial" w:hAnsi="Arial"/>
          <w:sz w:val="18"/>
          <w:szCs w:val="18"/>
          <w:color w:val="auto"/>
        </w:rPr>
        <w:t>Cruise is actively testing autonomous vehicles in the United States. Gated by safety and regulation, Cruise continues to make significant progress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towards commercialization of a network of on-demand autonomous vehicles in the United States and globally.</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In the six months ended June 30, 2021, Cruise Holdings issued Cruise Class G Preferred Shares in exchange for $2.7 billion from Microsoft, Walmart and other investors, including $1.0 billion from General Motors Holdings LLC. All proceeds related to the Cruise Class G Preferred Shares are designated exclusively for working capital and general corporate purposes of Cruise Holdings. In addition, we, Cruise Holdings and Microsoft entered into a long-term strategic relationship to accelerate the commercialization of self-driving vehicles with Microsoft being the preferred public cloud provider. Refer to Note 16 to our condensed consolidated financial statements for further details.</w:t>
      </w:r>
    </w:p>
    <w:p>
      <w:pPr>
        <w:spacing w:after="0" w:line="217" w:lineRule="exact"/>
        <w:rPr>
          <w:sz w:val="20"/>
          <w:szCs w:val="20"/>
          <w:color w:val="auto"/>
        </w:rPr>
      </w:pPr>
    </w:p>
    <w:p>
      <w:pPr>
        <w:jc w:val="both"/>
        <w:ind w:firstLine="161"/>
        <w:spacing w:after="0" w:line="339" w:lineRule="auto"/>
        <w:rPr>
          <w:sz w:val="20"/>
          <w:szCs w:val="20"/>
          <w:color w:val="auto"/>
        </w:rPr>
      </w:pPr>
      <w:r>
        <w:rPr>
          <w:rFonts w:ascii="Arial" w:cs="Arial" w:eastAsia="Arial" w:hAnsi="Arial"/>
          <w:sz w:val="16"/>
          <w:szCs w:val="16"/>
          <w:b w:val="1"/>
          <w:bCs w:val="1"/>
          <w:i w:val="1"/>
          <w:iCs w:val="1"/>
          <w:color w:val="auto"/>
        </w:rPr>
        <w:t xml:space="preserve">Vehicle Sales </w:t>
      </w:r>
      <w:r>
        <w:rPr>
          <w:rFonts w:ascii="Arial" w:cs="Arial" w:eastAsia="Arial" w:hAnsi="Arial"/>
          <w:sz w:val="16"/>
          <w:szCs w:val="16"/>
          <w:color w:val="auto"/>
        </w:rPr>
        <w:t>The principal factors that determine consumer vehicle preferences in the markets in which we operate include overall vehicle design,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quality, available options, safety, reliability, fuel economy and functionality. Market leadership in individual countries in which we compete varies widely.</w:t>
      </w:r>
    </w:p>
    <w:p>
      <w:pPr>
        <w:spacing w:after="0" w:line="152"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We present both wholesale and total vehicle sales data to assist in the analysis of our revenue and our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six months ended June 30, 2021, 28.1% of our wholesale vehicle sales volume was generated outside the U.S. The following table summarizes wholesale vehicle sales by automotive segment (vehicles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6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2"/>
              </w:rPr>
              <w:t>Six Months Ended</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r>
      <w:tr>
        <w:trPr>
          <w:trHeight w:val="186"/>
        </w:trPr>
        <w:tc>
          <w:tcPr>
            <w:tcW w:w="164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w w:val="94"/>
              </w:rPr>
              <w:t>June 30, 2021</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4"/>
              </w:rPr>
              <w:t>June 30, 2020</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4"/>
              </w:rPr>
              <w:t>June 30, 2021</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6"/>
              </w:rPr>
              <w:t>June 30, 2020</w:t>
            </w:r>
          </w:p>
        </w:tc>
        <w:tc>
          <w:tcPr>
            <w:tcW w:w="680" w:type="dxa"/>
            <w:vAlign w:val="bottom"/>
            <w:tcBorders>
              <w:bottom w:val="single" w:sz="8" w:color="auto"/>
            </w:tcBorders>
          </w:tcPr>
          <w:p>
            <w:pPr>
              <w:spacing w:after="0"/>
              <w:rPr>
                <w:sz w:val="16"/>
                <w:szCs w:val="16"/>
                <w:color w:val="auto"/>
              </w:rPr>
            </w:pPr>
          </w:p>
        </w:tc>
      </w:tr>
      <w:tr>
        <w:trPr>
          <w:trHeight w:val="223"/>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GMNA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84.4 %</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1,106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79.8 %</w:t>
            </w:r>
          </w:p>
        </w:tc>
      </w:tr>
      <w:tr>
        <w:trPr>
          <w:trHeight w:val="228"/>
        </w:trPr>
        <w:tc>
          <w:tcPr>
            <w:tcW w:w="1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GMI</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15.6 %</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21.4 %</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17.4 %</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20.2 %</w:t>
            </w:r>
          </w:p>
        </w:tc>
      </w:tr>
      <w:tr>
        <w:trPr>
          <w:trHeight w:val="247"/>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1,387</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100.0 %</w:t>
            </w: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color w:val="auto"/>
        </w:rPr>
        <w:t>Total vehicle sales data represents: (1) retail sales (i.e., sales to consumers who purchase new vehicles from dealers or distributors); (2) fleet sales (i.e., sales to large and small businesses, governments, and daily rental car companies); and (3) vehicles used by dealers in their businesses, including courtesy transportation vehicles.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 summarizes industry and GM total vehicle sales and our related competitive position by geographic region (vehicles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7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June 30, 2021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0"/>
              </w:rPr>
              <w:t>June 30, 2020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0"/>
              </w:rPr>
              <w:t>June 30, 2021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6"/>
              </w:rPr>
              <w:t>June 30, 2020</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7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Industry</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GM</w:t>
            </w:r>
          </w:p>
        </w:tc>
        <w:tc>
          <w:tcPr>
            <w:tcW w:w="680" w:type="dxa"/>
            <w:vAlign w:val="bottom"/>
          </w:tcPr>
          <w:p>
            <w:pPr>
              <w:jc w:val="right"/>
              <w:ind w:right="108"/>
              <w:spacing w:after="0" w:line="134" w:lineRule="exact"/>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1"/>
                <w:szCs w:val="11"/>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Industry</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GM</w:t>
            </w:r>
          </w:p>
        </w:tc>
        <w:tc>
          <w:tcPr>
            <w:tcW w:w="680" w:type="dxa"/>
            <w:vAlign w:val="bottom"/>
          </w:tcPr>
          <w:p>
            <w:pPr>
              <w:jc w:val="center"/>
              <w:ind w:right="48"/>
              <w:spacing w:after="0" w:line="134" w:lineRule="exact"/>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Industry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GM</w:t>
            </w:r>
          </w:p>
        </w:tc>
        <w:tc>
          <w:tcPr>
            <w:tcW w:w="680" w:type="dxa"/>
            <w:vAlign w:val="bottom"/>
          </w:tcPr>
          <w:p>
            <w:pPr>
              <w:jc w:val="center"/>
              <w:ind w:right="28"/>
              <w:spacing w:after="0" w:line="134" w:lineRule="exact"/>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Industry</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GM</w:t>
            </w:r>
          </w:p>
        </w:tc>
        <w:tc>
          <w:tcPr>
            <w:tcW w:w="680" w:type="dxa"/>
            <w:vAlign w:val="bottom"/>
          </w:tcPr>
          <w:p>
            <w:pPr>
              <w:jc w:val="right"/>
              <w:ind w:right="108"/>
              <w:spacing w:after="0" w:line="134"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86"/>
        </w:trPr>
        <w:tc>
          <w:tcPr>
            <w:tcW w:w="17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w:t>
            </w:r>
          </w:p>
        </w:tc>
        <w:tc>
          <w:tcPr>
            <w:tcW w:w="7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w:t>
            </w: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w:t>
            </w:r>
          </w:p>
        </w:tc>
        <w:tc>
          <w:tcPr>
            <w:tcW w:w="7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680" w:type="dxa"/>
            <w:vAlign w:val="bottom"/>
          </w:tcPr>
          <w:p>
            <w:pPr>
              <w:jc w:val="right"/>
              <w:ind w:right="148"/>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68"/>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North America</w:t>
            </w:r>
          </w:p>
        </w:tc>
        <w:tc>
          <w:tcPr>
            <w:tcW w:w="7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4,523</w:t>
            </w:r>
          </w:p>
        </w:tc>
        <w:tc>
          <w:tcPr>
            <w:tcW w:w="68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688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15.2 %</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3,019</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16.3 %</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8,541</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1,330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15.6 %</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6,598</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16.8 %</w:t>
            </w:r>
          </w:p>
        </w:tc>
        <w:tc>
          <w:tcPr>
            <w:tcW w:w="0" w:type="dxa"/>
            <w:vAlign w:val="bottom"/>
          </w:tcPr>
          <w:p>
            <w:pPr>
              <w:spacing w:after="0"/>
              <w:rPr>
                <w:sz w:val="1"/>
                <w:szCs w:val="1"/>
                <w:color w:val="auto"/>
              </w:rPr>
            </w:pPr>
          </w:p>
        </w:tc>
      </w:tr>
      <w:tr>
        <w:trPr>
          <w:trHeight w:val="185"/>
        </w:trPr>
        <w:tc>
          <w:tcPr>
            <w:tcW w:w="1720" w:type="dxa"/>
            <w:vAlign w:val="bottom"/>
          </w:tcPr>
          <w:p>
            <w:pPr>
              <w:ind w:left="20"/>
              <w:spacing w:after="0"/>
              <w:rPr>
                <w:sz w:val="20"/>
                <w:szCs w:val="20"/>
                <w:color w:val="auto"/>
              </w:rPr>
            </w:pPr>
            <w:r>
              <w:rPr>
                <w:rFonts w:ascii="Arial" w:cs="Arial" w:eastAsia="Arial" w:hAnsi="Arial"/>
                <w:sz w:val="14"/>
                <w:szCs w:val="14"/>
                <w:color w:val="auto"/>
              </w:rPr>
              <w:t>Other</w:t>
            </w:r>
          </w:p>
        </w:tc>
        <w:tc>
          <w:tcPr>
            <w:tcW w:w="720" w:type="dxa"/>
            <w:vAlign w:val="bottom"/>
          </w:tcPr>
          <w:p>
            <w:pPr>
              <w:jc w:val="right"/>
              <w:spacing w:after="0"/>
              <w:rPr>
                <w:sz w:val="20"/>
                <w:szCs w:val="20"/>
                <w:color w:val="auto"/>
              </w:rPr>
            </w:pPr>
            <w:r>
              <w:rPr>
                <w:rFonts w:ascii="Arial" w:cs="Arial" w:eastAsia="Arial" w:hAnsi="Arial"/>
                <w:sz w:val="14"/>
                <w:szCs w:val="14"/>
                <w:color w:val="auto"/>
              </w:rPr>
              <w:t>839</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12.6 %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503</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14.4 %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1,573</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13.3 %</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1,210</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14.3 %</w:t>
            </w:r>
          </w:p>
        </w:tc>
        <w:tc>
          <w:tcPr>
            <w:tcW w:w="0" w:type="dxa"/>
            <w:vAlign w:val="bottom"/>
          </w:tcPr>
          <w:p>
            <w:pPr>
              <w:spacing w:after="0"/>
              <w:rPr>
                <w:sz w:val="1"/>
                <w:szCs w:val="1"/>
                <w:color w:val="auto"/>
              </w:rPr>
            </w:pPr>
          </w:p>
        </w:tc>
      </w:tr>
      <w:tr>
        <w:trPr>
          <w:trHeight w:val="185"/>
        </w:trPr>
        <w:tc>
          <w:tcPr>
            <w:tcW w:w="1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North America</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5,362</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794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14.8 %</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3,522</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10,114</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15.2 %</w:t>
            </w: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7,808</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16.4 %</w:t>
            </w:r>
          </w:p>
        </w:tc>
        <w:tc>
          <w:tcPr>
            <w:tcW w:w="0" w:type="dxa"/>
            <w:vAlign w:val="bottom"/>
          </w:tcPr>
          <w:p>
            <w:pPr>
              <w:spacing w:after="0"/>
              <w:rPr>
                <w:sz w:val="1"/>
                <w:szCs w:val="1"/>
                <w:color w:val="auto"/>
              </w:rPr>
            </w:pPr>
          </w:p>
        </w:tc>
      </w:tr>
      <w:tr>
        <w:trPr>
          <w:trHeight w:val="114"/>
        </w:trPr>
        <w:tc>
          <w:tcPr>
            <w:tcW w:w="1720" w:type="dxa"/>
            <w:vAlign w:val="bottom"/>
          </w:tcPr>
          <w:p>
            <w:pPr>
              <w:ind w:left="20"/>
              <w:spacing w:after="0" w:line="114" w:lineRule="exact"/>
              <w:rPr>
                <w:sz w:val="20"/>
                <w:szCs w:val="20"/>
                <w:color w:val="auto"/>
              </w:rPr>
            </w:pPr>
            <w:r>
              <w:rPr>
                <w:rFonts w:ascii="Arial" w:cs="Arial" w:eastAsia="Arial" w:hAnsi="Arial"/>
                <w:sz w:val="13"/>
                <w:szCs w:val="13"/>
                <w:b w:val="1"/>
                <w:bCs w:val="1"/>
                <w:color w:val="auto"/>
              </w:rPr>
              <w:t>Asia/Pacific, Middle East</w:t>
            </w: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1720" w:type="dxa"/>
            <w:vAlign w:val="bottom"/>
          </w:tcPr>
          <w:p>
            <w:pPr>
              <w:ind w:left="180"/>
              <w:spacing w:after="0"/>
              <w:rPr>
                <w:sz w:val="20"/>
                <w:szCs w:val="20"/>
                <w:color w:val="auto"/>
              </w:rPr>
            </w:pPr>
            <w:r>
              <w:rPr>
                <w:rFonts w:ascii="Arial" w:cs="Arial" w:eastAsia="Arial" w:hAnsi="Arial"/>
                <w:sz w:val="14"/>
                <w:szCs w:val="14"/>
                <w:b w:val="1"/>
                <w:bCs w:val="1"/>
                <w:color w:val="auto"/>
              </w:rPr>
              <w:t>and Africa</w:t>
            </w: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China(a)</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6,646</w:t>
            </w:r>
          </w:p>
        </w:tc>
        <w:tc>
          <w:tcPr>
            <w:tcW w:w="68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751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11.3 %</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6,391</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714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11.2 %</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13,342</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11.5 %</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10,337</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1,175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11.4 %</w:t>
            </w:r>
          </w:p>
        </w:tc>
        <w:tc>
          <w:tcPr>
            <w:tcW w:w="0" w:type="dxa"/>
            <w:vAlign w:val="bottom"/>
          </w:tcPr>
          <w:p>
            <w:pPr>
              <w:spacing w:after="0"/>
              <w:rPr>
                <w:sz w:val="1"/>
                <w:szCs w:val="1"/>
                <w:color w:val="auto"/>
              </w:rPr>
            </w:pPr>
          </w:p>
        </w:tc>
      </w:tr>
      <w:tr>
        <w:trPr>
          <w:trHeight w:val="185"/>
        </w:trPr>
        <w:tc>
          <w:tcPr>
            <w:tcW w:w="1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4,729</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3,189</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4.1 %</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9,959</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8,098</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3.4 %</w:t>
            </w:r>
          </w:p>
        </w:tc>
        <w:tc>
          <w:tcPr>
            <w:tcW w:w="0" w:type="dxa"/>
            <w:vAlign w:val="bottom"/>
          </w:tcPr>
          <w:p>
            <w:pPr>
              <w:spacing w:after="0"/>
              <w:rPr>
                <w:sz w:val="1"/>
                <w:szCs w:val="1"/>
                <w:color w:val="auto"/>
              </w:rPr>
            </w:pPr>
          </w:p>
        </w:tc>
      </w:tr>
      <w:tr>
        <w:trPr>
          <w:trHeight w:val="118"/>
        </w:trPr>
        <w:tc>
          <w:tcPr>
            <w:tcW w:w="172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Total Asia/Pacific, Middle</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11,375</w:t>
            </w:r>
          </w:p>
        </w:tc>
        <w:tc>
          <w:tcPr>
            <w:tcW w:w="680" w:type="dxa"/>
            <w:vAlign w:val="bottom"/>
            <w:gridSpan w:val="3"/>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875</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9,580</w:t>
            </w:r>
          </w:p>
        </w:tc>
        <w:tc>
          <w:tcPr>
            <w:tcW w:w="6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845</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8.8 %</w:t>
            </w: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23,301</w:t>
            </w:r>
          </w:p>
        </w:tc>
        <w:tc>
          <w:tcPr>
            <w:tcW w:w="6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1,756</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1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18,435</w:t>
            </w:r>
          </w:p>
        </w:tc>
        <w:tc>
          <w:tcPr>
            <w:tcW w:w="6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1,450</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7.9 %</w:t>
            </w:r>
          </w:p>
        </w:tc>
        <w:tc>
          <w:tcPr>
            <w:tcW w:w="0" w:type="dxa"/>
            <w:vAlign w:val="bottom"/>
          </w:tcPr>
          <w:p>
            <w:pPr>
              <w:spacing w:after="0"/>
              <w:rPr>
                <w:sz w:val="1"/>
                <w:szCs w:val="1"/>
                <w:color w:val="auto"/>
              </w:rPr>
            </w:pPr>
          </w:p>
        </w:tc>
      </w:tr>
      <w:tr>
        <w:trPr>
          <w:trHeight w:val="188"/>
        </w:trPr>
        <w:tc>
          <w:tcPr>
            <w:tcW w:w="1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East and Africa</w:t>
            </w:r>
          </w:p>
        </w:tc>
        <w:tc>
          <w:tcPr>
            <w:tcW w:w="720" w:type="dxa"/>
            <w:vAlign w:val="bottom"/>
            <w:vMerge w:val="continue"/>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680" w:type="dxa"/>
            <w:vAlign w:val="bottom"/>
            <w:gridSpan w:val="3"/>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660" w:type="dxa"/>
            <w:vAlign w:val="bottom"/>
            <w:gridSpan w:val="3"/>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South America</w:t>
            </w:r>
          </w:p>
        </w:tc>
        <w:tc>
          <w:tcPr>
            <w:tcW w:w="7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68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9.1 %</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15.8 %</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11.6 %</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16.6 %</w:t>
            </w:r>
          </w:p>
        </w:tc>
        <w:tc>
          <w:tcPr>
            <w:tcW w:w="0" w:type="dxa"/>
            <w:vAlign w:val="bottom"/>
          </w:tcPr>
          <w:p>
            <w:pPr>
              <w:spacing w:after="0"/>
              <w:rPr>
                <w:sz w:val="1"/>
                <w:szCs w:val="1"/>
                <w:color w:val="auto"/>
              </w:rPr>
            </w:pPr>
          </w:p>
        </w:tc>
      </w:tr>
      <w:tr>
        <w:trPr>
          <w:trHeight w:val="185"/>
        </w:trPr>
        <w:tc>
          <w:tcPr>
            <w:tcW w:w="1720" w:type="dxa"/>
            <w:vAlign w:val="bottom"/>
          </w:tcPr>
          <w:p>
            <w:pPr>
              <w:ind w:left="20"/>
              <w:spacing w:after="0"/>
              <w:rPr>
                <w:sz w:val="20"/>
                <w:szCs w:val="20"/>
                <w:color w:val="auto"/>
              </w:rPr>
            </w:pPr>
            <w:r>
              <w:rPr>
                <w:rFonts w:ascii="Arial" w:cs="Arial" w:eastAsia="Arial" w:hAnsi="Arial"/>
                <w:sz w:val="14"/>
                <w:szCs w:val="14"/>
                <w:color w:val="auto"/>
              </w:rPr>
              <w:t>Other</w:t>
            </w:r>
          </w:p>
        </w:tc>
        <w:tc>
          <w:tcPr>
            <w:tcW w:w="720" w:type="dxa"/>
            <w:vAlign w:val="bottom"/>
          </w:tcPr>
          <w:p>
            <w:pPr>
              <w:jc w:val="right"/>
              <w:spacing w:after="0"/>
              <w:rPr>
                <w:sz w:val="20"/>
                <w:szCs w:val="20"/>
                <w:color w:val="auto"/>
              </w:rPr>
            </w:pPr>
            <w:r>
              <w:rPr>
                <w:rFonts w:ascii="Arial" w:cs="Arial" w:eastAsia="Arial" w:hAnsi="Arial"/>
                <w:sz w:val="14"/>
                <w:szCs w:val="14"/>
                <w:color w:val="auto"/>
              </w:rPr>
              <w:t>349</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10.8 %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12.2 %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706</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11.4 %</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451</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12.1 %</w:t>
            </w:r>
          </w:p>
        </w:tc>
        <w:tc>
          <w:tcPr>
            <w:tcW w:w="0" w:type="dxa"/>
            <w:vAlign w:val="bottom"/>
          </w:tcPr>
          <w:p>
            <w:pPr>
              <w:spacing w:after="0"/>
              <w:rPr>
                <w:sz w:val="1"/>
                <w:szCs w:val="1"/>
                <w:color w:val="auto"/>
              </w:rPr>
            </w:pPr>
          </w:p>
        </w:tc>
      </w:tr>
      <w:tr>
        <w:trPr>
          <w:trHeight w:val="185"/>
        </w:trPr>
        <w:tc>
          <w:tcPr>
            <w:tcW w:w="1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South America</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895</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9.8 %</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14.5 %</w:t>
            </w:r>
          </w:p>
        </w:tc>
        <w:tc>
          <w:tcPr>
            <w:tcW w:w="1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1,780</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11.5 %</w:t>
            </w: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1,259</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15.0 %</w:t>
            </w:r>
          </w:p>
        </w:tc>
        <w:tc>
          <w:tcPr>
            <w:tcW w:w="0" w:type="dxa"/>
            <w:vAlign w:val="bottom"/>
          </w:tcPr>
          <w:p>
            <w:pPr>
              <w:spacing w:after="0"/>
              <w:rPr>
                <w:sz w:val="1"/>
                <w:szCs w:val="1"/>
                <w:color w:val="auto"/>
              </w:rPr>
            </w:pPr>
          </w:p>
        </w:tc>
      </w:tr>
      <w:tr>
        <w:trPr>
          <w:trHeight w:val="178"/>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Total in GM markets</w:t>
            </w:r>
          </w:p>
        </w:tc>
        <w:tc>
          <w:tcPr>
            <w:tcW w:w="720" w:type="dxa"/>
            <w:vAlign w:val="bottom"/>
          </w:tcPr>
          <w:p>
            <w:pPr>
              <w:jc w:val="right"/>
              <w:spacing w:after="0"/>
              <w:rPr>
                <w:sz w:val="20"/>
                <w:szCs w:val="20"/>
                <w:color w:val="auto"/>
              </w:rPr>
            </w:pPr>
            <w:r>
              <w:rPr>
                <w:rFonts w:ascii="Arial" w:cs="Arial" w:eastAsia="Arial" w:hAnsi="Arial"/>
                <w:sz w:val="14"/>
                <w:szCs w:val="14"/>
                <w:color w:val="auto"/>
              </w:rPr>
              <w:t>17,632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1,757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13,492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1,467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10.9 %</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35,195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3,501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9.9 %</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27,502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2,923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10.6 %</w:t>
            </w:r>
          </w:p>
        </w:tc>
        <w:tc>
          <w:tcPr>
            <w:tcW w:w="0" w:type="dxa"/>
            <w:vAlign w:val="bottom"/>
          </w:tcPr>
          <w:p>
            <w:pPr>
              <w:spacing w:after="0"/>
              <w:rPr>
                <w:sz w:val="1"/>
                <w:szCs w:val="1"/>
                <w:color w:val="auto"/>
              </w:rPr>
            </w:pPr>
          </w:p>
        </w:tc>
      </w:tr>
      <w:tr>
        <w:trPr>
          <w:trHeight w:val="191"/>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Europe</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2,595</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8,297</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2"/>
        </w:trPr>
        <w:tc>
          <w:tcPr>
            <w:tcW w:w="1720" w:type="dxa"/>
            <w:vAlign w:val="bottom"/>
          </w:tcPr>
          <w:p>
            <w:pPr>
              <w:ind w:left="20"/>
              <w:spacing w:after="0"/>
              <w:rPr>
                <w:sz w:val="20"/>
                <w:szCs w:val="20"/>
                <w:color w:val="auto"/>
              </w:rPr>
            </w:pPr>
            <w:r>
              <w:rPr>
                <w:rFonts w:ascii="Arial" w:cs="Arial" w:eastAsia="Arial" w:hAnsi="Arial"/>
                <w:sz w:val="14"/>
                <w:szCs w:val="14"/>
                <w:b w:val="1"/>
                <w:bCs w:val="1"/>
                <w:color w:val="auto"/>
              </w:rPr>
              <w:t>Total Worldwide(b)</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21,990</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1,757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8.0 %</w:t>
            </w:r>
          </w:p>
        </w:tc>
        <w:tc>
          <w:tcPr>
            <w:tcW w:w="10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16,087</w:t>
            </w:r>
          </w:p>
        </w:tc>
        <w:tc>
          <w:tcPr>
            <w:tcW w:w="4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9.1 %</w:t>
            </w:r>
          </w:p>
        </w:tc>
        <w:tc>
          <w:tcPr>
            <w:tcW w:w="10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43,492</w:t>
            </w:r>
          </w:p>
        </w:tc>
        <w:tc>
          <w:tcPr>
            <w:tcW w:w="6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8.1 %</w:t>
            </w:r>
          </w:p>
        </w:tc>
        <w:tc>
          <w:tcPr>
            <w:tcW w:w="1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33,809</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8.6 %</w:t>
            </w:r>
          </w:p>
        </w:tc>
        <w:tc>
          <w:tcPr>
            <w:tcW w:w="0" w:type="dxa"/>
            <w:vAlign w:val="bottom"/>
          </w:tcPr>
          <w:p>
            <w:pPr>
              <w:spacing w:after="0"/>
              <w:rPr>
                <w:sz w:val="1"/>
                <w:szCs w:val="1"/>
                <w:color w:val="auto"/>
              </w:rPr>
            </w:pPr>
          </w:p>
        </w:tc>
      </w:tr>
      <w:tr>
        <w:trPr>
          <w:trHeight w:val="20"/>
        </w:trPr>
        <w:tc>
          <w:tcPr>
            <w:tcW w:w="17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7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United States</w:t>
            </w: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720" w:type="dxa"/>
            <w:vAlign w:val="bottom"/>
          </w:tcPr>
          <w:p>
            <w:pPr>
              <w:ind w:left="20"/>
              <w:spacing w:after="0"/>
              <w:rPr>
                <w:sz w:val="20"/>
                <w:szCs w:val="20"/>
                <w:color w:val="auto"/>
              </w:rPr>
            </w:pPr>
            <w:r>
              <w:rPr>
                <w:rFonts w:ascii="Arial" w:cs="Arial" w:eastAsia="Arial" w:hAnsi="Arial"/>
                <w:sz w:val="14"/>
                <w:szCs w:val="14"/>
                <w:color w:val="auto"/>
              </w:rPr>
              <w:t>Cars</w:t>
            </w:r>
          </w:p>
        </w:tc>
        <w:tc>
          <w:tcPr>
            <w:tcW w:w="720" w:type="dxa"/>
            <w:vAlign w:val="bottom"/>
          </w:tcPr>
          <w:p>
            <w:pPr>
              <w:jc w:val="right"/>
              <w:spacing w:after="0"/>
              <w:rPr>
                <w:sz w:val="20"/>
                <w:szCs w:val="20"/>
                <w:color w:val="auto"/>
              </w:rPr>
            </w:pPr>
            <w:r>
              <w:rPr>
                <w:rFonts w:ascii="Arial" w:cs="Arial" w:eastAsia="Arial" w:hAnsi="Arial"/>
                <w:sz w:val="14"/>
                <w:szCs w:val="14"/>
                <w:color w:val="auto"/>
              </w:rPr>
              <w:t>1,028</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661</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5.6 %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1,888</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4.8 %</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1,552</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7.0 %</w:t>
            </w:r>
          </w:p>
        </w:tc>
        <w:tc>
          <w:tcPr>
            <w:tcW w:w="0" w:type="dxa"/>
            <w:vAlign w:val="bottom"/>
          </w:tcPr>
          <w:p>
            <w:pPr>
              <w:spacing w:after="0"/>
              <w:rPr>
                <w:sz w:val="1"/>
                <w:szCs w:val="1"/>
                <w:color w:val="auto"/>
              </w:rPr>
            </w:pPr>
          </w:p>
        </w:tc>
      </w:tr>
      <w:tr>
        <w:trPr>
          <w:trHeight w:val="191"/>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Trucks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w:t>
            </w:r>
          </w:p>
        </w:tc>
        <w:tc>
          <w:tcPr>
            <w:tcW w:w="68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31.2 %</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30.0 %</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2,198</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663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30.1 %</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1,792</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30.4 %</w:t>
            </w:r>
          </w:p>
        </w:tc>
        <w:tc>
          <w:tcPr>
            <w:tcW w:w="0" w:type="dxa"/>
            <w:vAlign w:val="bottom"/>
          </w:tcPr>
          <w:p>
            <w:pPr>
              <w:spacing w:after="0"/>
              <w:rPr>
                <w:sz w:val="1"/>
                <w:szCs w:val="1"/>
                <w:color w:val="auto"/>
              </w:rPr>
            </w:pPr>
          </w:p>
        </w:tc>
      </w:tr>
      <w:tr>
        <w:trPr>
          <w:trHeight w:val="185"/>
        </w:trPr>
        <w:tc>
          <w:tcPr>
            <w:tcW w:w="1720" w:type="dxa"/>
            <w:vAlign w:val="bottom"/>
          </w:tcPr>
          <w:p>
            <w:pPr>
              <w:ind w:left="20"/>
              <w:spacing w:after="0"/>
              <w:rPr>
                <w:sz w:val="20"/>
                <w:szCs w:val="20"/>
                <w:color w:val="auto"/>
              </w:rPr>
            </w:pPr>
            <w:r>
              <w:rPr>
                <w:rFonts w:ascii="Arial" w:cs="Arial" w:eastAsia="Arial" w:hAnsi="Arial"/>
                <w:sz w:val="14"/>
                <w:szCs w:val="14"/>
                <w:color w:val="auto"/>
              </w:rPr>
              <w:t>Crossovers</w:t>
            </w:r>
          </w:p>
        </w:tc>
        <w:tc>
          <w:tcPr>
            <w:tcW w:w="720" w:type="dxa"/>
            <w:vAlign w:val="bottom"/>
          </w:tcPr>
          <w:p>
            <w:pPr>
              <w:jc w:val="right"/>
              <w:spacing w:after="0"/>
              <w:rPr>
                <w:sz w:val="20"/>
                <w:szCs w:val="20"/>
                <w:color w:val="auto"/>
              </w:rPr>
            </w:pPr>
            <w:r>
              <w:rPr>
                <w:rFonts w:ascii="Arial" w:cs="Arial" w:eastAsia="Arial" w:hAnsi="Arial"/>
                <w:sz w:val="14"/>
                <w:szCs w:val="14"/>
                <w:color w:val="auto"/>
              </w:rPr>
              <w:t>2,356</w:t>
            </w: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12.9 %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1,512</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13.4 %</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4,455</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13.0 %</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3,254</w:t>
            </w: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457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14.0 %</w:t>
            </w:r>
          </w:p>
        </w:tc>
        <w:tc>
          <w:tcPr>
            <w:tcW w:w="0" w:type="dxa"/>
            <w:vAlign w:val="bottom"/>
          </w:tcPr>
          <w:p>
            <w:pPr>
              <w:spacing w:after="0"/>
              <w:rPr>
                <w:sz w:val="1"/>
                <w:szCs w:val="1"/>
                <w:color w:val="auto"/>
              </w:rPr>
            </w:pPr>
          </w:p>
        </w:tc>
      </w:tr>
      <w:tr>
        <w:trPr>
          <w:trHeight w:val="210"/>
        </w:trPr>
        <w:tc>
          <w:tcPr>
            <w:tcW w:w="1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United States</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4,523</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3,019</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8,541</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6,598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16.8 %</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China(a)</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72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SGMS</w:t>
            </w:r>
          </w:p>
        </w:tc>
        <w:tc>
          <w:tcPr>
            <w:tcW w:w="7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353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720" w:type="dxa"/>
            <w:vAlign w:val="bottom"/>
          </w:tcPr>
          <w:p>
            <w:pPr>
              <w:ind w:left="20"/>
              <w:spacing w:after="0"/>
              <w:rPr>
                <w:sz w:val="20"/>
                <w:szCs w:val="20"/>
                <w:color w:val="auto"/>
              </w:rPr>
            </w:pPr>
            <w:r>
              <w:rPr>
                <w:rFonts w:ascii="Arial" w:cs="Arial" w:eastAsia="Arial" w:hAnsi="Arial"/>
                <w:sz w:val="14"/>
                <w:szCs w:val="14"/>
                <w:color w:val="auto"/>
              </w:rPr>
              <w:t>SGMW</w:t>
            </w:r>
          </w:p>
        </w:tc>
        <w:tc>
          <w:tcPr>
            <w:tcW w:w="720" w:type="dxa"/>
            <w:vAlign w:val="bottom"/>
          </w:tcPr>
          <w:p>
            <w:pPr>
              <w:spacing w:after="0"/>
              <w:rPr>
                <w:sz w:val="16"/>
                <w:szCs w:val="16"/>
                <w:color w:val="auto"/>
              </w:rPr>
            </w:pPr>
          </w:p>
        </w:tc>
        <w:tc>
          <w:tcPr>
            <w:tcW w:w="680" w:type="dxa"/>
            <w:vAlign w:val="bottom"/>
            <w:gridSpan w:val="3"/>
          </w:tcPr>
          <w:p>
            <w:pPr>
              <w:jc w:val="right"/>
              <w:ind w:right="8"/>
              <w:spacing w:after="0"/>
              <w:rPr>
                <w:sz w:val="20"/>
                <w:szCs w:val="20"/>
                <w:color w:val="auto"/>
              </w:rPr>
            </w:pPr>
            <w:r>
              <w:rPr>
                <w:rFonts w:ascii="Arial" w:cs="Arial" w:eastAsia="Arial" w:hAnsi="Arial"/>
                <w:sz w:val="14"/>
                <w:szCs w:val="14"/>
                <w:color w:val="auto"/>
              </w:rPr>
              <w:t>398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831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color w:val="auto"/>
              </w:rPr>
              <w:t>618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China</w:t>
            </w: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6,646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6,391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13,342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11.5 %</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10,337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11.4 %</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20" w:hanging="313"/>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sales by the Automotive China JVs: SAIC General Motors Sales Co., Ltd. (SGMS) and SAIC GM Wuling Automobile Co., Ltd. (SGMW).</w:t>
      </w:r>
    </w:p>
    <w:p>
      <w:pPr>
        <w:spacing w:after="0" w:line="4" w:lineRule="exact"/>
        <w:rPr>
          <w:rFonts w:ascii="Arial" w:cs="Arial" w:eastAsia="Arial" w:hAnsi="Arial"/>
          <w:sz w:val="16"/>
          <w:szCs w:val="16"/>
          <w:color w:val="auto"/>
        </w:rPr>
      </w:pPr>
    </w:p>
    <w:p>
      <w:pPr>
        <w:ind w:left="340" w:hanging="333"/>
        <w:spacing w:after="0" w:line="255"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Cuba, Iran, North Korea, Sudan and Syria are subject to broad economic sanctions. Accordingly, these countries are excluded from industry sales data and corresponding calculation of market share.</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the six months ended June 30, 2021, we estimate we were the market share leader in North America.</w:t>
      </w:r>
    </w:p>
    <w:p>
      <w:pPr>
        <w:spacing w:after="0" w:line="250"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80" w:type="dxa"/>
            <w:vAlign w:val="bottom"/>
          </w:tcPr>
          <w:p>
            <w:pPr>
              <w:spacing w:after="0"/>
              <w:rPr>
                <w:sz w:val="16"/>
                <w:szCs w:val="16"/>
                <w:color w:val="auto"/>
              </w:rPr>
            </w:pPr>
          </w:p>
        </w:tc>
        <w:tc>
          <w:tcPr>
            <w:tcW w:w="3220" w:type="dxa"/>
            <w:vAlign w:val="bottom"/>
            <w:gridSpan w:val="4"/>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3140" w:type="dxa"/>
            <w:vAlign w:val="bottom"/>
            <w:gridSpan w:val="3"/>
          </w:tcPr>
          <w:p>
            <w:pPr>
              <w:jc w:val="right"/>
              <w:ind w:right="914"/>
              <w:spacing w:after="0"/>
              <w:rPr>
                <w:sz w:val="20"/>
                <w:szCs w:val="20"/>
                <w:color w:val="auto"/>
              </w:rPr>
            </w:pPr>
            <w:r>
              <w:rPr>
                <w:rFonts w:ascii="Arial" w:cs="Arial" w:eastAsia="Arial" w:hAnsi="Arial"/>
                <w:sz w:val="14"/>
                <w:szCs w:val="14"/>
                <w:b w:val="1"/>
                <w:bCs w:val="1"/>
                <w:color w:val="auto"/>
              </w:rPr>
              <w:t>Six Months Ended</w:t>
            </w:r>
          </w:p>
        </w:tc>
      </w:tr>
      <w:tr>
        <w:trPr>
          <w:trHeight w:val="186"/>
        </w:trPr>
        <w:tc>
          <w:tcPr>
            <w:tcW w:w="4880" w:type="dxa"/>
            <w:vAlign w:val="bottom"/>
          </w:tcPr>
          <w:p>
            <w:pPr>
              <w:spacing w:after="0"/>
              <w:rPr>
                <w:sz w:val="16"/>
                <w:szCs w:val="16"/>
                <w:color w:val="auto"/>
              </w:rPr>
            </w:pPr>
          </w:p>
        </w:tc>
        <w:tc>
          <w:tcPr>
            <w:tcW w:w="1620" w:type="dxa"/>
            <w:vAlign w:val="bottom"/>
            <w:tcBorders>
              <w:top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June 30, 2021</w:t>
            </w:r>
          </w:p>
        </w:tc>
        <w:tc>
          <w:tcPr>
            <w:tcW w:w="1500" w:type="dxa"/>
            <w:vAlign w:val="bottom"/>
            <w:tcBorders>
              <w:top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6"/>
                <w:szCs w:val="16"/>
                <w:color w:val="auto"/>
              </w:rPr>
            </w:pPr>
          </w:p>
        </w:tc>
        <w:tc>
          <w:tcPr>
            <w:tcW w:w="1620" w:type="dxa"/>
            <w:vAlign w:val="bottom"/>
            <w:tcBorders>
              <w:top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June 30, 2021</w:t>
            </w:r>
          </w:p>
        </w:tc>
        <w:tc>
          <w:tcPr>
            <w:tcW w:w="1520" w:type="dxa"/>
            <w:vAlign w:val="bottom"/>
            <w:tcBorders>
              <w:top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June 30, 2020</w:t>
            </w:r>
          </w:p>
        </w:tc>
      </w:tr>
      <w:tr>
        <w:trPr>
          <w:trHeight w:val="223"/>
        </w:trPr>
        <w:tc>
          <w:tcPr>
            <w:tcW w:w="4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GMNA</w:t>
            </w:r>
          </w:p>
        </w:tc>
        <w:tc>
          <w:tcPr>
            <w:tcW w:w="150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118</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251</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269</w:t>
            </w:r>
          </w:p>
        </w:tc>
      </w:tr>
      <w:tr>
        <w:trPr>
          <w:trHeight w:val="228"/>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GMI</w:t>
            </w:r>
          </w:p>
        </w:tc>
        <w:tc>
          <w:tcPr>
            <w:tcW w:w="15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126</w:t>
            </w:r>
          </w:p>
        </w:tc>
      </w:tr>
      <w:tr>
        <w:trPr>
          <w:trHeight w:val="247"/>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fleet sales</w:t>
            </w:r>
          </w:p>
        </w:tc>
        <w:tc>
          <w:tcPr>
            <w:tcW w:w="15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395</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Fleet sales as a percentage of total vehicle sales</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r>
      <w:tr>
        <w:trPr>
          <w:trHeight w:val="659"/>
        </w:trPr>
        <w:tc>
          <w:tcPr>
            <w:tcW w:w="4880" w:type="dxa"/>
            <w:vAlign w:val="bottom"/>
          </w:tcPr>
          <w:p>
            <w:pPr>
              <w:spacing w:after="0"/>
              <w:rPr>
                <w:sz w:val="24"/>
                <w:szCs w:val="24"/>
                <w:color w:val="auto"/>
              </w:rPr>
            </w:pPr>
          </w:p>
        </w:tc>
        <w:tc>
          <w:tcPr>
            <w:tcW w:w="1500" w:type="dxa"/>
            <w:vAlign w:val="bottom"/>
          </w:tcPr>
          <w:p>
            <w:pPr>
              <w:jc w:val="right"/>
              <w:ind w:right="576"/>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6"/>
        </w:trPr>
        <w:tc>
          <w:tcPr>
            <w:tcW w:w="48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64" w:lineRule="exact"/>
        <w:rPr>
          <w:sz w:val="20"/>
          <w:szCs w:val="20"/>
          <w:color w:val="auto"/>
        </w:rPr>
      </w:pPr>
    </w:p>
    <w:p>
      <w:pPr>
        <w:jc w:val="both"/>
        <w:ind w:firstLine="161"/>
        <w:spacing w:after="0" w:line="235" w:lineRule="auto"/>
        <w:rPr>
          <w:sz w:val="20"/>
          <w:szCs w:val="20"/>
          <w:color w:val="auto"/>
        </w:rPr>
      </w:pPr>
      <w:r>
        <w:rPr>
          <w:rFonts w:ascii="Arial" w:cs="Arial" w:eastAsia="Arial" w:hAnsi="Arial"/>
          <w:sz w:val="17"/>
          <w:szCs w:val="17"/>
          <w:b w:val="1"/>
          <w:bCs w:val="1"/>
          <w:i w:val="1"/>
          <w:iCs w:val="1"/>
          <w:color w:val="auto"/>
        </w:rPr>
        <w:t xml:space="preserve">GM Financial </w:t>
      </w:r>
      <w:r>
        <w:rPr>
          <w:rFonts w:ascii="Arial" w:cs="Arial" w:eastAsia="Arial" w:hAnsi="Arial"/>
          <w:sz w:val="17"/>
          <w:szCs w:val="17"/>
          <w:color w:val="auto"/>
        </w:rPr>
        <w:t>We believe that offering a comprehensive suite of financing products will generate incremental sales of our vehicles, drive incremental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GM Financial earnings and help support our sales throughout various economic cycles. GM Financial's leasing program is exposed to residual values, which are heavily dependent on used vehicle prices. Due to high used vehicle prices, for the three and six months ended June 30, 2021 compared to the same periods in 2020, prices on leased vehicles at termination generally exceeded their contractual residual values, which resulted in increased lessee or grounding dealer purchases of the leased vehicles upon lease termination. The high used vehicle prices were driven by continued low new vehicle inventory, compounded by the global semiconductor supply shortage impacting automotive production, and strong demand for new and used vehicles driven by economic recovery and government stimulus. For the full year 2021, GM Financial expects used vehicle prices to be higher than 2020 levels, primarily due to sustained low new vehicle inventory and an economic recovery driving continued strong demand for new and used vehicles. The increase in used vehicle prices resulted in gains on terminations of leased vehicles of $0.8 billion and $1.2 billion in GM Financial interest, operating and other expenses for the three and six months ended June 30, 2021, compared to gains of $0.1 billion and $0.2 billion in the corresponding periods in 2020. The following table summarizes the estimated residual value based on GM Financial's most recent estimates and the number of units included in GM Financial Equipment on operating leases, net by vehicle type (units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June 30, 2021</w:t>
            </w:r>
          </w:p>
        </w:tc>
        <w:tc>
          <w:tcPr>
            <w:tcW w:w="1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5"/>
              </w:rPr>
              <w:t>December 31, 2020</w:t>
            </w:r>
          </w:p>
        </w:tc>
        <w:tc>
          <w:tcPr>
            <w:tcW w:w="1380" w:type="dxa"/>
            <w:vAlign w:val="bottom"/>
            <w:tcBorders>
              <w:bottom w:val="single" w:sz="8" w:color="auto"/>
            </w:tcBorders>
          </w:tcPr>
          <w:p>
            <w:pPr>
              <w:spacing w:after="0"/>
              <w:rPr>
                <w:sz w:val="16"/>
                <w:szCs w:val="16"/>
                <w:color w:val="auto"/>
              </w:rPr>
            </w:pPr>
          </w:p>
        </w:tc>
      </w:tr>
      <w:tr>
        <w:trPr>
          <w:trHeight w:val="186"/>
        </w:trPr>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Residual Value</w:t>
            </w:r>
          </w:p>
        </w:tc>
        <w:tc>
          <w:tcPr>
            <w:tcW w:w="1320" w:type="dxa"/>
            <w:vAlign w:val="bottom"/>
            <w:gridSpan w:val="2"/>
          </w:tcPr>
          <w:p>
            <w:pPr>
              <w:ind w:left="440"/>
              <w:spacing w:after="0"/>
              <w:rPr>
                <w:sz w:val="20"/>
                <w:szCs w:val="20"/>
                <w:color w:val="auto"/>
              </w:rPr>
            </w:pPr>
            <w:r>
              <w:rPr>
                <w:rFonts w:ascii="Arial" w:cs="Arial" w:eastAsia="Arial" w:hAnsi="Arial"/>
                <w:sz w:val="14"/>
                <w:szCs w:val="14"/>
                <w:b w:val="1"/>
                <w:bCs w:val="1"/>
                <w:color w:val="auto"/>
              </w:rPr>
              <w:t>Units</w:t>
            </w:r>
          </w:p>
        </w:tc>
        <w:tc>
          <w:tcPr>
            <w:tcW w:w="1380" w:type="dxa"/>
            <w:vAlign w:val="bottom"/>
          </w:tcPr>
          <w:p>
            <w:pPr>
              <w:jc w:val="right"/>
              <w:ind w:right="253"/>
              <w:spacing w:after="0"/>
              <w:rPr>
                <w:sz w:val="20"/>
                <w:szCs w:val="20"/>
                <w:color w:val="auto"/>
              </w:rPr>
            </w:pPr>
            <w:r>
              <w:rPr>
                <w:rFonts w:ascii="Arial" w:cs="Arial" w:eastAsia="Arial" w:hAnsi="Arial"/>
                <w:sz w:val="14"/>
                <w:szCs w:val="14"/>
                <w:b w:val="1"/>
                <w:bCs w:val="1"/>
                <w:color w:val="auto"/>
              </w:rPr>
              <w:t>Percentage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Residual Value</w:t>
            </w:r>
          </w:p>
        </w:tc>
        <w:tc>
          <w:tcPr>
            <w:tcW w:w="1340" w:type="dxa"/>
            <w:vAlign w:val="bottom"/>
            <w:gridSpan w:val="2"/>
          </w:tcPr>
          <w:p>
            <w:pPr>
              <w:ind w:left="460"/>
              <w:spacing w:after="0"/>
              <w:rPr>
                <w:sz w:val="20"/>
                <w:szCs w:val="20"/>
                <w:color w:val="auto"/>
              </w:rPr>
            </w:pPr>
            <w:r>
              <w:rPr>
                <w:rFonts w:ascii="Arial" w:cs="Arial" w:eastAsia="Arial" w:hAnsi="Arial"/>
                <w:sz w:val="14"/>
                <w:szCs w:val="14"/>
                <w:b w:val="1"/>
                <w:bCs w:val="1"/>
                <w:color w:val="auto"/>
              </w:rPr>
              <w:t>Units</w:t>
            </w:r>
          </w:p>
        </w:tc>
        <w:tc>
          <w:tcPr>
            <w:tcW w:w="1380" w:type="dxa"/>
            <w:vAlign w:val="bottom"/>
          </w:tcPr>
          <w:p>
            <w:pPr>
              <w:jc w:val="right"/>
              <w:ind w:right="273"/>
              <w:spacing w:after="0"/>
              <w:rPr>
                <w:sz w:val="20"/>
                <w:szCs w:val="20"/>
                <w:color w:val="auto"/>
              </w:rPr>
            </w:pPr>
            <w:r>
              <w:rPr>
                <w:rFonts w:ascii="Arial" w:cs="Arial" w:eastAsia="Arial" w:hAnsi="Arial"/>
                <w:sz w:val="14"/>
                <w:szCs w:val="14"/>
                <w:b w:val="1"/>
                <w:bCs w:val="1"/>
                <w:color w:val="auto"/>
              </w:rPr>
              <w:t>Percentage</w:t>
            </w:r>
          </w:p>
        </w:tc>
      </w:tr>
      <w:tr>
        <w:trPr>
          <w:trHeight w:val="223"/>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Crossovers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16,835</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16,334</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65.5 %</w:t>
            </w:r>
          </w:p>
        </w:tc>
      </w:tr>
      <w:tr>
        <w:trPr>
          <w:trHeight w:val="228"/>
        </w:trPr>
        <w:tc>
          <w:tcPr>
            <w:tcW w:w="3040" w:type="dxa"/>
            <w:vAlign w:val="bottom"/>
          </w:tcPr>
          <w:p>
            <w:pPr>
              <w:ind w:left="20"/>
              <w:spacing w:after="0"/>
              <w:rPr>
                <w:sz w:val="20"/>
                <w:szCs w:val="20"/>
                <w:color w:val="auto"/>
              </w:rPr>
            </w:pPr>
            <w:r>
              <w:rPr>
                <w:rFonts w:ascii="Arial" w:cs="Arial" w:eastAsia="Arial" w:hAnsi="Arial"/>
                <w:sz w:val="18"/>
                <w:szCs w:val="18"/>
                <w:color w:val="auto"/>
              </w:rPr>
              <w:t>Trucks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7,918</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19.1 %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7,455</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18.7 %</w:t>
            </w:r>
          </w:p>
        </w:tc>
      </w:tr>
      <w:tr>
        <w:trPr>
          <w:trHeight w:val="228"/>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SUVs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28"/>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Cars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8.2 %</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9.5 %</w:t>
            </w:r>
          </w:p>
        </w:tc>
      </w:tr>
      <w:tr>
        <w:trPr>
          <w:trHeight w:val="247"/>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29,876</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GM Financial's penetration of our retail sales in the U.S. was 43% in the six months ended June 30, 2021 and 49% in the corresponding period in 2020. Penetration levels vary depending on incentive financing programs available and competing third-party financing products in the market. GM Financial's prime loan originations as a percentage of total loan originations in North America decreased to 71% in the six months ended June 30, 2021 from 74% in the six months ended June 30, 2020. In the six months ended June 30, 2021, GM Financial's revenue consisted of leased vehicle income of 68%, retail finance charge income of 28% and commercial finance charge income of 2%.</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Consolidated Results </w:t>
      </w:r>
      <w:r>
        <w:rPr>
          <w:rFonts w:ascii="Arial" w:cs="Arial" w:eastAsia="Arial" w:hAnsi="Arial"/>
          <w:sz w:val="17"/>
          <w:szCs w:val="17"/>
          <w:color w:val="auto"/>
        </w:rPr>
        <w:t>We review changes in our results of operations under five categories: volume, mix, price, cost and other. Volume measures the impact</w:t>
      </w:r>
      <w:r>
        <w:rPr>
          <w:rFonts w:ascii="Arial" w:cs="Arial" w:eastAsia="Arial" w:hAnsi="Arial"/>
          <w:sz w:val="17"/>
          <w:szCs w:val="17"/>
          <w:b w:val="1"/>
          <w:bCs w:val="1"/>
          <w:color w:val="auto"/>
        </w:rPr>
        <w:t xml:space="preserve"> </w:t>
      </w:r>
      <w:r>
        <w:rPr>
          <w:rFonts w:ascii="Arial" w:cs="Arial" w:eastAsia="Arial" w:hAnsi="Arial"/>
          <w:sz w:val="17"/>
          <w:szCs w:val="17"/>
          <w:color w:val="auto"/>
        </w:rPr>
        <w:t>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 and (3) non-vehicle related activity. Other primarily includes foreign exchange and non-vehicle related automotive revenues as well as equity income or loss from our nonconsolidated affiliates. Refer to the regional sections of this MD&amp;A for additional information.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right="101"/>
              <w:spacing w:after="0"/>
              <w:rPr>
                <w:sz w:val="20"/>
                <w:szCs w:val="20"/>
                <w:color w:val="auto"/>
              </w:rPr>
            </w:pPr>
            <w:r>
              <w:rPr>
                <w:rFonts w:ascii="Arial" w:cs="Arial" w:eastAsia="Arial" w:hAnsi="Arial"/>
                <w:sz w:val="14"/>
                <w:szCs w:val="14"/>
                <w:b w:val="1"/>
                <w:bCs w:val="1"/>
                <w:color w:val="auto"/>
                <w:w w:val="91"/>
              </w:rPr>
              <w:t>Variance Due To</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7"/>
                <w:szCs w:val="17"/>
                <w:color w:val="auto"/>
              </w:rPr>
            </w:pPr>
          </w:p>
        </w:tc>
        <w:tc>
          <w:tcPr>
            <w:tcW w:w="104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Volume</w:t>
            </w:r>
          </w:p>
        </w:tc>
        <w:tc>
          <w:tcPr>
            <w:tcW w:w="200" w:type="dxa"/>
            <w:vAlign w:val="bottom"/>
          </w:tcPr>
          <w:p>
            <w:pPr>
              <w:spacing w:after="0"/>
              <w:rPr>
                <w:sz w:val="17"/>
                <w:szCs w:val="17"/>
                <w:color w:val="auto"/>
              </w:rPr>
            </w:pPr>
          </w:p>
        </w:tc>
        <w:tc>
          <w:tcPr>
            <w:tcW w:w="600" w:type="dxa"/>
            <w:vAlign w:val="bottom"/>
          </w:tcPr>
          <w:p>
            <w:pPr>
              <w:jc w:val="right"/>
              <w:ind w:right="183"/>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17"/>
                <w:szCs w:val="17"/>
                <w:color w:val="auto"/>
              </w:rPr>
            </w:pPr>
          </w:p>
        </w:tc>
        <w:tc>
          <w:tcPr>
            <w:tcW w:w="600" w:type="dxa"/>
            <w:vAlign w:val="bottom"/>
          </w:tcPr>
          <w:p>
            <w:pPr>
              <w:jc w:val="right"/>
              <w:ind w:right="141"/>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7"/>
                <w:szCs w:val="17"/>
                <w:color w:val="auto"/>
              </w:rPr>
            </w:pPr>
          </w:p>
        </w:tc>
        <w:tc>
          <w:tcPr>
            <w:tcW w:w="580" w:type="dxa"/>
            <w:vAlign w:val="bottom"/>
          </w:tcPr>
          <w:p>
            <w:pPr>
              <w:jc w:val="right"/>
              <w:ind w:right="10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82"/>
        </w:trPr>
        <w:tc>
          <w:tcPr>
            <w:tcW w:w="25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3"/>
          </w:tcPr>
          <w:p>
            <w:pPr>
              <w:jc w:val="center"/>
              <w:ind w:right="81"/>
              <w:spacing w:after="0"/>
              <w:rPr>
                <w:sz w:val="20"/>
                <w:szCs w:val="20"/>
                <w:color w:val="auto"/>
              </w:rPr>
            </w:pPr>
            <w:r>
              <w:rPr>
                <w:rFonts w:ascii="Arial" w:cs="Arial" w:eastAsia="Arial" w:hAnsi="Arial"/>
                <w:sz w:val="14"/>
                <w:szCs w:val="14"/>
                <w:b w:val="1"/>
                <w:bCs w:val="1"/>
                <w:color w:val="auto"/>
                <w:w w:val="93"/>
              </w:rPr>
              <w:t>(Dollars in billions)</w:t>
            </w:r>
          </w:p>
        </w:tc>
        <w:tc>
          <w:tcPr>
            <w:tcW w:w="2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16,328</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89"/>
              </w:rPr>
              <w:t>8.6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GMI</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66.5 %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141"/>
              <w:spacing w:after="0"/>
              <w:rPr>
                <w:sz w:val="20"/>
                <w:szCs w:val="20"/>
                <w:color w:val="auto"/>
              </w:rPr>
            </w:pPr>
            <w:r>
              <w:rPr>
                <w:rFonts w:ascii="Arial" w:cs="Arial" w:eastAsia="Arial" w:hAnsi="Arial"/>
                <w:sz w:val="16"/>
                <w:szCs w:val="16"/>
                <w:color w:val="auto"/>
                <w:w w:val="89"/>
              </w:rPr>
              <w:t>0.4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3"/>
              <w:spacing w:after="0"/>
              <w:rPr>
                <w:sz w:val="20"/>
                <w:szCs w:val="20"/>
                <w:color w:val="auto"/>
              </w:rPr>
            </w:pPr>
            <w:r>
              <w:rPr>
                <w:rFonts w:ascii="Arial" w:cs="Arial" w:eastAsia="Arial" w:hAnsi="Arial"/>
                <w:sz w:val="16"/>
                <w:szCs w:val="16"/>
                <w:color w:val="auto"/>
              </w:rPr>
              <w:t>0.3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0.2</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6"/>
        </w:trPr>
        <w:tc>
          <w:tcPr>
            <w:tcW w:w="2540" w:type="dxa"/>
            <w:vAlign w:val="bottom"/>
          </w:tcPr>
          <w:p>
            <w:pPr>
              <w:ind w:left="20"/>
              <w:spacing w:after="0"/>
              <w:rPr>
                <w:sz w:val="20"/>
                <w:szCs w:val="20"/>
                <w:color w:val="auto"/>
              </w:rPr>
            </w:pPr>
            <w:r>
              <w:rPr>
                <w:rFonts w:ascii="Arial" w:cs="Arial" w:eastAsia="Arial" w:hAnsi="Arial"/>
                <w:sz w:val="16"/>
                <w:szCs w:val="16"/>
                <w:color w:val="auto"/>
              </w:rPr>
              <w:t>Automotive</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30,745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13,361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17,384</w:t>
            </w: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ind w:left="600"/>
              <w:spacing w:after="0"/>
              <w:rPr>
                <w:sz w:val="20"/>
                <w:szCs w:val="20"/>
                <w:color w:val="auto"/>
              </w:rPr>
            </w:pPr>
            <w:r>
              <w:rPr>
                <w:rFonts w:ascii="Arial" w:cs="Arial" w:eastAsia="Arial" w:hAnsi="Arial"/>
                <w:sz w:val="16"/>
                <w:szCs w:val="16"/>
                <w:color w:val="auto"/>
              </w:rPr>
              <w:t>n.m.</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141"/>
              <w:spacing w:after="0"/>
              <w:rPr>
                <w:sz w:val="20"/>
                <w:szCs w:val="20"/>
                <w:color w:val="auto"/>
              </w:rPr>
            </w:pPr>
            <w:r>
              <w:rPr>
                <w:rFonts w:ascii="Arial" w:cs="Arial" w:eastAsia="Arial" w:hAnsi="Arial"/>
                <w:sz w:val="16"/>
                <w:szCs w:val="16"/>
                <w:color w:val="auto"/>
                <w:w w:val="89"/>
              </w:rPr>
              <w:t>9.0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3"/>
              <w:spacing w:after="0"/>
              <w:rPr>
                <w:sz w:val="20"/>
                <w:szCs w:val="20"/>
                <w:color w:val="auto"/>
              </w:rPr>
            </w:pPr>
            <w:r>
              <w:rPr>
                <w:rFonts w:ascii="Arial" w:cs="Arial" w:eastAsia="Arial" w:hAnsi="Arial"/>
                <w:sz w:val="16"/>
                <w:szCs w:val="16"/>
                <w:color w:val="auto"/>
              </w:rPr>
              <w:t>4.9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2.1</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Cruise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GM Financial</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0.1 %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Eliminations/reclassifications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14.7 %</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540" w:type="dxa"/>
            <w:vAlign w:val="bottom"/>
          </w:tcPr>
          <w:p>
            <w:pPr>
              <w:ind w:left="20"/>
              <w:spacing w:after="0"/>
              <w:rPr>
                <w:sz w:val="20"/>
                <w:szCs w:val="20"/>
                <w:color w:val="auto"/>
              </w:rPr>
            </w:pPr>
            <w:r>
              <w:rPr>
                <w:rFonts w:ascii="Arial" w:cs="Arial" w:eastAsia="Arial" w:hAnsi="Arial"/>
                <w:sz w:val="16"/>
                <w:szCs w:val="16"/>
                <w:color w:val="auto"/>
              </w:rPr>
              <w:t>Total net sales and revenue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34,167</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16,778</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17,389</w:t>
            </w:r>
          </w:p>
        </w:tc>
        <w:tc>
          <w:tcPr>
            <w:tcW w:w="100" w:type="dxa"/>
            <w:vAlign w:val="bottom"/>
          </w:tcPr>
          <w:p>
            <w:pPr>
              <w:spacing w:after="0"/>
              <w:rPr>
                <w:sz w:val="21"/>
                <w:szCs w:val="21"/>
                <w:color w:val="auto"/>
              </w:rPr>
            </w:pPr>
          </w:p>
        </w:tc>
        <w:tc>
          <w:tcPr>
            <w:tcW w:w="1040" w:type="dxa"/>
            <w:vAlign w:val="bottom"/>
            <w:tcBorders>
              <w:right w:val="single" w:sz="8" w:color="auto"/>
            </w:tcBorders>
            <w:gridSpan w:val="2"/>
          </w:tcPr>
          <w:p>
            <w:pPr>
              <w:ind w:left="600"/>
              <w:spacing w:after="0"/>
              <w:rPr>
                <w:sz w:val="20"/>
                <w:szCs w:val="20"/>
                <w:color w:val="auto"/>
              </w:rPr>
            </w:pPr>
            <w:r>
              <w:rPr>
                <w:rFonts w:ascii="Arial" w:cs="Arial" w:eastAsia="Arial" w:hAnsi="Arial"/>
                <w:sz w:val="16"/>
                <w:szCs w:val="16"/>
                <w:color w:val="auto"/>
              </w:rPr>
              <w:t>n.m.</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141"/>
              <w:spacing w:after="0"/>
              <w:rPr>
                <w:sz w:val="20"/>
                <w:szCs w:val="20"/>
                <w:color w:val="auto"/>
              </w:rPr>
            </w:pPr>
            <w:r>
              <w:rPr>
                <w:rFonts w:ascii="Arial" w:cs="Arial" w:eastAsia="Arial" w:hAnsi="Arial"/>
                <w:sz w:val="16"/>
                <w:szCs w:val="16"/>
                <w:color w:val="auto"/>
                <w:w w:val="89"/>
              </w:rPr>
              <w:t>9.0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3"/>
              <w:spacing w:after="0"/>
              <w:rPr>
                <w:sz w:val="20"/>
                <w:szCs w:val="20"/>
                <w:color w:val="auto"/>
              </w:rPr>
            </w:pPr>
            <w:r>
              <w:rPr>
                <w:rFonts w:ascii="Arial" w:cs="Arial" w:eastAsia="Arial" w:hAnsi="Arial"/>
                <w:sz w:val="16"/>
                <w:szCs w:val="16"/>
                <w:color w:val="auto"/>
              </w:rPr>
              <w:t>4.9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2.1</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74"/>
        </w:trPr>
        <w:tc>
          <w:tcPr>
            <w:tcW w:w="2540" w:type="dxa"/>
            <w:vAlign w:val="bottom"/>
          </w:tcPr>
          <w:p>
            <w:pPr>
              <w:spacing w:after="0"/>
              <w:rPr>
                <w:sz w:val="20"/>
                <w:szCs w:val="20"/>
                <w:color w:val="auto"/>
              </w:rPr>
            </w:pPr>
            <w:r>
              <w:rPr>
                <w:rFonts w:ascii="Arial" w:cs="Arial" w:eastAsia="Arial" w:hAnsi="Arial"/>
                <w:sz w:val="18"/>
                <w:szCs w:val="18"/>
                <w:color w:val="auto"/>
              </w:rPr>
              <w:t>________</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540" w:type="dxa"/>
            <w:vAlign w:val="bottom"/>
          </w:tcPr>
          <w:p>
            <w:pPr>
              <w:spacing w:after="0"/>
              <w:rPr>
                <w:sz w:val="20"/>
                <w:szCs w:val="20"/>
                <w:color w:val="auto"/>
              </w:rPr>
            </w:pPr>
            <w:r>
              <w:rPr>
                <w:rFonts w:ascii="Arial" w:cs="Arial" w:eastAsia="Arial" w:hAnsi="Arial"/>
                <w:sz w:val="16"/>
                <w:szCs w:val="16"/>
                <w:color w:val="auto"/>
              </w:rPr>
              <w:t>n.m. = not meaningful</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0" w:type="dxa"/>
            <w:vAlign w:val="bottom"/>
            <w:gridSpan w:val="4"/>
            <w:vMerge w:val="restart"/>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vMerge w:val="restart"/>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3"/>
            <w:vMerge w:val="restart"/>
          </w:tcPr>
          <w:p>
            <w:pPr>
              <w:jc w:val="center"/>
              <w:ind w:right="101"/>
              <w:spacing w:after="0"/>
              <w:rPr>
                <w:sz w:val="20"/>
                <w:szCs w:val="20"/>
                <w:color w:val="auto"/>
              </w:rPr>
            </w:pPr>
            <w:r>
              <w:rPr>
                <w:rFonts w:ascii="Arial" w:cs="Arial" w:eastAsia="Arial" w:hAnsi="Arial"/>
                <w:sz w:val="14"/>
                <w:szCs w:val="14"/>
                <w:b w:val="1"/>
                <w:bCs w:val="1"/>
                <w:color w:val="auto"/>
                <w:w w:val="91"/>
              </w:rPr>
              <w:t>Variance Due To</w:t>
            </w: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7"/>
                <w:szCs w:val="17"/>
                <w:color w:val="auto"/>
              </w:rPr>
            </w:pPr>
          </w:p>
        </w:tc>
        <w:tc>
          <w:tcPr>
            <w:tcW w:w="1040" w:type="dxa"/>
            <w:vAlign w:val="bottom"/>
          </w:tcPr>
          <w:p>
            <w:pPr>
              <w:jc w:val="center"/>
              <w:ind w:right="61"/>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Volume</w:t>
            </w:r>
          </w:p>
        </w:tc>
        <w:tc>
          <w:tcPr>
            <w:tcW w:w="200" w:type="dxa"/>
            <w:vAlign w:val="bottom"/>
          </w:tcPr>
          <w:p>
            <w:pPr>
              <w:spacing w:after="0"/>
              <w:rPr>
                <w:sz w:val="17"/>
                <w:szCs w:val="17"/>
                <w:color w:val="auto"/>
              </w:rPr>
            </w:pPr>
          </w:p>
        </w:tc>
        <w:tc>
          <w:tcPr>
            <w:tcW w:w="600" w:type="dxa"/>
            <w:vAlign w:val="bottom"/>
          </w:tcPr>
          <w:p>
            <w:pPr>
              <w:jc w:val="right"/>
              <w:ind w:right="183"/>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17"/>
                <w:szCs w:val="17"/>
                <w:color w:val="auto"/>
              </w:rPr>
            </w:pPr>
          </w:p>
        </w:tc>
        <w:tc>
          <w:tcPr>
            <w:tcW w:w="600" w:type="dxa"/>
            <w:vAlign w:val="bottom"/>
          </w:tcPr>
          <w:p>
            <w:pPr>
              <w:jc w:val="right"/>
              <w:ind w:right="141"/>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7"/>
                <w:szCs w:val="17"/>
                <w:color w:val="auto"/>
              </w:rPr>
            </w:pPr>
          </w:p>
        </w:tc>
        <w:tc>
          <w:tcPr>
            <w:tcW w:w="580" w:type="dxa"/>
            <w:vAlign w:val="bottom"/>
          </w:tcPr>
          <w:p>
            <w:pPr>
              <w:jc w:val="right"/>
              <w:ind w:right="10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82"/>
        </w:trPr>
        <w:tc>
          <w:tcPr>
            <w:tcW w:w="25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3"/>
          </w:tcPr>
          <w:p>
            <w:pPr>
              <w:jc w:val="center"/>
              <w:ind w:right="81"/>
              <w:spacing w:after="0"/>
              <w:rPr>
                <w:sz w:val="20"/>
                <w:szCs w:val="20"/>
                <w:color w:val="auto"/>
              </w:rPr>
            </w:pPr>
            <w:r>
              <w:rPr>
                <w:rFonts w:ascii="Arial" w:cs="Arial" w:eastAsia="Arial" w:hAnsi="Arial"/>
                <w:sz w:val="14"/>
                <w:szCs w:val="14"/>
                <w:b w:val="1"/>
                <w:bCs w:val="1"/>
                <w:color w:val="auto"/>
                <w:w w:val="93"/>
              </w:rPr>
              <w:t>(Dollars in billions)</w:t>
            </w:r>
          </w:p>
        </w:tc>
        <w:tc>
          <w:tcPr>
            <w:tcW w:w="2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44.0 %</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89"/>
              </w:rPr>
              <w:t>5.3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3.7</w:t>
            </w:r>
          </w:p>
        </w:tc>
        <w:tc>
          <w:tcPr>
            <w:tcW w:w="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GMI</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18.6 %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121"/>
              <w:spacing w:after="0"/>
              <w:rPr>
                <w:sz w:val="20"/>
                <w:szCs w:val="20"/>
                <w:color w:val="auto"/>
              </w:rPr>
            </w:pPr>
            <w:r>
              <w:rPr>
                <w:rFonts w:ascii="Arial" w:cs="Arial" w:eastAsia="Arial" w:hAnsi="Arial"/>
                <w:sz w:val="16"/>
                <w:szCs w:val="16"/>
                <w:color w:val="auto"/>
                <w:w w:val="91"/>
              </w:rPr>
              <w:t>(0.1)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3"/>
              <w:spacing w:after="0"/>
              <w:rPr>
                <w:sz w:val="20"/>
                <w:szCs w:val="20"/>
                <w:color w:val="auto"/>
              </w:rPr>
            </w:pPr>
            <w:r>
              <w:rPr>
                <w:rFonts w:ascii="Arial" w:cs="Arial" w:eastAsia="Arial" w:hAnsi="Arial"/>
                <w:sz w:val="16"/>
                <w:szCs w:val="16"/>
                <w:color w:val="auto"/>
              </w:rPr>
              <w:t>0.5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0.5</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6"/>
        </w:trPr>
        <w:tc>
          <w:tcPr>
            <w:tcW w:w="2540" w:type="dxa"/>
            <w:vAlign w:val="bottom"/>
          </w:tcPr>
          <w:p>
            <w:pPr>
              <w:ind w:left="20"/>
              <w:spacing w:after="0"/>
              <w:rPr>
                <w:sz w:val="20"/>
                <w:szCs w:val="20"/>
                <w:color w:val="auto"/>
              </w:rPr>
            </w:pPr>
            <w:r>
              <w:rPr>
                <w:rFonts w:ascii="Arial" w:cs="Arial" w:eastAsia="Arial" w:hAnsi="Arial"/>
                <w:sz w:val="16"/>
                <w:szCs w:val="16"/>
                <w:color w:val="auto"/>
              </w:rPr>
              <w:t>Automotive</w:t>
            </w: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59,807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42,510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17,297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40.7 %</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141"/>
              <w:spacing w:after="0"/>
              <w:rPr>
                <w:sz w:val="20"/>
                <w:szCs w:val="20"/>
                <w:color w:val="auto"/>
              </w:rPr>
            </w:pPr>
            <w:r>
              <w:rPr>
                <w:rFonts w:ascii="Arial" w:cs="Arial" w:eastAsia="Arial" w:hAnsi="Arial"/>
                <w:sz w:val="16"/>
                <w:szCs w:val="16"/>
                <w:color w:val="auto"/>
                <w:w w:val="89"/>
              </w:rPr>
              <w:t>5.2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3"/>
              <w:spacing w:after="0"/>
              <w:rPr>
                <w:sz w:val="20"/>
                <w:szCs w:val="20"/>
                <w:color w:val="auto"/>
              </w:rPr>
            </w:pPr>
            <w:r>
              <w:rPr>
                <w:rFonts w:ascii="Arial" w:cs="Arial" w:eastAsia="Arial" w:hAnsi="Arial"/>
                <w:sz w:val="16"/>
                <w:szCs w:val="16"/>
                <w:color w:val="auto"/>
              </w:rPr>
              <w:t>6.7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4.2</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Cruise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GM Financial</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6,833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Eliminations/reclassifications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540" w:type="dxa"/>
            <w:vAlign w:val="bottom"/>
          </w:tcPr>
          <w:p>
            <w:pPr>
              <w:ind w:left="20"/>
              <w:spacing w:after="0"/>
              <w:rPr>
                <w:sz w:val="20"/>
                <w:szCs w:val="20"/>
                <w:color w:val="auto"/>
              </w:rPr>
            </w:pPr>
            <w:r>
              <w:rPr>
                <w:rFonts w:ascii="Arial" w:cs="Arial" w:eastAsia="Arial" w:hAnsi="Arial"/>
                <w:sz w:val="16"/>
                <w:szCs w:val="16"/>
                <w:color w:val="auto"/>
              </w:rPr>
              <w:t>Total net sales and revenue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66,641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49,487</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34.7 %</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141"/>
              <w:spacing w:after="0"/>
              <w:rPr>
                <w:sz w:val="20"/>
                <w:szCs w:val="20"/>
                <w:color w:val="auto"/>
              </w:rPr>
            </w:pPr>
            <w:r>
              <w:rPr>
                <w:rFonts w:ascii="Arial" w:cs="Arial" w:eastAsia="Arial" w:hAnsi="Arial"/>
                <w:sz w:val="16"/>
                <w:szCs w:val="16"/>
                <w:color w:val="auto"/>
                <w:w w:val="89"/>
              </w:rPr>
              <w:t>5.2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3"/>
              <w:spacing w:after="0"/>
              <w:rPr>
                <w:sz w:val="20"/>
                <w:szCs w:val="20"/>
                <w:color w:val="auto"/>
              </w:rPr>
            </w:pPr>
            <w:r>
              <w:rPr>
                <w:rFonts w:ascii="Arial" w:cs="Arial" w:eastAsia="Arial" w:hAnsi="Arial"/>
                <w:sz w:val="16"/>
                <w:szCs w:val="16"/>
                <w:color w:val="auto"/>
              </w:rPr>
              <w:t>6.7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4.2</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Refer to the regional sections of this MD&amp;A for additional information on volume, mix and price.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 and Other Cost of Sales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80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82"/>
              <w:spacing w:after="0"/>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Variance Due To</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7"/>
                <w:szCs w:val="17"/>
                <w:color w:val="auto"/>
              </w:rPr>
            </w:pPr>
          </w:p>
        </w:tc>
        <w:tc>
          <w:tcPr>
            <w:tcW w:w="1040" w:type="dxa"/>
            <w:vAlign w:val="bottom"/>
          </w:tcPr>
          <w:p>
            <w:pPr>
              <w:jc w:val="right"/>
              <w:ind w:right="82"/>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02"/>
              <w:spacing w:after="0"/>
              <w:rPr>
                <w:sz w:val="20"/>
                <w:szCs w:val="20"/>
                <w:color w:val="auto"/>
              </w:rPr>
            </w:pPr>
            <w:r>
              <w:rPr>
                <w:rFonts w:ascii="Arial" w:cs="Arial" w:eastAsia="Arial" w:hAnsi="Arial"/>
                <w:sz w:val="14"/>
                <w:szCs w:val="14"/>
                <w:b w:val="1"/>
                <w:bCs w:val="1"/>
                <w:color w:val="auto"/>
                <w:w w:val="90"/>
              </w:rPr>
              <w:t>Volume</w:t>
            </w:r>
          </w:p>
        </w:tc>
        <w:tc>
          <w:tcPr>
            <w:tcW w:w="200" w:type="dxa"/>
            <w:vAlign w:val="bottom"/>
          </w:tcPr>
          <w:p>
            <w:pPr>
              <w:spacing w:after="0"/>
              <w:rPr>
                <w:sz w:val="17"/>
                <w:szCs w:val="17"/>
                <w:color w:val="auto"/>
              </w:rPr>
            </w:pPr>
          </w:p>
        </w:tc>
        <w:tc>
          <w:tcPr>
            <w:tcW w:w="620" w:type="dxa"/>
            <w:vAlign w:val="bottom"/>
          </w:tcPr>
          <w:p>
            <w:pPr>
              <w:jc w:val="right"/>
              <w:ind w:right="203"/>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17"/>
                <w:szCs w:val="17"/>
                <w:color w:val="auto"/>
              </w:rPr>
            </w:pPr>
          </w:p>
        </w:tc>
        <w:tc>
          <w:tcPr>
            <w:tcW w:w="620" w:type="dxa"/>
            <w:vAlign w:val="bottom"/>
          </w:tcPr>
          <w:p>
            <w:pPr>
              <w:jc w:val="right"/>
              <w:ind w:right="201"/>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7"/>
                <w:szCs w:val="17"/>
                <w:color w:val="auto"/>
              </w:rPr>
            </w:pPr>
          </w:p>
        </w:tc>
        <w:tc>
          <w:tcPr>
            <w:tcW w:w="580" w:type="dxa"/>
            <w:vAlign w:val="bottom"/>
          </w:tcPr>
          <w:p>
            <w:pPr>
              <w:jc w:val="right"/>
              <w:ind w:right="101"/>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217"/>
        </w:trPr>
        <w:tc>
          <w:tcPr>
            <w:tcW w:w="24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3"/>
          </w:tcPr>
          <w:p>
            <w:pPr>
              <w:jc w:val="right"/>
              <w:ind w:right="161"/>
              <w:spacing w:after="0"/>
              <w:rPr>
                <w:sz w:val="20"/>
                <w:szCs w:val="20"/>
                <w:color w:val="auto"/>
              </w:rPr>
            </w:pPr>
            <w:r>
              <w:rPr>
                <w:rFonts w:ascii="Arial" w:cs="Arial" w:eastAsia="Arial" w:hAnsi="Arial"/>
                <w:sz w:val="14"/>
                <w:szCs w:val="14"/>
                <w:b w:val="1"/>
                <w:bCs w:val="1"/>
                <w:color w:val="auto"/>
                <w:w w:val="95"/>
              </w:rPr>
              <w:t>(Dollars in billions)</w:t>
            </w: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11,165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(12,896)</w:t>
            </w:r>
          </w:p>
        </w:tc>
        <w:tc>
          <w:tcPr>
            <w:tcW w:w="100" w:type="dxa"/>
            <w:vAlign w:val="bottom"/>
            <w:shd w:val="clear" w:color="auto" w:fill="CCEEFF"/>
          </w:tcPr>
          <w:p>
            <w:pPr>
              <w:spacing w:after="0"/>
              <w:rPr>
                <w:sz w:val="19"/>
                <w:szCs w:val="19"/>
                <w:color w:val="auto"/>
              </w:rPr>
            </w:pPr>
          </w:p>
        </w:tc>
        <w:tc>
          <w:tcPr>
            <w:tcW w:w="1020" w:type="dxa"/>
            <w:vAlign w:val="bottom"/>
            <w:tcBorders>
              <w:right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color w:val="auto"/>
              </w:rPr>
              <w:t>n.m.</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Arial" w:cs="Arial" w:eastAsia="Arial" w:hAnsi="Arial"/>
                <w:sz w:val="16"/>
                <w:szCs w:val="16"/>
                <w:color w:val="auto"/>
              </w:rPr>
              <w:t>GMI</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2,015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(0.4)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
              <w:spacing w:after="0"/>
              <w:rPr>
                <w:sz w:val="20"/>
                <w:szCs w:val="20"/>
                <w:color w:val="auto"/>
              </w:rPr>
            </w:pPr>
            <w:r>
              <w:rPr>
                <w:rFonts w:ascii="Arial" w:cs="Arial" w:eastAsia="Arial" w:hAnsi="Arial"/>
                <w:sz w:val="16"/>
                <w:szCs w:val="16"/>
                <w:color w:val="auto"/>
              </w:rPr>
              <w:t>(0.1)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(0.3)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44.7 %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Arial" w:cs="Arial" w:eastAsia="Arial" w:hAnsi="Arial"/>
                <w:sz w:val="16"/>
                <w:szCs w:val="16"/>
                <w:color w:val="auto"/>
              </w:rPr>
              <w:t>Cruise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(66.5)%</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480" w:type="dxa"/>
            <w:vAlign w:val="bottom"/>
          </w:tcPr>
          <w:p>
            <w:pPr>
              <w:ind w:left="20"/>
              <w:spacing w:after="0" w:line="145" w:lineRule="exact"/>
              <w:rPr>
                <w:sz w:val="20"/>
                <w:szCs w:val="20"/>
                <w:color w:val="auto"/>
              </w:rPr>
            </w:pPr>
            <w:r>
              <w:rPr>
                <w:rFonts w:ascii="Arial" w:cs="Arial" w:eastAsia="Arial" w:hAnsi="Arial"/>
                <w:sz w:val="16"/>
                <w:szCs w:val="16"/>
                <w:color w:val="auto"/>
              </w:rPr>
              <w:t>Total automotive and other cost of</w:t>
            </w: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27,266</w:t>
            </w:r>
          </w:p>
        </w:tc>
        <w:tc>
          <w:tcPr>
            <w:tcW w:w="12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13,444</w:t>
            </w:r>
          </w:p>
        </w:tc>
        <w:tc>
          <w:tcPr>
            <w:tcW w:w="10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(13,822)</w:t>
            </w:r>
          </w:p>
        </w:tc>
        <w:tc>
          <w:tcPr>
            <w:tcW w:w="100" w:type="dxa"/>
            <w:vAlign w:val="bottom"/>
          </w:tcPr>
          <w:p>
            <w:pPr>
              <w:spacing w:after="0"/>
              <w:rPr>
                <w:sz w:val="12"/>
                <w:szCs w:val="12"/>
                <w:color w:val="auto"/>
              </w:rPr>
            </w:pPr>
          </w:p>
        </w:tc>
        <w:tc>
          <w:tcPr>
            <w:tcW w:w="1020" w:type="dxa"/>
            <w:vAlign w:val="bottom"/>
            <w:tcBorders>
              <w:right w:val="single" w:sz="8" w:color="auto"/>
            </w:tcBorders>
            <w:gridSpan w:val="2"/>
            <w:vMerge w:val="restart"/>
          </w:tcPr>
          <w:p>
            <w:pPr>
              <w:ind w:left="600"/>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jc w:val="right"/>
              <w:ind w:right="2"/>
              <w:spacing w:after="0"/>
              <w:rPr>
                <w:sz w:val="20"/>
                <w:szCs w:val="20"/>
                <w:color w:val="auto"/>
              </w:rPr>
            </w:pPr>
            <w:r>
              <w:rPr>
                <w:rFonts w:ascii="Arial" w:cs="Arial" w:eastAsia="Arial" w:hAnsi="Arial"/>
                <w:sz w:val="16"/>
                <w:szCs w:val="16"/>
                <w:color w:val="auto"/>
              </w:rPr>
              <w:t>(6.8)</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ind w:right="3"/>
              <w:spacing w:after="0"/>
              <w:rPr>
                <w:sz w:val="20"/>
                <w:szCs w:val="20"/>
                <w:color w:val="auto"/>
              </w:rPr>
            </w:pPr>
            <w:r>
              <w:rPr>
                <w:rFonts w:ascii="Arial" w:cs="Arial" w:eastAsia="Arial" w:hAnsi="Arial"/>
                <w:sz w:val="16"/>
                <w:szCs w:val="16"/>
                <w:color w:val="auto"/>
              </w:rPr>
              <w:t>(2.1)</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ind w:right="1"/>
              <w:spacing w:after="0"/>
              <w:rPr>
                <w:sz w:val="20"/>
                <w:szCs w:val="20"/>
                <w:color w:val="auto"/>
              </w:rPr>
            </w:pPr>
            <w:r>
              <w:rPr>
                <w:rFonts w:ascii="Arial" w:cs="Arial" w:eastAsia="Arial" w:hAnsi="Arial"/>
                <w:sz w:val="16"/>
                <w:szCs w:val="16"/>
                <w:color w:val="auto"/>
              </w:rPr>
              <w:t>(4.6)</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0"/>
        </w:trPr>
        <w:tc>
          <w:tcPr>
            <w:tcW w:w="2480" w:type="dxa"/>
            <w:vAlign w:val="bottom"/>
          </w:tcPr>
          <w:p>
            <w:pPr>
              <w:ind w:left="180"/>
              <w:spacing w:after="0"/>
              <w:rPr>
                <w:sz w:val="20"/>
                <w:szCs w:val="20"/>
                <w:color w:val="auto"/>
              </w:rPr>
            </w:pPr>
            <w:r>
              <w:rPr>
                <w:rFonts w:ascii="Arial" w:cs="Arial" w:eastAsia="Arial" w:hAnsi="Arial"/>
                <w:sz w:val="16"/>
                <w:szCs w:val="16"/>
                <w:color w:val="auto"/>
              </w:rPr>
              <w:t>sales</w:t>
            </w: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right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881"/>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82"/>
              <w:spacing w:after="0"/>
              <w:rPr>
                <w:sz w:val="20"/>
                <w:szCs w:val="20"/>
                <w:color w:val="auto"/>
              </w:rPr>
            </w:pPr>
            <w:r>
              <w:rPr>
                <w:rFonts w:ascii="Arial" w:cs="Arial" w:eastAsia="Arial" w:hAnsi="Arial"/>
                <w:sz w:val="14"/>
                <w:szCs w:val="14"/>
                <w:b w:val="1"/>
                <w:bCs w:val="1"/>
                <w:color w:val="auto"/>
              </w:rPr>
              <w:t>Favorable/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21"/>
              <w:spacing w:after="0"/>
              <w:rPr>
                <w:sz w:val="20"/>
                <w:szCs w:val="20"/>
                <w:color w:val="auto"/>
              </w:rPr>
            </w:pPr>
            <w:r>
              <w:rPr>
                <w:rFonts w:ascii="Arial" w:cs="Arial" w:eastAsia="Arial" w:hAnsi="Arial"/>
                <w:sz w:val="14"/>
                <w:szCs w:val="14"/>
                <w:b w:val="1"/>
                <w:bCs w:val="1"/>
                <w:color w:val="auto"/>
                <w:w w:val="92"/>
              </w:rPr>
              <w:t>Variance Due To</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7"/>
                <w:szCs w:val="17"/>
                <w:color w:val="auto"/>
              </w:rPr>
            </w:pPr>
          </w:p>
        </w:tc>
        <w:tc>
          <w:tcPr>
            <w:tcW w:w="1040" w:type="dxa"/>
            <w:vAlign w:val="bottom"/>
          </w:tcPr>
          <w:p>
            <w:pPr>
              <w:jc w:val="right"/>
              <w:ind w:right="82"/>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02"/>
              <w:spacing w:after="0"/>
              <w:rPr>
                <w:sz w:val="20"/>
                <w:szCs w:val="20"/>
                <w:color w:val="auto"/>
              </w:rPr>
            </w:pPr>
            <w:r>
              <w:rPr>
                <w:rFonts w:ascii="Arial" w:cs="Arial" w:eastAsia="Arial" w:hAnsi="Arial"/>
                <w:sz w:val="14"/>
                <w:szCs w:val="14"/>
                <w:b w:val="1"/>
                <w:bCs w:val="1"/>
                <w:color w:val="auto"/>
                <w:w w:val="90"/>
              </w:rPr>
              <w:t>Volume</w:t>
            </w:r>
          </w:p>
        </w:tc>
        <w:tc>
          <w:tcPr>
            <w:tcW w:w="200" w:type="dxa"/>
            <w:vAlign w:val="bottom"/>
          </w:tcPr>
          <w:p>
            <w:pPr>
              <w:spacing w:after="0"/>
              <w:rPr>
                <w:sz w:val="17"/>
                <w:szCs w:val="17"/>
                <w:color w:val="auto"/>
              </w:rPr>
            </w:pPr>
          </w:p>
        </w:tc>
        <w:tc>
          <w:tcPr>
            <w:tcW w:w="620" w:type="dxa"/>
            <w:vAlign w:val="bottom"/>
          </w:tcPr>
          <w:p>
            <w:pPr>
              <w:jc w:val="right"/>
              <w:ind w:right="204"/>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17"/>
                <w:szCs w:val="17"/>
                <w:color w:val="auto"/>
              </w:rPr>
            </w:pPr>
          </w:p>
        </w:tc>
        <w:tc>
          <w:tcPr>
            <w:tcW w:w="620" w:type="dxa"/>
            <w:vAlign w:val="bottom"/>
          </w:tcPr>
          <w:p>
            <w:pPr>
              <w:ind w:left="6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7"/>
                <w:szCs w:val="17"/>
                <w:color w:val="auto"/>
              </w:rPr>
            </w:pPr>
          </w:p>
        </w:tc>
        <w:tc>
          <w:tcPr>
            <w:tcW w:w="580" w:type="dxa"/>
            <w:vAlign w:val="bottom"/>
          </w:tcPr>
          <w:p>
            <w:pPr>
              <w:jc w:val="right"/>
              <w:ind w:right="101"/>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82"/>
        </w:trPr>
        <w:tc>
          <w:tcPr>
            <w:tcW w:w="24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3"/>
          </w:tcPr>
          <w:p>
            <w:pPr>
              <w:jc w:val="center"/>
              <w:ind w:right="121"/>
              <w:spacing w:after="0"/>
              <w:rPr>
                <w:sz w:val="20"/>
                <w:szCs w:val="20"/>
                <w:color w:val="auto"/>
              </w:rPr>
            </w:pPr>
            <w:r>
              <w:rPr>
                <w:rFonts w:ascii="Arial" w:cs="Arial" w:eastAsia="Arial" w:hAnsi="Arial"/>
                <w:sz w:val="14"/>
                <w:szCs w:val="14"/>
                <w:b w:val="1"/>
                <w:bCs w:val="1"/>
                <w:color w:val="auto"/>
                <w:w w:val="93"/>
              </w:rPr>
              <w:t>(Dollars in billions)</w:t>
            </w:r>
          </w:p>
        </w:tc>
        <w:tc>
          <w:tcPr>
            <w:tcW w:w="2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46,023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33,718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center"/>
              <w:ind w:left="81"/>
              <w:spacing w:after="0"/>
              <w:rPr>
                <w:sz w:val="20"/>
                <w:szCs w:val="20"/>
                <w:color w:val="auto"/>
              </w:rPr>
            </w:pPr>
            <w:r>
              <w:rPr>
                <w:rFonts w:ascii="Arial" w:cs="Arial" w:eastAsia="Arial" w:hAnsi="Arial"/>
                <w:sz w:val="16"/>
                <w:szCs w:val="16"/>
                <w:color w:val="auto"/>
                <w:w w:val="91"/>
              </w:rPr>
              <w:t>(5.5)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Arial" w:cs="Arial" w:eastAsia="Arial" w:hAnsi="Arial"/>
                <w:sz w:val="16"/>
                <w:szCs w:val="16"/>
                <w:color w:val="auto"/>
              </w:rPr>
              <w:t>GMI</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5,898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151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
              <w:spacing w:after="0"/>
              <w:rPr>
                <w:sz w:val="20"/>
                <w:szCs w:val="20"/>
                <w:color w:val="auto"/>
              </w:rPr>
            </w:pPr>
            <w:r>
              <w:rPr>
                <w:rFonts w:ascii="Arial" w:cs="Arial" w:eastAsia="Arial" w:hAnsi="Arial"/>
                <w:sz w:val="16"/>
                <w:szCs w:val="16"/>
                <w:color w:val="auto"/>
              </w:rPr>
              <w:t>(0.1)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center"/>
              <w:ind w:left="101"/>
              <w:spacing w:after="0"/>
              <w:rPr>
                <w:sz w:val="20"/>
                <w:szCs w:val="20"/>
                <w:color w:val="auto"/>
              </w:rPr>
            </w:pPr>
            <w:r>
              <w:rPr>
                <w:rFonts w:ascii="Arial" w:cs="Arial" w:eastAsia="Arial" w:hAnsi="Arial"/>
                <w:sz w:val="16"/>
                <w:szCs w:val="16"/>
                <w:color w:val="auto"/>
                <w:w w:val="89"/>
              </w:rPr>
              <w:t>0.1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61.2 %</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center"/>
              <w:ind w:left="101"/>
              <w:spacing w:after="0"/>
              <w:rPr>
                <w:sz w:val="20"/>
                <w:szCs w:val="20"/>
                <w:color w:val="auto"/>
              </w:rPr>
            </w:pPr>
            <w:r>
              <w:rPr>
                <w:rFonts w:ascii="Arial" w:cs="Arial" w:eastAsia="Arial" w:hAnsi="Arial"/>
                <w:sz w:val="16"/>
                <w:szCs w:val="16"/>
                <w:color w:val="auto"/>
                <w:w w:val="89"/>
              </w:rPr>
              <w:t>0.1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Arial" w:cs="Arial" w:eastAsia="Arial" w:hAnsi="Arial"/>
                <w:sz w:val="16"/>
                <w:szCs w:val="16"/>
                <w:color w:val="auto"/>
              </w:rPr>
              <w:t>Cruise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(169)</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(45.6)%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center"/>
              <w:ind w:left="81"/>
              <w:spacing w:after="0"/>
              <w:rPr>
                <w:sz w:val="20"/>
                <w:szCs w:val="20"/>
                <w:color w:val="auto"/>
              </w:rPr>
            </w:pPr>
            <w:r>
              <w:rPr>
                <w:rFonts w:ascii="Arial" w:cs="Arial" w:eastAsia="Arial" w:hAnsi="Arial"/>
                <w:sz w:val="16"/>
                <w:szCs w:val="16"/>
                <w:color w:val="auto"/>
                <w:w w:val="91"/>
              </w:rPr>
              <w:t>(0.2)</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480" w:type="dxa"/>
            <w:vAlign w:val="bottom"/>
          </w:tcPr>
          <w:p>
            <w:pPr>
              <w:ind w:left="20"/>
              <w:spacing w:after="0" w:line="145" w:lineRule="exact"/>
              <w:rPr>
                <w:sz w:val="20"/>
                <w:szCs w:val="20"/>
                <w:color w:val="auto"/>
              </w:rPr>
            </w:pPr>
            <w:r>
              <w:rPr>
                <w:rFonts w:ascii="Arial" w:cs="Arial" w:eastAsia="Arial" w:hAnsi="Arial"/>
                <w:sz w:val="16"/>
                <w:szCs w:val="16"/>
                <w:color w:val="auto"/>
              </w:rPr>
              <w:t>Total automotive and other cost of</w:t>
            </w: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52,381</w:t>
            </w:r>
          </w:p>
        </w:tc>
        <w:tc>
          <w:tcPr>
            <w:tcW w:w="12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40,170</w:t>
            </w:r>
          </w:p>
        </w:tc>
        <w:tc>
          <w:tcPr>
            <w:tcW w:w="10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(12,211)</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jc w:val="right"/>
              <w:ind w:right="2"/>
              <w:spacing w:after="0"/>
              <w:rPr>
                <w:sz w:val="20"/>
                <w:szCs w:val="20"/>
                <w:color w:val="auto"/>
              </w:rPr>
            </w:pPr>
            <w:r>
              <w:rPr>
                <w:rFonts w:ascii="Arial" w:cs="Arial" w:eastAsia="Arial" w:hAnsi="Arial"/>
                <w:sz w:val="16"/>
                <w:szCs w:val="16"/>
                <w:color w:val="auto"/>
              </w:rPr>
              <w:t>(3.9)</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ind w:right="4"/>
              <w:spacing w:after="0"/>
              <w:rPr>
                <w:sz w:val="20"/>
                <w:szCs w:val="20"/>
                <w:color w:val="auto"/>
              </w:rPr>
            </w:pPr>
            <w:r>
              <w:rPr>
                <w:rFonts w:ascii="Arial" w:cs="Arial" w:eastAsia="Arial" w:hAnsi="Arial"/>
                <w:sz w:val="16"/>
                <w:szCs w:val="16"/>
                <w:color w:val="auto"/>
              </w:rPr>
              <w:t>(2.7)</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center"/>
              <w:ind w:left="81"/>
              <w:spacing w:after="0"/>
              <w:rPr>
                <w:sz w:val="20"/>
                <w:szCs w:val="20"/>
                <w:color w:val="auto"/>
              </w:rPr>
            </w:pPr>
            <w:r>
              <w:rPr>
                <w:rFonts w:ascii="Arial" w:cs="Arial" w:eastAsia="Arial" w:hAnsi="Arial"/>
                <w:sz w:val="16"/>
                <w:szCs w:val="16"/>
                <w:color w:val="auto"/>
                <w:w w:val="91"/>
              </w:rPr>
              <w:t>(5.6)</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480" w:type="dxa"/>
            <w:vAlign w:val="bottom"/>
          </w:tcPr>
          <w:p>
            <w:pPr>
              <w:ind w:left="180"/>
              <w:spacing w:after="0"/>
              <w:rPr>
                <w:sz w:val="20"/>
                <w:szCs w:val="20"/>
                <w:color w:val="auto"/>
              </w:rPr>
            </w:pPr>
            <w:r>
              <w:rPr>
                <w:rFonts w:ascii="Arial" w:cs="Arial" w:eastAsia="Arial" w:hAnsi="Arial"/>
                <w:sz w:val="16"/>
                <w:szCs w:val="16"/>
                <w:color w:val="auto"/>
              </w:rPr>
              <w:t>sales</w:t>
            </w: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7"/>
          <w:szCs w:val="17"/>
          <w:color w:val="auto"/>
        </w:rPr>
        <w:t>In the three months ended June 30, 2021, increased Cost was primarily due to: (1) an increase in campaigns and other warranty-related costs of $1.3 billion; (2) increased material and freight costs of $1.1 billion; (3) increased engineering costs of $0.9 billion primarily related to accelerating our electric vehicle portfolio and the suspension of production and austerity measures in 2020 due to the COVID-19 pandemic; (4) increased costs of $0.6 billion primarily related to parts and accessories sales; and (5) increased manufacturing costs of $0.6 billion primarily related to the suspension of production and austerity measures in 2020 due to the COVID-19 pandemic. In the three months ended June 30, 2021, unfavorable Other was primarily due to the foreign currency effect resulting from the strengthening of various currencies against the U.S. Dollar.</w:t>
      </w:r>
    </w:p>
    <w:p>
      <w:pPr>
        <w:spacing w:after="0" w:line="205"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7"/>
          <w:szCs w:val="17"/>
          <w:color w:val="auto"/>
        </w:rPr>
        <w:t>In the six months ended June 30, 2021, increased Cost was primarily due to: (1) increased material and freight costs of $2.1 billion; (2) an increase in campaigns and other warranty-related costs of $1.3 billion; (3) increased engineering costs of $1.2 billion primarily related to accelerating our electric vehicle portfolio and the suspension of production and austerity measures in 2020 due to the COVID-19 pandemic; (4) increased costs of $0.6 billion primarily related to parts and accessories sales; (5) increased manufacturing costs of $0.5 billion primarily related to the suspension of production and austerity measures in 2020 due to the COVID-19 pandemic; partially offset by (6) charges of $0.5 billion primarily related to dealer restructuring charges, property and intangible asset impairments and inventory provisions in Australia, New Zealand, and Thailand in 2020.</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Refer to the regional sections of this MD&amp;A for additional information on volume and mix.</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Automotive and other selling, general and administrative expense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Favorable/</w:t>
            </w: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ind w:left="480"/>
              <w:spacing w:after="0"/>
              <w:rPr>
                <w:sz w:val="20"/>
                <w:szCs w:val="20"/>
                <w:color w:val="auto"/>
              </w:rPr>
            </w:pPr>
            <w:r>
              <w:rPr>
                <w:rFonts w:ascii="Arial" w:cs="Arial" w:eastAsia="Arial" w:hAnsi="Arial"/>
                <w:sz w:val="13"/>
                <w:szCs w:val="13"/>
                <w:b w:val="1"/>
                <w:bCs w:val="1"/>
                <w:color w:val="auto"/>
              </w:rPr>
              <w:t>Six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Favorable/</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June 30, 2021</w:t>
            </w:r>
          </w:p>
        </w:tc>
        <w:tc>
          <w:tcPr>
            <w:tcW w:w="140" w:type="dxa"/>
            <w:vAlign w:val="bottom"/>
          </w:tcPr>
          <w:p>
            <w:pPr>
              <w:spacing w:after="0"/>
              <w:rPr>
                <w:sz w:val="2"/>
                <w:szCs w:val="2"/>
                <w:color w:val="auto"/>
              </w:rPr>
            </w:pPr>
          </w:p>
        </w:tc>
        <w:tc>
          <w:tcPr>
            <w:tcW w:w="900" w:type="dxa"/>
            <w:vAlign w:val="bottom"/>
            <w:vMerge w:val="restart"/>
          </w:tcPr>
          <w:p>
            <w:pPr>
              <w:jc w:val="right"/>
              <w:ind w:right="88"/>
              <w:spacing w:after="0"/>
              <w:rPr>
                <w:sz w:val="20"/>
                <w:szCs w:val="20"/>
                <w:color w:val="auto"/>
              </w:rPr>
            </w:pPr>
            <w:r>
              <w:rPr>
                <w:rFonts w:ascii="Arial" w:cs="Arial" w:eastAsia="Arial" w:hAnsi="Arial"/>
                <w:sz w:val="13"/>
                <w:szCs w:val="13"/>
                <w:b w:val="1"/>
                <w:bCs w:val="1"/>
                <w:color w:val="auto"/>
                <w:w w:val="85"/>
              </w:rPr>
              <w:t>June 30, 2020</w:t>
            </w: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June 30, 2021</w:t>
            </w:r>
          </w:p>
        </w:tc>
        <w:tc>
          <w:tcPr>
            <w:tcW w:w="140" w:type="dxa"/>
            <w:vAlign w:val="bottom"/>
          </w:tcPr>
          <w:p>
            <w:pPr>
              <w:spacing w:after="0"/>
              <w:rPr>
                <w:sz w:val="2"/>
                <w:szCs w:val="2"/>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3"/>
                <w:szCs w:val="13"/>
                <w:b w:val="1"/>
                <w:bCs w:val="1"/>
                <w:color w:val="auto"/>
                <w:w w:val="87"/>
              </w:rPr>
              <w:t>June 30, 2020</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840" w:type="dxa"/>
            <w:vAlign w:val="bottom"/>
            <w:vMerge w:val="restart"/>
          </w:tcPr>
          <w:p>
            <w:pPr>
              <w:jc w:val="right"/>
              <w:ind w:right="288"/>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line="20" w:lineRule="exact"/>
              <w:rPr>
                <w:sz w:val="1"/>
                <w:szCs w:val="1"/>
                <w:color w:val="auto"/>
              </w:rPr>
            </w:pPr>
          </w:p>
        </w:tc>
      </w:tr>
      <w:tr>
        <w:trPr>
          <w:trHeight w:val="169"/>
        </w:trPr>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(Unfavorable)</w:t>
            </w:r>
          </w:p>
        </w:tc>
        <w:tc>
          <w:tcPr>
            <w:tcW w:w="82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(Unfavorable)</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460" w:type="dxa"/>
            <w:vAlign w:val="bottom"/>
            <w:tcBorders>
              <w:top w:val="single" w:sz="8" w:color="CCEEFF"/>
            </w:tcBorders>
            <w:shd w:val="clear" w:color="auto" w:fill="CCEEFF"/>
          </w:tcPr>
          <w:p>
            <w:pPr>
              <w:ind w:left="20"/>
              <w:spacing w:after="0" w:line="161" w:lineRule="exact"/>
              <w:rPr>
                <w:sz w:val="20"/>
                <w:szCs w:val="20"/>
                <w:color w:val="auto"/>
              </w:rPr>
            </w:pPr>
            <w:r>
              <w:rPr>
                <w:rFonts w:ascii="Arial" w:cs="Arial" w:eastAsia="Arial" w:hAnsi="Arial"/>
                <w:sz w:val="18"/>
                <w:szCs w:val="18"/>
                <w:color w:val="auto"/>
              </w:rPr>
              <w:t>Automotive and other selling,</w:t>
            </w:r>
          </w:p>
        </w:tc>
        <w:tc>
          <w:tcPr>
            <w:tcW w:w="1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180"/>
              <w:spacing w:after="0" w:line="175" w:lineRule="exact"/>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2,125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10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(62.2)%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9"/>
              </w:rPr>
              <w:t>3,928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3,280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the three months ended June 30, 2021, Automotive and other selling, general and administrative expense increased primarily due to increased advertising of $0.5 billion and several insignificant items primarily related to the suspension of production and austerity measures in 2020 due to the COVID-19 pandemic.</w:t>
      </w:r>
    </w:p>
    <w:p>
      <w:pPr>
        <w:spacing w:after="0" w:line="209" w:lineRule="exact"/>
        <w:rPr>
          <w:sz w:val="20"/>
          <w:szCs w:val="20"/>
          <w:color w:val="auto"/>
        </w:rPr>
      </w:pPr>
    </w:p>
    <w:p>
      <w:pPr>
        <w:jc w:val="both"/>
        <w:ind w:firstLine="161"/>
        <w:spacing w:after="0" w:line="246" w:lineRule="auto"/>
        <w:rPr>
          <w:sz w:val="20"/>
          <w:szCs w:val="20"/>
          <w:color w:val="auto"/>
        </w:rPr>
      </w:pPr>
      <w:r>
        <w:rPr>
          <w:rFonts w:ascii="Arial" w:cs="Arial" w:eastAsia="Arial" w:hAnsi="Arial"/>
          <w:sz w:val="18"/>
          <w:szCs w:val="18"/>
          <w:color w:val="auto"/>
        </w:rPr>
        <w:t>In the six months ended June 30, 2021, Automotive and other selling, general and administrative expense increased primarily due to increased advertising of $0.4 billion and several insignificant items primarily related to the suspension of production and austerity measures in 2020 due to the COVID-19 pandemic.</w:t>
      </w:r>
    </w:p>
    <w:p>
      <w:pPr>
        <w:spacing w:after="0" w:line="21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Income and Other Non-operating Income, net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Favorable/</w:t>
            </w: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ind w:left="500"/>
              <w:spacing w:after="0"/>
              <w:rPr>
                <w:sz w:val="20"/>
                <w:szCs w:val="20"/>
                <w:color w:val="auto"/>
              </w:rPr>
            </w:pPr>
            <w:r>
              <w:rPr>
                <w:rFonts w:ascii="Arial" w:cs="Arial" w:eastAsia="Arial" w:hAnsi="Arial"/>
                <w:sz w:val="13"/>
                <w:szCs w:val="13"/>
                <w:b w:val="1"/>
                <w:bCs w:val="1"/>
                <w:color w:val="auto"/>
              </w:rPr>
              <w:t>Six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Favorable/</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June 30, 2021</w:t>
            </w:r>
          </w:p>
        </w:tc>
        <w:tc>
          <w:tcPr>
            <w:tcW w:w="140" w:type="dxa"/>
            <w:vAlign w:val="bottom"/>
          </w:tcPr>
          <w:p>
            <w:pPr>
              <w:spacing w:after="0"/>
              <w:rPr>
                <w:sz w:val="2"/>
                <w:szCs w:val="2"/>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3"/>
                <w:szCs w:val="13"/>
                <w:b w:val="1"/>
                <w:bCs w:val="1"/>
                <w:color w:val="auto"/>
                <w:w w:val="87"/>
              </w:rPr>
              <w:t>June 30, 2020</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8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June 30, 2021</w:t>
            </w:r>
          </w:p>
        </w:tc>
        <w:tc>
          <w:tcPr>
            <w:tcW w:w="140" w:type="dxa"/>
            <w:vAlign w:val="bottom"/>
          </w:tcPr>
          <w:p>
            <w:pPr>
              <w:spacing w:after="0"/>
              <w:rPr>
                <w:sz w:val="2"/>
                <w:szCs w:val="2"/>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3"/>
                <w:szCs w:val="13"/>
                <w:b w:val="1"/>
                <w:bCs w:val="1"/>
                <w:color w:val="auto"/>
                <w:w w:val="87"/>
              </w:rPr>
              <w:t>June 30, 2020</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70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69"/>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82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(Unfavorable)</w:t>
            </w: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500" w:type="dxa"/>
            <w:vAlign w:val="bottom"/>
            <w:tcBorders>
              <w:top w:val="single" w:sz="8" w:color="CCEEFF"/>
            </w:tcBorders>
            <w:shd w:val="clear" w:color="auto" w:fill="CCEEFF"/>
          </w:tcPr>
          <w:p>
            <w:pPr>
              <w:ind w:left="20"/>
              <w:spacing w:after="0" w:line="161" w:lineRule="exact"/>
              <w:rPr>
                <w:sz w:val="20"/>
                <w:szCs w:val="20"/>
                <w:color w:val="auto"/>
              </w:rPr>
            </w:pPr>
            <w:r>
              <w:rPr>
                <w:rFonts w:ascii="Arial" w:cs="Arial" w:eastAsia="Arial" w:hAnsi="Arial"/>
                <w:sz w:val="18"/>
                <w:szCs w:val="18"/>
                <w:color w:val="auto"/>
              </w:rPr>
              <w:t>Interest income and other non-</w:t>
            </w:r>
          </w:p>
        </w:tc>
        <w:tc>
          <w:tcPr>
            <w:tcW w:w="1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income, net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784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2"/>
              </w:rPr>
              <w:t>89.8 %</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ind w:left="520"/>
              <w:spacing w:after="0"/>
              <w:rPr>
                <w:sz w:val="20"/>
                <w:szCs w:val="20"/>
                <w:color w:val="auto"/>
              </w:rPr>
            </w:pPr>
            <w:r>
              <w:rPr>
                <w:rFonts w:ascii="Arial" w:cs="Arial" w:eastAsia="Arial" w:hAnsi="Arial"/>
                <w:sz w:val="16"/>
                <w:szCs w:val="16"/>
                <w:color w:val="auto"/>
                <w:w w:val="99"/>
              </w:rPr>
              <w:t>1,583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724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In the three months ended June 30, 2021, Interest Income and other non-operating income, net increased due to several insignificant items.</w:t>
      </w:r>
    </w:p>
    <w:p>
      <w:pPr>
        <w:spacing w:after="0" w:line="261"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the six months ended June 30, 2021, Interest Income and other non-operating income, net increased primarily due to: (1) gains of $0.4 billion in the six months ended June 30, 2021 compared to losses of $0.3 billion in the six months ended June 30, 2020 related to Stellantis warrants; and (2) $0.3 billion increase in non-service pension income.</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Favorable/</w:t>
            </w:r>
          </w:p>
        </w:tc>
        <w:tc>
          <w:tcPr>
            <w:tcW w:w="7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ind w:left="520"/>
              <w:spacing w:after="0"/>
              <w:rPr>
                <w:sz w:val="20"/>
                <w:szCs w:val="20"/>
                <w:color w:val="auto"/>
              </w:rPr>
            </w:pPr>
            <w:r>
              <w:rPr>
                <w:rFonts w:ascii="Arial" w:cs="Arial" w:eastAsia="Arial" w:hAnsi="Arial"/>
                <w:sz w:val="13"/>
                <w:szCs w:val="13"/>
                <w:b w:val="1"/>
                <w:bCs w:val="1"/>
                <w:color w:val="auto"/>
              </w:rPr>
              <w:t>Six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Favorable/</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restart"/>
          </w:tcPr>
          <w:p>
            <w:pPr>
              <w:jc w:val="right"/>
              <w:ind w:right="111"/>
              <w:spacing w:after="0"/>
              <w:rPr>
                <w:sz w:val="20"/>
                <w:szCs w:val="20"/>
                <w:color w:val="auto"/>
              </w:rPr>
            </w:pPr>
            <w:r>
              <w:rPr>
                <w:rFonts w:ascii="Arial" w:cs="Arial" w:eastAsia="Arial" w:hAnsi="Arial"/>
                <w:sz w:val="13"/>
                <w:szCs w:val="13"/>
                <w:b w:val="1"/>
                <w:bCs w:val="1"/>
                <w:color w:val="auto"/>
                <w:w w:val="87"/>
              </w:rPr>
              <w:t>June 30, 2021</w:t>
            </w:r>
          </w:p>
        </w:tc>
        <w:tc>
          <w:tcPr>
            <w:tcW w:w="1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3"/>
                <w:szCs w:val="13"/>
                <w:b w:val="1"/>
                <w:bCs w:val="1"/>
                <w:color w:val="auto"/>
                <w:w w:val="89"/>
              </w:rPr>
              <w:t>June 30, 2020</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70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June 30, 2021</w:t>
            </w:r>
          </w:p>
        </w:tc>
        <w:tc>
          <w:tcPr>
            <w:tcW w:w="1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3"/>
                <w:szCs w:val="13"/>
                <w:b w:val="1"/>
                <w:bCs w:val="1"/>
                <w:color w:val="auto"/>
                <w:w w:val="89"/>
              </w:rPr>
              <w:t>June 30, 2020</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72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69"/>
        </w:trPr>
        <w:tc>
          <w:tcPr>
            <w:tcW w:w="2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0"/>
              </w:rPr>
              <w:t>(Unfavorable)</w:t>
            </w:r>
          </w:p>
        </w:tc>
        <w:tc>
          <w:tcPr>
            <w:tcW w:w="1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90"/>
              </w:rPr>
              <w:t>(Unfavorable)</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w:t>
            </w:r>
          </w:p>
        </w:tc>
        <w:tc>
          <w:tcPr>
            <w:tcW w:w="100" w:type="dxa"/>
            <w:vAlign w:val="bottom"/>
            <w:shd w:val="clear" w:color="auto" w:fill="CCEEFF"/>
          </w:tcPr>
          <w:p>
            <w:pPr>
              <w:spacing w:after="0"/>
              <w:rPr>
                <w:sz w:val="18"/>
                <w:szCs w:val="18"/>
                <w:color w:val="auto"/>
              </w:rPr>
            </w:pPr>
          </w:p>
        </w:tc>
        <w:tc>
          <w:tcPr>
            <w:tcW w:w="840" w:type="dxa"/>
            <w:vAlign w:val="bottom"/>
            <w:tcBorders>
              <w:right w:val="single" w:sz="8" w:color="auto"/>
            </w:tcBorders>
            <w:gridSpan w:val="2"/>
            <w:shd w:val="clear" w:color="auto" w:fill="CCEEFF"/>
          </w:tcPr>
          <w:p>
            <w:pPr>
              <w:ind w:left="40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ind w:left="540"/>
              <w:spacing w:after="0"/>
              <w:rPr>
                <w:sz w:val="20"/>
                <w:szCs w:val="20"/>
                <w:color w:val="auto"/>
              </w:rPr>
            </w:pPr>
            <w:r>
              <w:rPr>
                <w:rFonts w:ascii="Arial" w:cs="Arial" w:eastAsia="Arial" w:hAnsi="Arial"/>
                <w:sz w:val="16"/>
                <w:szCs w:val="16"/>
                <w:color w:val="auto"/>
                <w:w w:val="99"/>
              </w:rPr>
              <w:t>2,148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the three and six months ended June 30, 2021, Income tax expense increased primarily due to an increase in pre-tax income.</w:t>
      </w:r>
    </w:p>
    <w:p>
      <w:pPr>
        <w:spacing w:after="0" w:line="223" w:lineRule="exact"/>
        <w:rPr>
          <w:sz w:val="20"/>
          <w:szCs w:val="20"/>
          <w:color w:val="auto"/>
        </w:rPr>
      </w:pPr>
    </w:p>
    <w:p>
      <w:pPr>
        <w:jc w:val="both"/>
        <w:ind w:firstLine="161"/>
        <w:spacing w:after="0" w:line="244" w:lineRule="auto"/>
        <w:rPr>
          <w:sz w:val="20"/>
          <w:szCs w:val="20"/>
          <w:color w:val="auto"/>
        </w:rPr>
      </w:pPr>
      <w:r>
        <w:rPr>
          <w:rFonts w:ascii="Arial" w:cs="Arial" w:eastAsia="Arial" w:hAnsi="Arial"/>
          <w:sz w:val="18"/>
          <w:szCs w:val="18"/>
          <w:color w:val="auto"/>
        </w:rPr>
        <w:t>For the three and six months ended June 30, 2021, our ETR-adjusted was 25.2% and 22.8%. We expect our adjusted effective tax rate to be approximately 24% for the year ending December 31, 2021.</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Refer to Note 14 to our condensed consolidated financial statements for additional information related to Income tax expense.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3"/>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ind w:left="121"/>
              <w:spacing w:after="0"/>
              <w:rPr>
                <w:sz w:val="20"/>
                <w:szCs w:val="20"/>
                <w:color w:val="auto"/>
              </w:rPr>
            </w:pPr>
            <w:r>
              <w:rPr>
                <w:rFonts w:ascii="Arial" w:cs="Arial" w:eastAsia="Arial" w:hAnsi="Arial"/>
                <w:sz w:val="14"/>
                <w:szCs w:val="14"/>
                <w:b w:val="1"/>
                <w:bCs w:val="1"/>
                <w:color w:val="auto"/>
                <w:w w:val="92"/>
              </w:rPr>
              <w:t>Variance Due To</w:t>
            </w: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8"/>
              </w:rPr>
              <w:t>June 30, 2021</w:t>
            </w:r>
          </w:p>
        </w:tc>
        <w:tc>
          <w:tcPr>
            <w:tcW w:w="280" w:type="dxa"/>
            <w:vAlign w:val="bottom"/>
          </w:tcPr>
          <w:p>
            <w:pPr>
              <w:spacing w:after="0"/>
              <w:rPr>
                <w:sz w:val="15"/>
                <w:szCs w:val="15"/>
                <w:color w:val="auto"/>
              </w:rPr>
            </w:pPr>
          </w:p>
        </w:tc>
        <w:tc>
          <w:tcPr>
            <w:tcW w:w="12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8"/>
              </w:rPr>
              <w:t>June 30, 2020</w:t>
            </w:r>
          </w:p>
        </w:tc>
        <w:tc>
          <w:tcPr>
            <w:tcW w:w="28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Favorable /</w:t>
            </w:r>
          </w:p>
        </w:tc>
        <w:tc>
          <w:tcPr>
            <w:tcW w:w="98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6"/>
              </w:rPr>
              <w:t>Volume</w:t>
            </w:r>
          </w:p>
        </w:tc>
        <w:tc>
          <w:tcPr>
            <w:tcW w:w="220" w:type="dxa"/>
            <w:vAlign w:val="bottom"/>
          </w:tcPr>
          <w:p>
            <w:pPr>
              <w:spacing w:after="0"/>
              <w:rPr>
                <w:sz w:val="15"/>
                <w:szCs w:val="15"/>
                <w:color w:val="auto"/>
              </w:rPr>
            </w:pPr>
          </w:p>
        </w:tc>
        <w:tc>
          <w:tcPr>
            <w:tcW w:w="4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15"/>
                <w:szCs w:val="15"/>
                <w:color w:val="auto"/>
              </w:rPr>
            </w:pPr>
          </w:p>
        </w:tc>
        <w:tc>
          <w:tcPr>
            <w:tcW w:w="5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5"/>
                <w:szCs w:val="15"/>
                <w:color w:val="auto"/>
              </w:rPr>
            </w:pPr>
          </w:p>
        </w:tc>
        <w:tc>
          <w:tcPr>
            <w:tcW w:w="5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5"/>
                <w:szCs w:val="15"/>
                <w:color w:val="auto"/>
              </w:rPr>
            </w:pPr>
          </w:p>
        </w:tc>
        <w:tc>
          <w:tcPr>
            <w:tcW w:w="4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(Unfavorable)</w:t>
            </w: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4"/>
          </w:tcPr>
          <w:p>
            <w:pPr>
              <w:jc w:val="center"/>
              <w:ind w:left="121"/>
              <w:spacing w:after="0"/>
              <w:rPr>
                <w:sz w:val="20"/>
                <w:szCs w:val="20"/>
                <w:color w:val="auto"/>
              </w:rPr>
            </w:pPr>
            <w:r>
              <w:rPr>
                <w:rFonts w:ascii="Arial" w:cs="Arial" w:eastAsia="Arial" w:hAnsi="Arial"/>
                <w:sz w:val="14"/>
                <w:szCs w:val="14"/>
                <w:b w:val="1"/>
                <w:bCs w:val="1"/>
                <w:color w:val="auto"/>
                <w:w w:val="93"/>
              </w:rPr>
              <w:t>(Dollars in billions)</w:t>
            </w:r>
          </w:p>
        </w:tc>
        <w:tc>
          <w:tcPr>
            <w:tcW w:w="5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Total net sales and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27,932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11,604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16,328</w:t>
            </w:r>
          </w:p>
        </w:tc>
        <w:tc>
          <w:tcPr>
            <w:tcW w:w="120" w:type="dxa"/>
            <w:vAlign w:val="bottom"/>
            <w:shd w:val="clear" w:color="auto" w:fill="CCEEFF"/>
          </w:tcPr>
          <w:p>
            <w:pPr>
              <w:spacing w:after="0"/>
              <w:rPr>
                <w:sz w:val="19"/>
                <w:szCs w:val="19"/>
                <w:color w:val="auto"/>
              </w:rPr>
            </w:pP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n.m.</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8"/>
        </w:trPr>
        <w:tc>
          <w:tcPr>
            <w:tcW w:w="2160" w:type="dxa"/>
            <w:vAlign w:val="bottom"/>
          </w:tcPr>
          <w:p>
            <w:pPr>
              <w:ind w:left="20"/>
              <w:spacing w:after="0"/>
              <w:rPr>
                <w:sz w:val="20"/>
                <w:szCs w:val="20"/>
                <w:color w:val="auto"/>
              </w:rPr>
            </w:pPr>
            <w:r>
              <w:rPr>
                <w:rFonts w:ascii="Arial" w:cs="Arial" w:eastAsia="Arial" w:hAnsi="Arial"/>
                <w:sz w:val="18"/>
                <w:szCs w:val="18"/>
                <w:color w:val="auto"/>
              </w:rPr>
              <w:t>EBIT (loss)-adjusted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56"/>
              <w:spacing w:after="0"/>
              <w:rPr>
                <w:sz w:val="20"/>
                <w:szCs w:val="20"/>
                <w:color w:val="auto"/>
              </w:rPr>
            </w:pPr>
            <w:r>
              <w:rPr>
                <w:rFonts w:ascii="Arial" w:cs="Arial" w:eastAsia="Arial" w:hAnsi="Arial"/>
                <w:sz w:val="18"/>
                <w:szCs w:val="18"/>
                <w:color w:val="auto"/>
              </w:rPr>
              <w:t>2,894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(101)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6"/>
              <w:spacing w:after="0"/>
              <w:rPr>
                <w:sz w:val="20"/>
                <w:szCs w:val="20"/>
                <w:color w:val="auto"/>
              </w:rPr>
            </w:pPr>
            <w:r>
              <w:rPr>
                <w:rFonts w:ascii="Arial" w:cs="Arial" w:eastAsia="Arial" w:hAnsi="Arial"/>
                <w:sz w:val="18"/>
                <w:szCs w:val="18"/>
                <w:color w:val="auto"/>
              </w:rPr>
              <w:t>2,995</w:t>
            </w:r>
          </w:p>
        </w:tc>
        <w:tc>
          <w:tcPr>
            <w:tcW w:w="120" w:type="dxa"/>
            <w:vAlign w:val="bottom"/>
          </w:tcPr>
          <w:p>
            <w:pPr>
              <w:spacing w:after="0"/>
              <w:rPr>
                <w:sz w:val="19"/>
                <w:szCs w:val="19"/>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6"/>
              <w:spacing w:after="0"/>
              <w:rPr>
                <w:sz w:val="20"/>
                <w:szCs w:val="20"/>
                <w:color w:val="auto"/>
              </w:rPr>
            </w:pPr>
            <w:r>
              <w:rPr>
                <w:rFonts w:ascii="Arial" w:cs="Arial" w:eastAsia="Arial" w:hAnsi="Arial"/>
                <w:sz w:val="18"/>
                <w:szCs w:val="18"/>
                <w:color w:val="auto"/>
              </w:rPr>
              <w:t>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
              <w:spacing w:after="0"/>
              <w:rPr>
                <w:sz w:val="20"/>
                <w:szCs w:val="20"/>
                <w:color w:val="auto"/>
              </w:rPr>
            </w:pPr>
            <w:r>
              <w:rPr>
                <w:rFonts w:ascii="Arial" w:cs="Arial" w:eastAsia="Arial" w:hAnsi="Arial"/>
                <w:sz w:val="18"/>
                <w:szCs w:val="18"/>
                <w:color w:val="auto"/>
              </w:rPr>
              <w:t>2.6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2.0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8"/>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EBIT (loss)-adjusted margin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(Vehicles in thousands)</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642</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331</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160" w:type="dxa"/>
            <w:vAlign w:val="bottom"/>
          </w:tcPr>
          <w:p>
            <w:pPr>
              <w:spacing w:after="0"/>
              <w:rPr>
                <w:sz w:val="20"/>
                <w:szCs w:val="20"/>
                <w:color w:val="auto"/>
              </w:rPr>
            </w:pPr>
            <w:r>
              <w:rPr>
                <w:rFonts w:ascii="Arial" w:cs="Arial" w:eastAsia="Arial" w:hAnsi="Arial"/>
                <w:sz w:val="16"/>
                <w:szCs w:val="16"/>
                <w:color w:val="auto"/>
              </w:rPr>
              <w:t>__________</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160" w:type="dxa"/>
            <w:vAlign w:val="bottom"/>
          </w:tcPr>
          <w:p>
            <w:pPr>
              <w:spacing w:after="0"/>
              <w:rPr>
                <w:sz w:val="20"/>
                <w:szCs w:val="20"/>
                <w:color w:val="auto"/>
              </w:rPr>
            </w:pPr>
            <w:r>
              <w:rPr>
                <w:rFonts w:ascii="Arial" w:cs="Arial" w:eastAsia="Arial" w:hAnsi="Arial"/>
                <w:sz w:val="16"/>
                <w:szCs w:val="16"/>
                <w:color w:val="auto"/>
              </w:rPr>
              <w:t>n.m. = not meaningful</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8"/>
        </w:trPr>
        <w:tc>
          <w:tcPr>
            <w:tcW w:w="2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3"/>
            <w:vMerge w:val="restart"/>
          </w:tcPr>
          <w:p>
            <w:pPr>
              <w:jc w:val="right"/>
              <w:ind w:right="794"/>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24"/>
                <w:szCs w:val="24"/>
                <w:color w:val="auto"/>
              </w:rPr>
            </w:pPr>
          </w:p>
        </w:tc>
        <w:tc>
          <w:tcPr>
            <w:tcW w:w="12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Favorable /</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4"/>
            <w:vMerge w:val="restart"/>
          </w:tcPr>
          <w:p>
            <w:pPr>
              <w:jc w:val="center"/>
              <w:ind w:left="121"/>
              <w:spacing w:after="0"/>
              <w:rPr>
                <w:sz w:val="20"/>
                <w:szCs w:val="20"/>
                <w:color w:val="auto"/>
              </w:rPr>
            </w:pPr>
            <w:r>
              <w:rPr>
                <w:rFonts w:ascii="Arial" w:cs="Arial" w:eastAsia="Arial" w:hAnsi="Arial"/>
                <w:sz w:val="14"/>
                <w:szCs w:val="14"/>
                <w:b w:val="1"/>
                <w:bCs w:val="1"/>
                <w:color w:val="auto"/>
                <w:w w:val="92"/>
              </w:rPr>
              <w:t>Variance Due To</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3"/>
            <w:vMerge w:val="continue"/>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4"/>
            <w:vMerge w:val="continue"/>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6"/>
        </w:trPr>
        <w:tc>
          <w:tcPr>
            <w:tcW w:w="2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w w:val="98"/>
              </w:rPr>
              <w:t>June 30, 2021</w:t>
            </w:r>
          </w:p>
        </w:tc>
        <w:tc>
          <w:tcPr>
            <w:tcW w:w="280" w:type="dxa"/>
            <w:vAlign w:val="bottom"/>
          </w:tcPr>
          <w:p>
            <w:pPr>
              <w:spacing w:after="0"/>
              <w:rPr>
                <w:sz w:val="5"/>
                <w:szCs w:val="5"/>
                <w:color w:val="auto"/>
              </w:rPr>
            </w:pPr>
          </w:p>
        </w:tc>
        <w:tc>
          <w:tcPr>
            <w:tcW w:w="12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8"/>
              </w:rPr>
              <w:t>June 30, 2020</w:t>
            </w: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8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6"/>
              </w:rPr>
              <w:t>Volume</w:t>
            </w:r>
          </w:p>
        </w:tc>
        <w:tc>
          <w:tcPr>
            <w:tcW w:w="220" w:type="dxa"/>
            <w:vAlign w:val="bottom"/>
          </w:tcPr>
          <w:p>
            <w:pPr>
              <w:spacing w:after="0"/>
              <w:rPr>
                <w:sz w:val="5"/>
                <w:szCs w:val="5"/>
                <w:color w:val="auto"/>
              </w:rPr>
            </w:pPr>
          </w:p>
        </w:tc>
        <w:tc>
          <w:tcPr>
            <w:tcW w:w="4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5"/>
                <w:szCs w:val="5"/>
                <w:color w:val="auto"/>
              </w:rPr>
            </w:pPr>
          </w:p>
        </w:tc>
        <w:tc>
          <w:tcPr>
            <w:tcW w:w="5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5"/>
                <w:szCs w:val="5"/>
                <w:color w:val="auto"/>
              </w:rPr>
            </w:pPr>
          </w:p>
        </w:tc>
        <w:tc>
          <w:tcPr>
            <w:tcW w:w="5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5"/>
                <w:szCs w:val="5"/>
                <w:color w:val="auto"/>
              </w:rPr>
            </w:pPr>
          </w:p>
        </w:tc>
        <w:tc>
          <w:tcPr>
            <w:tcW w:w="4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(Unfavorable)</w:t>
            </w: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4"/>
          </w:tcPr>
          <w:p>
            <w:pPr>
              <w:jc w:val="center"/>
              <w:ind w:left="121"/>
              <w:spacing w:after="0"/>
              <w:rPr>
                <w:sz w:val="20"/>
                <w:szCs w:val="20"/>
                <w:color w:val="auto"/>
              </w:rPr>
            </w:pPr>
            <w:r>
              <w:rPr>
                <w:rFonts w:ascii="Arial" w:cs="Arial" w:eastAsia="Arial" w:hAnsi="Arial"/>
                <w:sz w:val="14"/>
                <w:szCs w:val="14"/>
                <w:b w:val="1"/>
                <w:bCs w:val="1"/>
                <w:color w:val="auto"/>
                <w:w w:val="93"/>
              </w:rPr>
              <w:t>(Dollars in billions)</w:t>
            </w:r>
          </w:p>
        </w:tc>
        <w:tc>
          <w:tcPr>
            <w:tcW w:w="5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Total net sales and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53,889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37,435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16,454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8"/>
        </w:trPr>
        <w:tc>
          <w:tcPr>
            <w:tcW w:w="2160" w:type="dxa"/>
            <w:vAlign w:val="bottom"/>
          </w:tcPr>
          <w:p>
            <w:pPr>
              <w:ind w:left="20"/>
              <w:spacing w:after="0"/>
              <w:rPr>
                <w:sz w:val="20"/>
                <w:szCs w:val="20"/>
                <w:color w:val="auto"/>
              </w:rPr>
            </w:pPr>
            <w:r>
              <w:rPr>
                <w:rFonts w:ascii="Arial" w:cs="Arial" w:eastAsia="Arial" w:hAnsi="Arial"/>
                <w:sz w:val="18"/>
                <w:szCs w:val="18"/>
                <w:color w:val="auto"/>
              </w:rPr>
              <w:t>EBIT-adjusted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56"/>
              <w:spacing w:after="0"/>
              <w:rPr>
                <w:sz w:val="20"/>
                <w:szCs w:val="20"/>
                <w:color w:val="auto"/>
              </w:rPr>
            </w:pPr>
            <w:r>
              <w:rPr>
                <w:rFonts w:ascii="Arial" w:cs="Arial" w:eastAsia="Arial" w:hAnsi="Arial"/>
                <w:sz w:val="18"/>
                <w:szCs w:val="18"/>
                <w:color w:val="auto"/>
              </w:rPr>
              <w:t>6,028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2,093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6"/>
              <w:spacing w:after="0"/>
              <w:rPr>
                <w:sz w:val="20"/>
                <w:szCs w:val="20"/>
                <w:color w:val="auto"/>
              </w:rPr>
            </w:pPr>
            <w:r>
              <w:rPr>
                <w:rFonts w:ascii="Arial" w:cs="Arial" w:eastAsia="Arial" w:hAnsi="Arial"/>
                <w:sz w:val="18"/>
                <w:szCs w:val="18"/>
                <w:color w:val="auto"/>
              </w:rPr>
              <w:t>3,935</w:t>
            </w:r>
          </w:p>
        </w:tc>
        <w:tc>
          <w:tcPr>
            <w:tcW w:w="120" w:type="dxa"/>
            <w:vAlign w:val="bottom"/>
          </w:tcPr>
          <w:p>
            <w:pPr>
              <w:spacing w:after="0"/>
              <w:rPr>
                <w:sz w:val="19"/>
                <w:szCs w:val="19"/>
                <w:color w:val="auto"/>
              </w:rPr>
            </w:pPr>
          </w:p>
        </w:tc>
        <w:tc>
          <w:tcPr>
            <w:tcW w:w="11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6"/>
              <w:spacing w:after="0"/>
              <w:rPr>
                <w:sz w:val="20"/>
                <w:szCs w:val="20"/>
                <w:color w:val="auto"/>
              </w:rPr>
            </w:pPr>
            <w:r>
              <w:rPr>
                <w:rFonts w:ascii="Arial" w:cs="Arial" w:eastAsia="Arial" w:hAnsi="Arial"/>
                <w:sz w:val="18"/>
                <w:szCs w:val="18"/>
                <w:color w:val="auto"/>
              </w:rPr>
              <w:t>1.3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
              <w:spacing w:after="0"/>
              <w:rPr>
                <w:sz w:val="20"/>
                <w:szCs w:val="20"/>
                <w:color w:val="auto"/>
              </w:rPr>
            </w:pPr>
            <w:r>
              <w:rPr>
                <w:rFonts w:ascii="Arial" w:cs="Arial" w:eastAsia="Arial" w:hAnsi="Arial"/>
                <w:sz w:val="18"/>
                <w:szCs w:val="18"/>
                <w:color w:val="auto"/>
              </w:rPr>
              <w:t>3.6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3.7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8"/>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EBIT-adjusted margin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(Vehicles in thousands)</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1,306</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1,106</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28"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b w:val="1"/>
          <w:bCs w:val="1"/>
          <w:i w:val="1"/>
          <w:iCs w:val="1"/>
          <w:color w:val="auto"/>
        </w:rPr>
        <w:t xml:space="preserve">GMNA Total Net Sales and Revenue </w:t>
      </w:r>
      <w:r>
        <w:rPr>
          <w:rFonts w:ascii="Arial" w:cs="Arial" w:eastAsia="Arial" w:hAnsi="Arial"/>
          <w:sz w:val="18"/>
          <w:szCs w:val="18"/>
          <w:color w:val="auto"/>
        </w:rPr>
        <w:t>In the three months ended June 30, 2021, Total net sales and revenue increased primarily due to: (1) increased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wholesale volumes due to an increase in sales of full-size pickup trucks, crossover vehicles and full-size SUVs, as a result of suspending production in 2020 due to the COVID-19 pandemic, partially offset by a decrease in sales of passenger cars; (2) favorable mix associated with increased sales of full-size pickup trucks and full-size SUVs, decreased sales of passenger cars as a result of prioritizing semiconductor chips for our most popular and in demand vehicles, and improved mix associated with crossover vehicles; (3) favorable price primarily due to lower incentives as a result of low dealer inventory levels; and (4) favorable Other due to increased sales of parts and accessories and the foreign currency effect resulting from the strengthening of the Canadian Dollar against the U.S. Dollar.</w:t>
      </w:r>
    </w:p>
    <w:p>
      <w:pPr>
        <w:spacing w:after="0" w:line="219" w:lineRule="exact"/>
        <w:rPr>
          <w:sz w:val="20"/>
          <w:szCs w:val="20"/>
          <w:color w:val="auto"/>
        </w:rPr>
      </w:pPr>
    </w:p>
    <w:p>
      <w:pPr>
        <w:jc w:val="both"/>
        <w:ind w:firstLine="161"/>
        <w:spacing w:after="0" w:line="285" w:lineRule="auto"/>
        <w:rPr>
          <w:sz w:val="20"/>
          <w:szCs w:val="20"/>
          <w:color w:val="auto"/>
        </w:rPr>
      </w:pPr>
      <w:r>
        <w:rPr>
          <w:rFonts w:ascii="Arial" w:cs="Arial" w:eastAsia="Arial" w:hAnsi="Arial"/>
          <w:sz w:val="16"/>
          <w:szCs w:val="16"/>
          <w:color w:val="auto"/>
        </w:rPr>
        <w:t>In the six months ended June 30, 2021, Total net sales and revenue increased primarily due to (1) favorable mix associated with increased sales of full-size pickup trucks and full-size SUVs, decreased sales of passenger cars as a result of prioritizing semiconductor chips for our most popular and in-demand vehicles, and improved mix of crossover vehicles; (2) increased net wholesale volumes due to an increase in sales of full-size pickup trucks, full-size SUVs and crossover vehicles as a result of suspending production in 2020 due to the COVID-19 pandemic, partially offset by a decrease in sales of passenger cars;</w:t>
      </w:r>
    </w:p>
    <w:p>
      <w:pPr>
        <w:spacing w:after="0" w:line="1" w:lineRule="exact"/>
        <w:rPr>
          <w:sz w:val="20"/>
          <w:szCs w:val="20"/>
          <w:color w:val="auto"/>
        </w:rPr>
      </w:pPr>
    </w:p>
    <w:p>
      <w:pPr>
        <w:jc w:val="both"/>
        <w:ind w:firstLine="7"/>
        <w:spacing w:after="0" w:line="253"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favorable price primarily due to lower incentives as a result of low dealer inventory levels and the launch of our new full-size SUVs; (4) favorable Other due to increased sales of parts and accessories and the foreign currency effect resulting from the strengthening of the Canadian Dollar against the U.S. Dollar.</w:t>
      </w:r>
    </w:p>
    <w:p>
      <w:pPr>
        <w:spacing w:after="0" w:line="218"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b w:val="1"/>
          <w:bCs w:val="1"/>
          <w:i w:val="1"/>
          <w:iCs w:val="1"/>
          <w:color w:val="auto"/>
        </w:rPr>
        <w:t xml:space="preserve">GMNA EBIT-Adjusted </w:t>
      </w:r>
      <w:r>
        <w:rPr>
          <w:rFonts w:ascii="Arial" w:cs="Arial" w:eastAsia="Arial" w:hAnsi="Arial"/>
          <w:sz w:val="18"/>
          <w:szCs w:val="18"/>
          <w:color w:val="auto"/>
        </w:rPr>
        <w:t>In the three months ended June 30, 2021, EBIT-adjusted increased primarily due to: (1) favorable mix; (2) increased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wholesale volumes; (3) favorable price; and (4) favorable Other due to the foreign currency effect resulting from the strengthening of the Canadian Dollar against the U.S. Dollar; partially offset by (5) unfavorable Cost due to increased campaigns and other warranty-related cost of $1.1 billion, increased material and freight cost of $1.0 billion, increased engineering cost of $0.7 billion including accelerating our electric vehicle portfolio, and increased manufacturing and advertising costs primarily related to the suspension of production and austerity measures in response to the COVID-19 pandemic in 2020.</w:t>
      </w:r>
    </w:p>
    <w:p>
      <w:pPr>
        <w:spacing w:after="0" w:line="217" w:lineRule="exact"/>
        <w:rPr>
          <w:sz w:val="20"/>
          <w:szCs w:val="20"/>
          <w:color w:val="auto"/>
        </w:rPr>
      </w:pPr>
    </w:p>
    <w:p>
      <w:pPr>
        <w:jc w:val="both"/>
        <w:ind w:right="20" w:firstLine="161"/>
        <w:spacing w:after="0" w:line="275" w:lineRule="auto"/>
        <w:rPr>
          <w:sz w:val="20"/>
          <w:szCs w:val="20"/>
          <w:color w:val="auto"/>
        </w:rPr>
      </w:pPr>
      <w:r>
        <w:rPr>
          <w:rFonts w:ascii="Arial" w:cs="Arial" w:eastAsia="Arial" w:hAnsi="Arial"/>
          <w:sz w:val="18"/>
          <w:szCs w:val="18"/>
          <w:color w:val="auto"/>
        </w:rPr>
        <w:t>In the six months ended June 30, 2021, EBIT- adjusted increased primarily due to: (1) favorable price; (2) favorable mix; (3) increased net wholesale volumes; and (4) favorable Other due to the foreign currency effect resulting from the strengthening of</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Canadian Dollar against the U.S. Dollar; partially offset by (5) unfavorable Cost due to increased material and freight cost of $2.0 billion, increased campaigns and other warranty-related cost of $1.2 billion, increased engineering cost of $0.9 billion including accelerating our electric vehicle portfolio, and increased manufacturing and advertising costs primarily related to the suspension of production and austerity measures in response to the COVID-19 pandemic in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69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ind w:left="121"/>
              <w:spacing w:after="0"/>
              <w:rPr>
                <w:sz w:val="20"/>
                <w:szCs w:val="20"/>
                <w:color w:val="auto"/>
              </w:rPr>
            </w:pPr>
            <w:r>
              <w:rPr>
                <w:rFonts w:ascii="Arial" w:cs="Arial" w:eastAsia="Arial" w:hAnsi="Arial"/>
                <w:sz w:val="14"/>
                <w:szCs w:val="14"/>
                <w:b w:val="1"/>
                <w:bCs w:val="1"/>
                <w:color w:val="auto"/>
                <w:w w:val="92"/>
              </w:rPr>
              <w:t>Variance Due To</w:t>
            </w: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w w:val="98"/>
              </w:rPr>
              <w:t>June 30, 2021</w:t>
            </w:r>
          </w:p>
        </w:tc>
        <w:tc>
          <w:tcPr>
            <w:tcW w:w="280" w:type="dxa"/>
            <w:vAlign w:val="bottom"/>
          </w:tcPr>
          <w:p>
            <w:pPr>
              <w:spacing w:after="0"/>
              <w:rPr>
                <w:sz w:val="15"/>
                <w:szCs w:val="15"/>
                <w:color w:val="auto"/>
              </w:rPr>
            </w:pPr>
          </w:p>
        </w:tc>
        <w:tc>
          <w:tcPr>
            <w:tcW w:w="11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8"/>
              </w:rPr>
              <w:t>June 30, 2020</w:t>
            </w:r>
          </w:p>
        </w:tc>
        <w:tc>
          <w:tcPr>
            <w:tcW w:w="2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Favorable /</w:t>
            </w:r>
          </w:p>
        </w:tc>
        <w:tc>
          <w:tcPr>
            <w:tcW w:w="9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6"/>
              </w:rPr>
              <w:t>Volume</w:t>
            </w:r>
          </w:p>
        </w:tc>
        <w:tc>
          <w:tcPr>
            <w:tcW w:w="200" w:type="dxa"/>
            <w:vAlign w:val="bottom"/>
          </w:tcPr>
          <w:p>
            <w:pPr>
              <w:spacing w:after="0"/>
              <w:rPr>
                <w:sz w:val="15"/>
                <w:szCs w:val="15"/>
                <w:color w:val="auto"/>
              </w:rPr>
            </w:pPr>
          </w:p>
        </w:tc>
        <w:tc>
          <w:tcPr>
            <w:tcW w:w="4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15"/>
                <w:szCs w:val="15"/>
                <w:color w:val="auto"/>
              </w:rPr>
            </w:pPr>
          </w:p>
        </w:tc>
        <w:tc>
          <w:tcPr>
            <w:tcW w:w="5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5"/>
                <w:szCs w:val="15"/>
                <w:color w:val="auto"/>
              </w:rPr>
            </w:pPr>
          </w:p>
        </w:tc>
        <w:tc>
          <w:tcPr>
            <w:tcW w:w="5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5"/>
                <w:szCs w:val="15"/>
                <w:color w:val="auto"/>
              </w:rPr>
            </w:pPr>
          </w:p>
        </w:tc>
        <w:tc>
          <w:tcPr>
            <w:tcW w:w="4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9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4"/>
          </w:tcPr>
          <w:p>
            <w:pPr>
              <w:jc w:val="center"/>
              <w:ind w:left="121"/>
              <w:spacing w:after="0"/>
              <w:rPr>
                <w:sz w:val="20"/>
                <w:szCs w:val="20"/>
                <w:color w:val="auto"/>
              </w:rPr>
            </w:pPr>
            <w:r>
              <w:rPr>
                <w:rFonts w:ascii="Arial" w:cs="Arial" w:eastAsia="Arial" w:hAnsi="Arial"/>
                <w:sz w:val="14"/>
                <w:szCs w:val="14"/>
                <w:b w:val="1"/>
                <w:bCs w:val="1"/>
                <w:color w:val="auto"/>
                <w:w w:val="93"/>
              </w:rPr>
              <w:t>(Dollars in billions)</w:t>
            </w:r>
          </w:p>
        </w:tc>
        <w:tc>
          <w:tcPr>
            <w:tcW w:w="5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Total net sales and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2,792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1,677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66.5 %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8"/>
        </w:trPr>
        <w:tc>
          <w:tcPr>
            <w:tcW w:w="2260" w:type="dxa"/>
            <w:vAlign w:val="bottom"/>
          </w:tcPr>
          <w:p>
            <w:pPr>
              <w:ind w:left="20"/>
              <w:spacing w:after="0"/>
              <w:rPr>
                <w:sz w:val="20"/>
                <w:szCs w:val="20"/>
                <w:color w:val="auto"/>
              </w:rPr>
            </w:pPr>
            <w:r>
              <w:rPr>
                <w:rFonts w:ascii="Arial" w:cs="Arial" w:eastAsia="Arial" w:hAnsi="Arial"/>
                <w:sz w:val="18"/>
                <w:szCs w:val="18"/>
                <w:color w:val="auto"/>
              </w:rPr>
              <w:t>EBIT (loss)-adjusted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(270)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5"/>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
              <w:spacing w:after="0"/>
              <w:rPr>
                <w:sz w:val="20"/>
                <w:szCs w:val="20"/>
                <w:color w:val="auto"/>
              </w:rPr>
            </w:pPr>
            <w:r>
              <w:rPr>
                <w:rFonts w:ascii="Arial" w:cs="Arial" w:eastAsia="Arial" w:hAnsi="Arial"/>
                <w:sz w:val="18"/>
                <w:szCs w:val="18"/>
                <w:color w:val="auto"/>
              </w:rPr>
              <w:t>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8"/>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EBIT (loss)-adjusted margin</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line="175" w:lineRule="exact"/>
              <w:rPr>
                <w:sz w:val="20"/>
                <w:szCs w:val="20"/>
                <w:color w:val="auto"/>
              </w:rPr>
            </w:pPr>
            <w:r>
              <w:rPr>
                <w:rFonts w:ascii="Arial" w:cs="Arial" w:eastAsia="Arial" w:hAnsi="Arial"/>
                <w:sz w:val="18"/>
                <w:szCs w:val="18"/>
                <w:i w:val="1"/>
                <w:iCs w:val="1"/>
                <w:color w:val="auto"/>
                <w:w w:val="96"/>
              </w:rPr>
              <w:t>Equity income — Automotive</w:t>
            </w:r>
          </w:p>
        </w:tc>
        <w:tc>
          <w:tcPr>
            <w:tcW w:w="180" w:type="dxa"/>
            <w:vAlign w:val="bottom"/>
            <w:vMerge w:val="restart"/>
          </w:tcPr>
          <w:p>
            <w:pPr>
              <w:jc w:val="right"/>
              <w:spacing w:after="0"/>
              <w:rPr>
                <w:sz w:val="20"/>
                <w:szCs w:val="20"/>
                <w:color w:val="auto"/>
              </w:rPr>
            </w:pPr>
            <w:r>
              <w:rPr>
                <w:rFonts w:ascii="Arial" w:cs="Arial" w:eastAsia="Arial" w:hAnsi="Arial"/>
                <w:sz w:val="18"/>
                <w:szCs w:val="18"/>
                <w:i w:val="1"/>
                <w:iCs w:val="1"/>
                <w:color w:val="auto"/>
                <w:w w:val="79"/>
              </w:rPr>
              <w:t>$</w:t>
            </w:r>
          </w:p>
        </w:tc>
        <w:tc>
          <w:tcPr>
            <w:tcW w:w="1200" w:type="dxa"/>
            <w:vAlign w:val="bottom"/>
            <w:vMerge w:val="restart"/>
          </w:tcPr>
          <w:p>
            <w:pPr>
              <w:jc w:val="right"/>
              <w:ind w:right="155"/>
              <w:spacing w:after="0"/>
              <w:rPr>
                <w:sz w:val="20"/>
                <w:szCs w:val="20"/>
                <w:color w:val="auto"/>
              </w:rPr>
            </w:pPr>
            <w:r>
              <w:rPr>
                <w:rFonts w:ascii="Arial" w:cs="Arial" w:eastAsia="Arial" w:hAnsi="Arial"/>
                <w:sz w:val="18"/>
                <w:szCs w:val="18"/>
                <w:i w:val="1"/>
                <w:iCs w:val="1"/>
                <w:color w:val="auto"/>
              </w:rPr>
              <w:t>276</w:t>
            </w:r>
          </w:p>
        </w:tc>
        <w:tc>
          <w:tcPr>
            <w:tcW w:w="28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vMerge w:val="restart"/>
          </w:tcPr>
          <w:p>
            <w:pPr>
              <w:jc w:val="right"/>
              <w:ind w:right="133"/>
              <w:spacing w:after="0"/>
              <w:rPr>
                <w:sz w:val="20"/>
                <w:szCs w:val="20"/>
                <w:color w:val="auto"/>
              </w:rPr>
            </w:pPr>
            <w:r>
              <w:rPr>
                <w:rFonts w:ascii="Arial" w:cs="Arial" w:eastAsia="Arial" w:hAnsi="Arial"/>
                <w:sz w:val="18"/>
                <w:szCs w:val="18"/>
                <w:i w:val="1"/>
                <w:iCs w:val="1"/>
                <w:color w:val="auto"/>
              </w:rPr>
              <w:t>169</w:t>
            </w:r>
          </w:p>
        </w:tc>
        <w:tc>
          <w:tcPr>
            <w:tcW w:w="2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vMerge w:val="restart"/>
          </w:tcPr>
          <w:p>
            <w:pPr>
              <w:jc w:val="right"/>
              <w:ind w:right="135"/>
              <w:spacing w:after="0"/>
              <w:rPr>
                <w:sz w:val="20"/>
                <w:szCs w:val="20"/>
                <w:color w:val="auto"/>
              </w:rPr>
            </w:pPr>
            <w:r>
              <w:rPr>
                <w:rFonts w:ascii="Arial" w:cs="Arial" w:eastAsia="Arial" w:hAnsi="Arial"/>
                <w:sz w:val="18"/>
                <w:szCs w:val="18"/>
                <w:i w:val="1"/>
                <w:iCs w:val="1"/>
                <w:color w:val="auto"/>
              </w:rPr>
              <w:t>107</w:t>
            </w:r>
          </w:p>
        </w:tc>
        <w:tc>
          <w:tcPr>
            <w:tcW w:w="100" w:type="dxa"/>
            <w:vAlign w:val="bottom"/>
          </w:tcPr>
          <w:p>
            <w:pPr>
              <w:spacing w:after="0"/>
              <w:rPr>
                <w:sz w:val="15"/>
                <w:szCs w:val="15"/>
                <w:color w:val="auto"/>
              </w:rPr>
            </w:pPr>
          </w:p>
        </w:tc>
        <w:tc>
          <w:tcPr>
            <w:tcW w:w="940" w:type="dxa"/>
            <w:vAlign w:val="bottom"/>
            <w:vMerge w:val="restart"/>
          </w:tcPr>
          <w:p>
            <w:pPr>
              <w:ind w:left="400"/>
              <w:spacing w:after="0"/>
              <w:rPr>
                <w:sz w:val="20"/>
                <w:szCs w:val="20"/>
                <w:color w:val="auto"/>
              </w:rPr>
            </w:pPr>
            <w:r>
              <w:rPr>
                <w:rFonts w:ascii="Arial" w:cs="Arial" w:eastAsia="Arial" w:hAnsi="Arial"/>
                <w:sz w:val="18"/>
                <w:szCs w:val="18"/>
                <w:i w:val="1"/>
                <w:iCs w:val="1"/>
                <w:color w:val="auto"/>
                <w:w w:val="92"/>
              </w:rPr>
              <w:t>63.3 %</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260" w:type="dxa"/>
            <w:vAlign w:val="bottom"/>
          </w:tcPr>
          <w:p>
            <w:pPr>
              <w:ind w:left="180"/>
              <w:spacing w:after="0"/>
              <w:rPr>
                <w:sz w:val="20"/>
                <w:szCs w:val="20"/>
                <w:color w:val="auto"/>
              </w:rPr>
            </w:pPr>
            <w:r>
              <w:rPr>
                <w:rFonts w:ascii="Arial" w:cs="Arial" w:eastAsia="Arial" w:hAnsi="Arial"/>
                <w:sz w:val="18"/>
                <w:szCs w:val="18"/>
                <w:i w:val="1"/>
                <w:iCs w:val="1"/>
                <w:color w:val="auto"/>
              </w:rPr>
              <w:t>China</w:t>
            </w:r>
          </w:p>
        </w:tc>
        <w:tc>
          <w:tcPr>
            <w:tcW w:w="18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i w:val="1"/>
                <w:iCs w:val="1"/>
                <w:color w:val="auto"/>
              </w:rPr>
              <w:t>EBIT (loss)-adjusted —</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00" w:type="dxa"/>
            <w:vAlign w:val="bottom"/>
            <w:vMerge w:val="restart"/>
            <w:shd w:val="clear" w:color="auto" w:fill="CCEEFF"/>
          </w:tcPr>
          <w:p>
            <w:pPr>
              <w:jc w:val="right"/>
              <w:ind w:right="115"/>
              <w:spacing w:after="0"/>
              <w:rPr>
                <w:sz w:val="20"/>
                <w:szCs w:val="20"/>
                <w:color w:val="auto"/>
              </w:rPr>
            </w:pPr>
            <w:r>
              <w:rPr>
                <w:rFonts w:ascii="Arial" w:cs="Arial" w:eastAsia="Arial" w:hAnsi="Arial"/>
                <w:sz w:val="18"/>
                <w:szCs w:val="18"/>
                <w:i w:val="1"/>
                <w:iCs w:val="1"/>
                <w:color w:val="auto"/>
              </w:rPr>
              <w:t>(261)</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i w:val="1"/>
                <w:iCs w:val="1"/>
                <w:color w:val="auto"/>
              </w:rPr>
              <w:t>(439)</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i w:val="1"/>
                <w:iCs w:val="1"/>
                <w:color w:val="auto"/>
              </w:rPr>
              <w:t>178</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ind w:left="400"/>
              <w:spacing w:after="0"/>
              <w:rPr>
                <w:sz w:val="20"/>
                <w:szCs w:val="20"/>
                <w:color w:val="auto"/>
              </w:rPr>
            </w:pPr>
            <w:r>
              <w:rPr>
                <w:rFonts w:ascii="Arial" w:cs="Arial" w:eastAsia="Arial" w:hAnsi="Arial"/>
                <w:sz w:val="18"/>
                <w:szCs w:val="18"/>
                <w:i w:val="1"/>
                <w:iCs w:val="1"/>
                <w:color w:val="auto"/>
                <w:w w:val="92"/>
              </w:rPr>
              <w:t>40.5 %</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2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excluding Equity income</w:t>
            </w:r>
          </w:p>
        </w:tc>
        <w:tc>
          <w:tcPr>
            <w:tcW w:w="18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90</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31.1 %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260" w:type="dxa"/>
            <w:vAlign w:val="bottom"/>
          </w:tcPr>
          <w:p>
            <w:pPr>
              <w:spacing w:after="0"/>
              <w:rPr>
                <w:sz w:val="20"/>
                <w:szCs w:val="20"/>
                <w:color w:val="auto"/>
              </w:rPr>
            </w:pPr>
            <w:r>
              <w:rPr>
                <w:rFonts w:ascii="Arial" w:cs="Arial" w:eastAsia="Arial" w:hAnsi="Arial"/>
                <w:sz w:val="16"/>
                <w:szCs w:val="16"/>
                <w:color w:val="auto"/>
              </w:rPr>
              <w:t>__________</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260" w:type="dxa"/>
            <w:vAlign w:val="bottom"/>
          </w:tcPr>
          <w:p>
            <w:pPr>
              <w:spacing w:after="0"/>
              <w:rPr>
                <w:sz w:val="20"/>
                <w:szCs w:val="20"/>
                <w:color w:val="auto"/>
              </w:rPr>
            </w:pPr>
            <w:r>
              <w:rPr>
                <w:rFonts w:ascii="Arial" w:cs="Arial" w:eastAsia="Arial" w:hAnsi="Arial"/>
                <w:sz w:val="16"/>
                <w:szCs w:val="16"/>
                <w:color w:val="auto"/>
              </w:rPr>
              <w:t>n.m. = not meaningful</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60" w:type="dxa"/>
            <w:vAlign w:val="bottom"/>
            <w:gridSpan w:val="3"/>
            <w:vMerge w:val="restart"/>
          </w:tcPr>
          <w:p>
            <w:pPr>
              <w:jc w:val="right"/>
              <w:ind w:right="773"/>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4"/>
            <w:vMerge w:val="restart"/>
          </w:tcPr>
          <w:p>
            <w:pPr>
              <w:jc w:val="center"/>
              <w:ind w:left="121"/>
              <w:spacing w:after="0"/>
              <w:rPr>
                <w:sz w:val="20"/>
                <w:szCs w:val="20"/>
                <w:color w:val="auto"/>
              </w:rPr>
            </w:pPr>
            <w:r>
              <w:rPr>
                <w:rFonts w:ascii="Arial" w:cs="Arial" w:eastAsia="Arial" w:hAnsi="Arial"/>
                <w:sz w:val="14"/>
                <w:szCs w:val="14"/>
                <w:b w:val="1"/>
                <w:bCs w:val="1"/>
                <w:color w:val="auto"/>
                <w:w w:val="92"/>
              </w:rPr>
              <w:t>Variance Due To</w:t>
            </w: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w w:val="98"/>
              </w:rPr>
              <w:t>June 30, 2021</w:t>
            </w:r>
          </w:p>
        </w:tc>
        <w:tc>
          <w:tcPr>
            <w:tcW w:w="280" w:type="dxa"/>
            <w:vAlign w:val="bottom"/>
          </w:tcPr>
          <w:p>
            <w:pPr>
              <w:spacing w:after="0"/>
              <w:rPr>
                <w:sz w:val="15"/>
                <w:szCs w:val="15"/>
                <w:color w:val="auto"/>
              </w:rPr>
            </w:pPr>
          </w:p>
        </w:tc>
        <w:tc>
          <w:tcPr>
            <w:tcW w:w="11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8"/>
              </w:rPr>
              <w:t>June 30, 2020</w:t>
            </w:r>
          </w:p>
        </w:tc>
        <w:tc>
          <w:tcPr>
            <w:tcW w:w="2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Favorable /</w:t>
            </w:r>
          </w:p>
        </w:tc>
        <w:tc>
          <w:tcPr>
            <w:tcW w:w="9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6"/>
              </w:rPr>
              <w:t>Volume</w:t>
            </w:r>
          </w:p>
        </w:tc>
        <w:tc>
          <w:tcPr>
            <w:tcW w:w="200" w:type="dxa"/>
            <w:vAlign w:val="bottom"/>
          </w:tcPr>
          <w:p>
            <w:pPr>
              <w:spacing w:after="0"/>
              <w:rPr>
                <w:sz w:val="15"/>
                <w:szCs w:val="15"/>
                <w:color w:val="auto"/>
              </w:rPr>
            </w:pPr>
          </w:p>
        </w:tc>
        <w:tc>
          <w:tcPr>
            <w:tcW w:w="48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15"/>
                <w:szCs w:val="15"/>
                <w:color w:val="auto"/>
              </w:rPr>
            </w:pPr>
          </w:p>
        </w:tc>
        <w:tc>
          <w:tcPr>
            <w:tcW w:w="5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5"/>
                <w:szCs w:val="15"/>
                <w:color w:val="auto"/>
              </w:rPr>
            </w:pPr>
          </w:p>
        </w:tc>
        <w:tc>
          <w:tcPr>
            <w:tcW w:w="5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83"/>
              </w:rPr>
              <w:t>Cost</w:t>
            </w:r>
          </w:p>
        </w:tc>
        <w:tc>
          <w:tcPr>
            <w:tcW w:w="160" w:type="dxa"/>
            <w:vAlign w:val="bottom"/>
          </w:tcPr>
          <w:p>
            <w:pPr>
              <w:spacing w:after="0"/>
              <w:rPr>
                <w:sz w:val="15"/>
                <w:szCs w:val="15"/>
                <w:color w:val="auto"/>
              </w:rPr>
            </w:pPr>
          </w:p>
        </w:tc>
        <w:tc>
          <w:tcPr>
            <w:tcW w:w="4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9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4"/>
          </w:tcPr>
          <w:p>
            <w:pPr>
              <w:jc w:val="center"/>
              <w:ind w:left="121"/>
              <w:spacing w:after="0"/>
              <w:rPr>
                <w:sz w:val="20"/>
                <w:szCs w:val="20"/>
                <w:color w:val="auto"/>
              </w:rPr>
            </w:pPr>
            <w:r>
              <w:rPr>
                <w:rFonts w:ascii="Arial" w:cs="Arial" w:eastAsia="Arial" w:hAnsi="Arial"/>
                <w:sz w:val="14"/>
                <w:szCs w:val="14"/>
                <w:b w:val="1"/>
                <w:bCs w:val="1"/>
                <w:color w:val="auto"/>
                <w:w w:val="93"/>
              </w:rPr>
              <w:t>(Dollars in billions)</w:t>
            </w:r>
          </w:p>
        </w:tc>
        <w:tc>
          <w:tcPr>
            <w:tcW w:w="5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Total net sales and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5,878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4,957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18.6 %</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0.5</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260" w:type="dxa"/>
            <w:vAlign w:val="bottom"/>
          </w:tcPr>
          <w:p>
            <w:pPr>
              <w:ind w:left="20"/>
              <w:spacing w:after="0"/>
              <w:rPr>
                <w:sz w:val="20"/>
                <w:szCs w:val="20"/>
                <w:color w:val="auto"/>
              </w:rPr>
            </w:pPr>
            <w:r>
              <w:rPr>
                <w:rFonts w:ascii="Arial" w:cs="Arial" w:eastAsia="Arial" w:hAnsi="Arial"/>
                <w:sz w:val="18"/>
                <w:szCs w:val="18"/>
                <w:color w:val="auto"/>
              </w:rPr>
              <w:t>EBIT (loss)-adjusted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323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(821)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5"/>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19"/>
                <w:szCs w:val="19"/>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
              <w:spacing w:after="0"/>
              <w:rPr>
                <w:sz w:val="20"/>
                <w:szCs w:val="20"/>
                <w:color w:val="auto"/>
              </w:rPr>
            </w:pPr>
            <w:r>
              <w:rPr>
                <w:rFonts w:ascii="Arial" w:cs="Arial" w:eastAsia="Arial" w:hAnsi="Arial"/>
                <w:sz w:val="18"/>
                <w:szCs w:val="18"/>
                <w:color w:val="auto"/>
              </w:rPr>
              <w:t>0.4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8"/>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EBIT (loss)-adjusted margin</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line="175" w:lineRule="exact"/>
              <w:rPr>
                <w:sz w:val="20"/>
                <w:szCs w:val="20"/>
                <w:color w:val="auto"/>
              </w:rPr>
            </w:pPr>
            <w:r>
              <w:rPr>
                <w:rFonts w:ascii="Arial" w:cs="Arial" w:eastAsia="Arial" w:hAnsi="Arial"/>
                <w:sz w:val="18"/>
                <w:szCs w:val="18"/>
                <w:i w:val="1"/>
                <w:iCs w:val="1"/>
                <w:color w:val="auto"/>
                <w:w w:val="96"/>
              </w:rPr>
              <w:t>Equity income — Automotive</w:t>
            </w:r>
          </w:p>
        </w:tc>
        <w:tc>
          <w:tcPr>
            <w:tcW w:w="180" w:type="dxa"/>
            <w:vAlign w:val="bottom"/>
            <w:vMerge w:val="restart"/>
          </w:tcPr>
          <w:p>
            <w:pPr>
              <w:jc w:val="right"/>
              <w:spacing w:after="0"/>
              <w:rPr>
                <w:sz w:val="20"/>
                <w:szCs w:val="20"/>
                <w:color w:val="auto"/>
              </w:rPr>
            </w:pPr>
            <w:r>
              <w:rPr>
                <w:rFonts w:ascii="Arial" w:cs="Arial" w:eastAsia="Arial" w:hAnsi="Arial"/>
                <w:sz w:val="18"/>
                <w:szCs w:val="18"/>
                <w:i w:val="1"/>
                <w:iCs w:val="1"/>
                <w:color w:val="auto"/>
                <w:w w:val="79"/>
              </w:rPr>
              <w:t>$</w:t>
            </w:r>
          </w:p>
        </w:tc>
        <w:tc>
          <w:tcPr>
            <w:tcW w:w="1200" w:type="dxa"/>
            <w:vAlign w:val="bottom"/>
            <w:vMerge w:val="restart"/>
          </w:tcPr>
          <w:p>
            <w:pPr>
              <w:jc w:val="right"/>
              <w:ind w:right="155"/>
              <w:spacing w:after="0"/>
              <w:rPr>
                <w:sz w:val="20"/>
                <w:szCs w:val="20"/>
                <w:color w:val="auto"/>
              </w:rPr>
            </w:pPr>
            <w:r>
              <w:rPr>
                <w:rFonts w:ascii="Arial" w:cs="Arial" w:eastAsia="Arial" w:hAnsi="Arial"/>
                <w:sz w:val="18"/>
                <w:szCs w:val="18"/>
                <w:i w:val="1"/>
                <w:iCs w:val="1"/>
                <w:color w:val="auto"/>
              </w:rPr>
              <w:t>584</w:t>
            </w:r>
          </w:p>
        </w:tc>
        <w:tc>
          <w:tcPr>
            <w:tcW w:w="28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vMerge w:val="restart"/>
          </w:tcPr>
          <w:p>
            <w:pPr>
              <w:jc w:val="right"/>
              <w:ind w:right="133"/>
              <w:spacing w:after="0"/>
              <w:rPr>
                <w:sz w:val="20"/>
                <w:szCs w:val="20"/>
                <w:color w:val="auto"/>
              </w:rPr>
            </w:pPr>
            <w:r>
              <w:rPr>
                <w:rFonts w:ascii="Arial" w:cs="Arial" w:eastAsia="Arial" w:hAnsi="Arial"/>
                <w:sz w:val="18"/>
                <w:szCs w:val="18"/>
                <w:i w:val="1"/>
                <w:iCs w:val="1"/>
                <w:color w:val="auto"/>
              </w:rPr>
              <w:t>2</w:t>
            </w:r>
          </w:p>
        </w:tc>
        <w:tc>
          <w:tcPr>
            <w:tcW w:w="2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vMerge w:val="restart"/>
          </w:tcPr>
          <w:p>
            <w:pPr>
              <w:jc w:val="right"/>
              <w:ind w:right="135"/>
              <w:spacing w:after="0"/>
              <w:rPr>
                <w:sz w:val="20"/>
                <w:szCs w:val="20"/>
                <w:color w:val="auto"/>
              </w:rPr>
            </w:pPr>
            <w:r>
              <w:rPr>
                <w:rFonts w:ascii="Arial" w:cs="Arial" w:eastAsia="Arial" w:hAnsi="Arial"/>
                <w:sz w:val="18"/>
                <w:szCs w:val="18"/>
                <w:i w:val="1"/>
                <w:iCs w:val="1"/>
                <w:color w:val="auto"/>
              </w:rPr>
              <w:t>582</w:t>
            </w:r>
          </w:p>
        </w:tc>
        <w:tc>
          <w:tcPr>
            <w:tcW w:w="100" w:type="dxa"/>
            <w:vAlign w:val="bottom"/>
          </w:tcPr>
          <w:p>
            <w:pPr>
              <w:spacing w:after="0"/>
              <w:rPr>
                <w:sz w:val="15"/>
                <w:szCs w:val="15"/>
                <w:color w:val="auto"/>
              </w:rPr>
            </w:pPr>
          </w:p>
        </w:tc>
        <w:tc>
          <w:tcPr>
            <w:tcW w:w="1060" w:type="dxa"/>
            <w:vAlign w:val="bottom"/>
            <w:tcBorders>
              <w:right w:val="single" w:sz="8" w:color="auto"/>
            </w:tcBorders>
            <w:gridSpan w:val="2"/>
            <w:vMerge w:val="restart"/>
          </w:tcPr>
          <w:p>
            <w:pPr>
              <w:jc w:val="right"/>
              <w:ind w:right="140"/>
              <w:spacing w:after="0"/>
              <w:rPr>
                <w:sz w:val="20"/>
                <w:szCs w:val="20"/>
                <w:color w:val="auto"/>
              </w:rPr>
            </w:pPr>
            <w:r>
              <w:rPr>
                <w:rFonts w:ascii="Arial" w:cs="Arial" w:eastAsia="Arial" w:hAnsi="Arial"/>
                <w:sz w:val="18"/>
                <w:szCs w:val="18"/>
                <w:i w:val="1"/>
                <w:iCs w:val="1"/>
                <w:color w:val="auto"/>
              </w:rPr>
              <w:t>n.m.</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260" w:type="dxa"/>
            <w:vAlign w:val="bottom"/>
          </w:tcPr>
          <w:p>
            <w:pPr>
              <w:ind w:left="180"/>
              <w:spacing w:after="0"/>
              <w:rPr>
                <w:sz w:val="20"/>
                <w:szCs w:val="20"/>
                <w:color w:val="auto"/>
              </w:rPr>
            </w:pPr>
            <w:r>
              <w:rPr>
                <w:rFonts w:ascii="Arial" w:cs="Arial" w:eastAsia="Arial" w:hAnsi="Arial"/>
                <w:sz w:val="18"/>
                <w:szCs w:val="18"/>
                <w:i w:val="1"/>
                <w:iCs w:val="1"/>
                <w:color w:val="auto"/>
              </w:rPr>
              <w:t>China</w:t>
            </w:r>
          </w:p>
        </w:tc>
        <w:tc>
          <w:tcPr>
            <w:tcW w:w="18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right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i w:val="1"/>
                <w:iCs w:val="1"/>
                <w:color w:val="auto"/>
              </w:rPr>
              <w:t>EBIT (loss)-adjusted —</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00" w:type="dxa"/>
            <w:vAlign w:val="bottom"/>
            <w:vMerge w:val="restart"/>
            <w:shd w:val="clear" w:color="auto" w:fill="CCEEFF"/>
          </w:tcPr>
          <w:p>
            <w:pPr>
              <w:jc w:val="right"/>
              <w:ind w:right="115"/>
              <w:spacing w:after="0"/>
              <w:rPr>
                <w:sz w:val="20"/>
                <w:szCs w:val="20"/>
                <w:color w:val="auto"/>
              </w:rPr>
            </w:pPr>
            <w:r>
              <w:rPr>
                <w:rFonts w:ascii="Arial" w:cs="Arial" w:eastAsia="Arial" w:hAnsi="Arial"/>
                <w:sz w:val="18"/>
                <w:szCs w:val="18"/>
                <w:i w:val="1"/>
                <w:iCs w:val="1"/>
                <w:color w:val="auto"/>
              </w:rPr>
              <w:t>(261)</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8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i w:val="1"/>
                <w:iCs w:val="1"/>
                <w:color w:val="auto"/>
              </w:rPr>
              <w:t>(823)</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i w:val="1"/>
                <w:iCs w:val="1"/>
                <w:color w:val="auto"/>
              </w:rPr>
              <w:t>562</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ind w:left="400"/>
              <w:spacing w:after="0"/>
              <w:rPr>
                <w:sz w:val="20"/>
                <w:szCs w:val="20"/>
                <w:color w:val="auto"/>
              </w:rPr>
            </w:pPr>
            <w:r>
              <w:rPr>
                <w:rFonts w:ascii="Arial" w:cs="Arial" w:eastAsia="Arial" w:hAnsi="Arial"/>
                <w:sz w:val="18"/>
                <w:szCs w:val="18"/>
                <w:i w:val="1"/>
                <w:iCs w:val="1"/>
                <w:color w:val="auto"/>
                <w:w w:val="92"/>
              </w:rPr>
              <w:t>68.3 %</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2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excluding Equity income</w:t>
            </w:r>
          </w:p>
        </w:tc>
        <w:tc>
          <w:tcPr>
            <w:tcW w:w="18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275</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281</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28"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The vehicle sales of our Automotive China JVs are not recorded in Total net sales and revenue. The results of our joint ventures are recorded in Equity income, which is included in EBIT (loss)-adjusted above.</w:t>
      </w:r>
    </w:p>
    <w:p>
      <w:pPr>
        <w:spacing w:after="0" w:line="197"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b w:val="1"/>
          <w:bCs w:val="1"/>
          <w:i w:val="1"/>
          <w:iCs w:val="1"/>
          <w:color w:val="auto"/>
        </w:rPr>
        <w:t xml:space="preserve">GMI Total Net Sales and Revenue </w:t>
      </w:r>
      <w:r>
        <w:rPr>
          <w:rFonts w:ascii="Arial" w:cs="Arial" w:eastAsia="Arial" w:hAnsi="Arial"/>
          <w:sz w:val="18"/>
          <w:szCs w:val="18"/>
          <w:color w:val="auto"/>
        </w:rPr>
        <w:t>In the three months ended June 30, 2021, Total net sales and revenue increased primarily due to: (1)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wholesale volumes primarily in South America and the Middle East, partially offset by lower volumes in Asia/Pacific inclusive of the wind-down of our vehicle sales operations in Australia, New Zealand and Thailand; (2) favorable mix in the Middle East and South America; (3) favorable pricing across multiple vehicle lines in Brazil and Argentina; and (4) favorable Other primarily due to increased components, parts and accessories sales and the foreign currency effect resulting from the strengthening of the Korean Won against the U.S. Dollar.</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the six months ended June 30, 2021, Total net sales and revenue increased primarily due to: (1) favorable mix in South America and the Middle East;</w:t>
      </w:r>
    </w:p>
    <w:p>
      <w:pPr>
        <w:spacing w:after="0" w:line="46" w:lineRule="exact"/>
        <w:rPr>
          <w:sz w:val="20"/>
          <w:szCs w:val="20"/>
          <w:color w:val="auto"/>
        </w:rPr>
      </w:pPr>
    </w:p>
    <w:p>
      <w:pPr>
        <w:ind w:firstLine="7"/>
        <w:spacing w:after="0" w:line="258" w:lineRule="auto"/>
        <w:tabs>
          <w:tab w:leader="none" w:pos="2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favorable pricing in Brazil, Argentina and the Middle East; partially offset by (3) decreased wholesale volumes primarily due to the semiconductor supply shortage and the wind-down of our vehicle sales operations in Australia, New Zealand and Thailand.</w:t>
      </w:r>
    </w:p>
    <w:p>
      <w:pPr>
        <w:spacing w:after="0" w:line="199" w:lineRule="exact"/>
        <w:rPr>
          <w:sz w:val="20"/>
          <w:szCs w:val="20"/>
          <w:color w:val="auto"/>
        </w:rPr>
      </w:pPr>
    </w:p>
    <w:p>
      <w:pPr>
        <w:jc w:val="both"/>
        <w:ind w:firstLine="161"/>
        <w:spacing w:after="0" w:line="234" w:lineRule="auto"/>
        <w:rPr>
          <w:sz w:val="20"/>
          <w:szCs w:val="20"/>
          <w:color w:val="auto"/>
        </w:rPr>
      </w:pPr>
      <w:r>
        <w:rPr>
          <w:rFonts w:ascii="Arial" w:cs="Arial" w:eastAsia="Arial" w:hAnsi="Arial"/>
          <w:sz w:val="18"/>
          <w:szCs w:val="18"/>
          <w:b w:val="1"/>
          <w:bCs w:val="1"/>
          <w:i w:val="1"/>
          <w:iCs w:val="1"/>
          <w:color w:val="auto"/>
        </w:rPr>
        <w:t xml:space="preserve">GMI EBIT (Loss)-Adjusted </w:t>
      </w:r>
      <w:r>
        <w:rPr>
          <w:rFonts w:ascii="Arial" w:cs="Arial" w:eastAsia="Arial" w:hAnsi="Arial"/>
          <w:sz w:val="18"/>
          <w:szCs w:val="18"/>
          <w:color w:val="auto"/>
        </w:rPr>
        <w:t>In the three months ended June 30, 2021, EBIT-adjusted increased primarily due to: (1) favorable mix; (2) favorable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(3) favorable Other primarily due to increased equity income; partially offset by (4) unfavorable Cost primarily due to increased material and warranty recall campaign costs.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the six months ended June 30, 2021, EBIT-adjusted increased primarily due to: (1) favorable mix in South America, Australia and the Middle East; (2) favorable price; and (3) favorable Other primarily due to increased equity income; partially offset by (4) unfavorable Cost primarily due to increased material and warranty recall campaign costs, partially offset by favorable fixed costs.</w:t>
      </w:r>
    </w:p>
    <w:p>
      <w:pPr>
        <w:spacing w:after="0" w:line="209"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In the coming years we plan to leverage our global architectures to increase the number of product offerings under the Buick, Chevrolet and Cadillac brands in China and continue to grow our business under the local Baojun and Wuling brands. We operate in the Chinese market through a number of joint ventures and maintaining strong relationships with our joint venture partners is an important part of our China growth strategy.</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certain key operational and financial data for the Automotive China JVs (vehicles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7"/>
              </w:rPr>
              <w:t>Six Months Ended</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0"/>
              </w:rPr>
              <w:t>June 30, 2021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w w:val="98"/>
              </w:rPr>
              <w:t>June 30, 2020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4"/>
          </w:tcPr>
          <w:p>
            <w:pPr>
              <w:ind w:left="80"/>
              <w:spacing w:after="0"/>
              <w:rPr>
                <w:sz w:val="20"/>
                <w:szCs w:val="20"/>
                <w:color w:val="auto"/>
              </w:rPr>
            </w:pPr>
            <w:r>
              <w:rPr>
                <w:rFonts w:ascii="Arial" w:cs="Arial" w:eastAsia="Arial" w:hAnsi="Arial"/>
                <w:sz w:val="14"/>
                <w:szCs w:val="14"/>
                <w:b w:val="1"/>
                <w:bCs w:val="1"/>
                <w:color w:val="auto"/>
              </w:rPr>
              <w:t>June 30, 2021</w:t>
            </w:r>
          </w:p>
        </w:tc>
        <w:tc>
          <w:tcPr>
            <w:tcW w:w="144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56"/>
        </w:trPr>
        <w:tc>
          <w:tcPr>
            <w:tcW w:w="5200" w:type="dxa"/>
            <w:vAlign w:val="bottom"/>
            <w:tcBorders>
              <w:top w:val="single" w:sz="8" w:color="CCEEFF"/>
            </w:tcBorders>
            <w:gridSpan w:val="9"/>
            <w:shd w:val="clear" w:color="auto" w:fill="CCEEFF"/>
          </w:tcPr>
          <w:p>
            <w:pPr>
              <w:ind w:left="20"/>
              <w:spacing w:after="0" w:line="156" w:lineRule="exact"/>
              <w:rPr>
                <w:sz w:val="20"/>
                <w:szCs w:val="20"/>
                <w:color w:val="auto"/>
              </w:rPr>
            </w:pPr>
            <w:r>
              <w:rPr>
                <w:rFonts w:ascii="Arial" w:cs="Arial" w:eastAsia="Arial" w:hAnsi="Arial"/>
                <w:sz w:val="18"/>
                <w:szCs w:val="18"/>
                <w:color w:val="auto"/>
                <w:w w:val="90"/>
              </w:rPr>
              <w:t>Wholesale vehicle sales, including vehicles exported to markets outside</w:t>
            </w:r>
          </w:p>
        </w:tc>
        <w:tc>
          <w:tcPr>
            <w:tcW w:w="3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gridSpan w:val="5"/>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620</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gridSpan w:val="2"/>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1,295</w:t>
            </w: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28"/>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China</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5"/>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20" w:type="dxa"/>
            <w:vAlign w:val="bottom"/>
            <w:gridSpan w:val="2"/>
          </w:tcPr>
          <w:p>
            <w:pPr>
              <w:ind w:left="20"/>
              <w:spacing w:after="0"/>
              <w:rPr>
                <w:sz w:val="20"/>
                <w:szCs w:val="20"/>
                <w:color w:val="auto"/>
              </w:rPr>
            </w:pPr>
            <w:r>
              <w:rPr>
                <w:rFonts w:ascii="Arial" w:cs="Arial" w:eastAsia="Arial" w:hAnsi="Arial"/>
                <w:sz w:val="18"/>
                <w:szCs w:val="18"/>
                <w:color w:val="auto"/>
                <w:w w:val="89"/>
              </w:rPr>
              <w:t>Total net sales and revenue</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5"/>
          </w:tcPr>
          <w:p>
            <w:pPr>
              <w:jc w:val="right"/>
              <w:ind w:right="80"/>
              <w:spacing w:after="0"/>
              <w:rPr>
                <w:sz w:val="20"/>
                <w:szCs w:val="20"/>
                <w:color w:val="auto"/>
              </w:rPr>
            </w:pPr>
            <w:r>
              <w:rPr>
                <w:rFonts w:ascii="Arial" w:cs="Arial" w:eastAsia="Arial" w:hAnsi="Arial"/>
                <w:sz w:val="18"/>
                <w:szCs w:val="18"/>
                <w:color w:val="auto"/>
              </w:rPr>
              <w:t>8,954</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9,239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tcPr>
          <w:p>
            <w:pPr>
              <w:spacing w:after="0"/>
              <w:rPr>
                <w:sz w:val="19"/>
                <w:szCs w:val="19"/>
                <w:color w:val="auto"/>
              </w:rPr>
            </w:pPr>
          </w:p>
        </w:tc>
        <w:tc>
          <w:tcPr>
            <w:tcW w:w="680" w:type="dxa"/>
            <w:vAlign w:val="bottom"/>
            <w:gridSpan w:val="2"/>
          </w:tcPr>
          <w:p>
            <w:pPr>
              <w:jc w:val="right"/>
              <w:ind w:right="8"/>
              <w:spacing w:after="0"/>
              <w:rPr>
                <w:sz w:val="20"/>
                <w:szCs w:val="20"/>
                <w:color w:val="auto"/>
              </w:rPr>
            </w:pPr>
            <w:r>
              <w:rPr>
                <w:rFonts w:ascii="Arial" w:cs="Arial" w:eastAsia="Arial" w:hAnsi="Arial"/>
                <w:sz w:val="18"/>
                <w:szCs w:val="18"/>
                <w:color w:val="auto"/>
              </w:rPr>
              <w:t>18,830</w:t>
            </w:r>
          </w:p>
        </w:tc>
        <w:tc>
          <w:tcPr>
            <w:tcW w:w="100" w:type="dxa"/>
            <w:vAlign w:val="bottom"/>
          </w:tcPr>
          <w:p>
            <w:pPr>
              <w:spacing w:after="0"/>
              <w:rPr>
                <w:sz w:val="19"/>
                <w:szCs w:val="19"/>
                <w:color w:val="auto"/>
              </w:rPr>
            </w:pPr>
          </w:p>
        </w:tc>
        <w:tc>
          <w:tcPr>
            <w:tcW w:w="500" w:type="dxa"/>
            <w:vAlign w:val="bottom"/>
          </w:tcPr>
          <w:p>
            <w:pPr>
              <w:jc w:val="right"/>
              <w:ind w:right="298"/>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13,560</w:t>
            </w:r>
          </w:p>
        </w:tc>
        <w:tc>
          <w:tcPr>
            <w:tcW w:w="0" w:type="dxa"/>
            <w:vAlign w:val="bottom"/>
          </w:tcPr>
          <w:p>
            <w:pPr>
              <w:spacing w:after="0"/>
              <w:rPr>
                <w:sz w:val="1"/>
                <w:szCs w:val="1"/>
                <w:color w:val="auto"/>
              </w:rPr>
            </w:pPr>
          </w:p>
        </w:tc>
      </w:tr>
      <w:tr>
        <w:trPr>
          <w:trHeight w:val="228"/>
        </w:trPr>
        <w:tc>
          <w:tcPr>
            <w:tcW w:w="1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8"/>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538"/>
        </w:trPr>
        <w:tc>
          <w:tcPr>
            <w:tcW w:w="1880" w:type="dxa"/>
            <w:vAlign w:val="bottom"/>
          </w:tcPr>
          <w:p>
            <w:pPr>
              <w:spacing w:after="0"/>
              <w:rPr>
                <w:sz w:val="20"/>
                <w:szCs w:val="20"/>
                <w:color w:val="auto"/>
              </w:rPr>
            </w:pPr>
            <w:r>
              <w:rPr>
                <w:rFonts w:ascii="Arial" w:cs="Arial" w:eastAsia="Arial" w:hAnsi="Arial"/>
                <w:sz w:val="18"/>
                <w:szCs w:val="18"/>
                <w:b w:val="1"/>
                <w:bCs w:val="1"/>
                <w:color w:val="auto"/>
              </w:rPr>
              <w:t>Cruise</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40" w:type="dxa"/>
            <w:vAlign w:val="bottom"/>
            <w:gridSpan w:val="4"/>
            <w:vMerge w:val="restart"/>
          </w:tcPr>
          <w:p>
            <w:pPr>
              <w:jc w:val="right"/>
              <w:ind w:right="46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gridSpan w:val="5"/>
            <w:vMerge w:val="restart"/>
          </w:tcPr>
          <w:p>
            <w:pPr>
              <w:jc w:val="right"/>
              <w:ind w:right="10"/>
              <w:spacing w:after="0"/>
              <w:rPr>
                <w:sz w:val="20"/>
                <w:szCs w:val="20"/>
                <w:color w:val="auto"/>
              </w:rPr>
            </w:pPr>
            <w:r>
              <w:rPr>
                <w:rFonts w:ascii="Arial" w:cs="Arial" w:eastAsia="Arial" w:hAnsi="Arial"/>
                <w:sz w:val="14"/>
                <w:szCs w:val="14"/>
                <w:b w:val="1"/>
                <w:bCs w:val="1"/>
                <w:color w:val="auto"/>
              </w:rPr>
              <w:t>Six Months Ended</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1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5"/>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vMerge w:val="restart"/>
          </w:tcPr>
          <w:p>
            <w:pPr>
              <w:jc w:val="right"/>
              <w:ind w:right="84"/>
              <w:spacing w:after="0"/>
              <w:rPr>
                <w:sz w:val="20"/>
                <w:szCs w:val="20"/>
                <w:color w:val="auto"/>
              </w:rPr>
            </w:pPr>
            <w:r>
              <w:rPr>
                <w:rFonts w:ascii="Arial" w:cs="Arial" w:eastAsia="Arial" w:hAnsi="Arial"/>
                <w:sz w:val="14"/>
                <w:szCs w:val="14"/>
                <w:b w:val="1"/>
                <w:bCs w:val="1"/>
                <w:color w:val="auto"/>
                <w:w w:val="90"/>
              </w:rPr>
              <w:t>June 30, 2021</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92"/>
              </w:rPr>
              <w:t>June 30, 2020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right"/>
              <w:ind w:right="200"/>
              <w:spacing w:after="0" w:line="121" w:lineRule="exact"/>
              <w:rPr>
                <w:sz w:val="20"/>
                <w:szCs w:val="20"/>
                <w:color w:val="auto"/>
              </w:rPr>
            </w:pPr>
            <w:r>
              <w:rPr>
                <w:rFonts w:ascii="Arial" w:cs="Arial" w:eastAsia="Arial" w:hAnsi="Arial"/>
                <w:sz w:val="14"/>
                <w:szCs w:val="14"/>
                <w:b w:val="1"/>
                <w:bCs w:val="1"/>
                <w:color w:val="auto"/>
              </w:rPr>
              <w:t>Favorable /</w:t>
            </w:r>
          </w:p>
        </w:tc>
        <w:tc>
          <w:tcPr>
            <w:tcW w:w="2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61"/>
              <w:spacing w:after="0"/>
              <w:rPr>
                <w:sz w:val="20"/>
                <w:szCs w:val="20"/>
                <w:color w:val="auto"/>
              </w:rPr>
            </w:pPr>
            <w:r>
              <w:rPr>
                <w:rFonts w:ascii="Arial" w:cs="Arial" w:eastAsia="Arial" w:hAnsi="Arial"/>
                <w:sz w:val="14"/>
                <w:szCs w:val="14"/>
                <w:b w:val="1"/>
                <w:bCs w:val="1"/>
                <w:color w:val="auto"/>
                <w:w w:val="94"/>
              </w:rPr>
              <w:t>June 30, 2021</w:t>
            </w:r>
          </w:p>
        </w:tc>
        <w:tc>
          <w:tcPr>
            <w:tcW w:w="100" w:type="dxa"/>
            <w:vAlign w:val="bottom"/>
          </w:tcPr>
          <w:p>
            <w:pPr>
              <w:spacing w:after="0"/>
              <w:rPr>
                <w:sz w:val="10"/>
                <w:szCs w:val="10"/>
                <w:color w:val="auto"/>
              </w:rPr>
            </w:pPr>
          </w:p>
        </w:tc>
        <w:tc>
          <w:tcPr>
            <w:tcW w:w="1160" w:type="dxa"/>
            <w:vAlign w:val="bottom"/>
            <w:gridSpan w:val="4"/>
            <w:vMerge w:val="restart"/>
          </w:tcPr>
          <w:p>
            <w:pPr>
              <w:jc w:val="right"/>
              <w:ind w:right="82"/>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0"/>
                <w:szCs w:val="10"/>
                <w:color w:val="auto"/>
              </w:rPr>
            </w:pPr>
          </w:p>
        </w:tc>
        <w:tc>
          <w:tcPr>
            <w:tcW w:w="1280" w:type="dxa"/>
            <w:vAlign w:val="bottom"/>
            <w:gridSpan w:val="4"/>
          </w:tcPr>
          <w:p>
            <w:pPr>
              <w:ind w:left="240"/>
              <w:spacing w:after="0" w:line="121" w:lineRule="exact"/>
              <w:rPr>
                <w:sz w:val="20"/>
                <w:szCs w:val="20"/>
                <w:color w:val="auto"/>
              </w:rPr>
            </w:pPr>
            <w:r>
              <w:rPr>
                <w:rFonts w:ascii="Arial" w:cs="Arial" w:eastAsia="Arial" w:hAnsi="Arial"/>
                <w:sz w:val="14"/>
                <w:szCs w:val="14"/>
                <w:b w:val="1"/>
                <w:bCs w:val="1"/>
                <w:color w:val="auto"/>
              </w:rPr>
              <w:t>Favorable /</w:t>
            </w:r>
          </w:p>
        </w:tc>
        <w:tc>
          <w:tcPr>
            <w:tcW w:w="84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18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5"/>
              </w:rPr>
              <w:t>(Unfavorable)</w:t>
            </w: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4"/>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3"/>
          </w:tcPr>
          <w:p>
            <w:pPr>
              <w:jc w:val="right"/>
              <w:ind w:right="78"/>
              <w:spacing w:after="0"/>
              <w:rPr>
                <w:sz w:val="20"/>
                <w:szCs w:val="20"/>
                <w:color w:val="auto"/>
              </w:rPr>
            </w:pPr>
            <w:r>
              <w:rPr>
                <w:rFonts w:ascii="Arial" w:cs="Arial" w:eastAsia="Arial" w:hAnsi="Arial"/>
                <w:sz w:val="14"/>
                <w:szCs w:val="14"/>
                <w:b w:val="1"/>
                <w:bCs w:val="1"/>
                <w:color w:val="auto"/>
              </w:rPr>
              <w:t>(Unfavorable)</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880" w:type="dxa"/>
            <w:vAlign w:val="bottom"/>
            <w:shd w:val="clear" w:color="auto" w:fill="CCEEFF"/>
          </w:tcPr>
          <w:p>
            <w:pPr>
              <w:ind w:left="20"/>
              <w:spacing w:after="0" w:line="146" w:lineRule="exact"/>
              <w:rPr>
                <w:sz w:val="20"/>
                <w:szCs w:val="20"/>
                <w:color w:val="auto"/>
              </w:rPr>
            </w:pPr>
            <w:r>
              <w:rPr>
                <w:rFonts w:ascii="Arial" w:cs="Arial" w:eastAsia="Arial" w:hAnsi="Arial"/>
                <w:sz w:val="16"/>
                <w:szCs w:val="16"/>
                <w:color w:val="auto"/>
              </w:rPr>
              <w:t>Total net sales and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9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40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53</w:t>
            </w:r>
          </w:p>
        </w:tc>
        <w:tc>
          <w:tcPr>
            <w:tcW w:w="680" w:type="dxa"/>
            <w:vAlign w:val="bottom"/>
            <w:gridSpan w:val="2"/>
            <w:vMerge w:val="restart"/>
            <w:shd w:val="clear" w:color="auto" w:fill="CCEEFF"/>
          </w:tcPr>
          <w:p>
            <w:pPr>
              <w:jc w:val="right"/>
              <w:ind w:right="40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11"/>
        </w:trPr>
        <w:tc>
          <w:tcPr>
            <w:tcW w:w="1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revenue(a)</w:t>
            </w:r>
          </w:p>
        </w:tc>
        <w:tc>
          <w:tcPr>
            <w:tcW w:w="14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880" w:type="dxa"/>
            <w:vAlign w:val="bottom"/>
          </w:tcPr>
          <w:p>
            <w:pPr>
              <w:ind w:left="20"/>
              <w:spacing w:after="0"/>
              <w:rPr>
                <w:sz w:val="20"/>
                <w:szCs w:val="20"/>
                <w:color w:val="auto"/>
              </w:rPr>
            </w:pPr>
            <w:r>
              <w:rPr>
                <w:rFonts w:ascii="Arial" w:cs="Arial" w:eastAsia="Arial" w:hAnsi="Arial"/>
                <w:sz w:val="16"/>
                <w:szCs w:val="16"/>
                <w:color w:val="auto"/>
              </w:rPr>
              <w:t>EBIT (loss)-adjusted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(195)</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(137)</w:t>
            </w: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(70.3)%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(561)</w:t>
            </w:r>
          </w:p>
        </w:tc>
        <w:tc>
          <w:tcPr>
            <w:tcW w:w="40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(423)</w:t>
            </w:r>
          </w:p>
        </w:tc>
        <w:tc>
          <w:tcPr>
            <w:tcW w:w="680" w:type="dxa"/>
            <w:vAlign w:val="bottom"/>
            <w:gridSpan w:val="2"/>
          </w:tcPr>
          <w:p>
            <w:pPr>
              <w:jc w:val="right"/>
              <w:ind w:right="40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right="20" w:hanging="333"/>
        <w:spacing w:after="0" w:line="255" w:lineRule="auto"/>
        <w:tabs>
          <w:tab w:leader="none" w:pos="331"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Primarily reclassified to Interest income and other non-operating income, net in our condensed consolidated income statements in the three and six months ended June 30, 2021 and 2020.</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2"/>
              </w:rPr>
              <w:t>June 30, 2021</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2"/>
              </w:rPr>
              <w:t>June 30, 2020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2"/>
          </w:tcPr>
          <w:p>
            <w:pPr>
              <w:ind w:left="120"/>
              <w:spacing w:after="0" w:line="121" w:lineRule="exact"/>
              <w:rPr>
                <w:sz w:val="20"/>
                <w:szCs w:val="20"/>
                <w:color w:val="auto"/>
              </w:rPr>
            </w:pPr>
            <w:r>
              <w:rPr>
                <w:rFonts w:ascii="Arial" w:cs="Arial" w:eastAsia="Arial" w:hAnsi="Arial"/>
                <w:sz w:val="14"/>
                <w:szCs w:val="14"/>
                <w:b w:val="1"/>
                <w:bCs w:val="1"/>
                <w:color w:val="auto"/>
              </w:rPr>
              <w:t>Increase/</w:t>
            </w:r>
          </w:p>
        </w:tc>
        <w:tc>
          <w:tcPr>
            <w:tcW w:w="80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2"/>
              </w:rPr>
              <w:t>June 30, 2021</w:t>
            </w:r>
          </w:p>
        </w:tc>
        <w:tc>
          <w:tcPr>
            <w:tcW w:w="1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w w:val="92"/>
              </w:rPr>
              <w:t>June 30, 2020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tcPr>
          <w:p>
            <w:pPr>
              <w:ind w:left="140"/>
              <w:spacing w:after="0" w:line="121" w:lineRule="exact"/>
              <w:rPr>
                <w:sz w:val="20"/>
                <w:szCs w:val="20"/>
                <w:color w:val="auto"/>
              </w:rPr>
            </w:pPr>
            <w:r>
              <w:rPr>
                <w:rFonts w:ascii="Arial" w:cs="Arial" w:eastAsia="Arial" w:hAnsi="Arial"/>
                <w:sz w:val="14"/>
                <w:szCs w:val="14"/>
                <w:b w:val="1"/>
                <w:bCs w:val="1"/>
                <w:color w:val="auto"/>
              </w:rPr>
              <w:t>Increase/</w:t>
            </w:r>
          </w:p>
        </w:tc>
        <w:tc>
          <w:tcPr>
            <w:tcW w:w="80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17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7"/>
              </w:rPr>
              <w:t>(Decrease)</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right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3,426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3,423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6,833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6,984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2"/>
        </w:trPr>
        <w:tc>
          <w:tcPr>
            <w:tcW w:w="1700" w:type="dxa"/>
            <w:vAlign w:val="bottom"/>
          </w:tcPr>
          <w:p>
            <w:pPr>
              <w:ind w:left="20"/>
              <w:spacing w:after="0"/>
              <w:rPr>
                <w:sz w:val="20"/>
                <w:szCs w:val="20"/>
                <w:color w:val="auto"/>
              </w:rPr>
            </w:pPr>
            <w:r>
              <w:rPr>
                <w:rFonts w:ascii="Arial" w:cs="Arial" w:eastAsia="Arial" w:hAnsi="Arial"/>
                <w:sz w:val="16"/>
                <w:szCs w:val="16"/>
                <w:color w:val="auto"/>
                <w:w w:val="95"/>
              </w:rPr>
              <w:t>Provision for loan losses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1"/>
              <w:spacing w:after="0"/>
              <w:rPr>
                <w:sz w:val="20"/>
                <w:szCs w:val="20"/>
                <w:color w:val="auto"/>
              </w:rPr>
            </w:pPr>
            <w:r>
              <w:rPr>
                <w:rFonts w:ascii="Arial" w:cs="Arial" w:eastAsia="Arial" w:hAnsi="Arial"/>
                <w:sz w:val="16"/>
                <w:szCs w:val="16"/>
                <w:color w:val="auto"/>
              </w:rPr>
              <w:t>327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(82.0)%</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2"/>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21"/>
              <w:spacing w:after="0"/>
              <w:rPr>
                <w:sz w:val="20"/>
                <w:szCs w:val="20"/>
                <w:color w:val="auto"/>
              </w:rPr>
            </w:pPr>
            <w:r>
              <w:rPr>
                <w:rFonts w:ascii="Arial" w:cs="Arial" w:eastAsia="Arial" w:hAnsi="Arial"/>
                <w:sz w:val="16"/>
                <w:szCs w:val="16"/>
                <w:color w:val="auto"/>
              </w:rPr>
              <w:t>793</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2"/>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18"/>
        </w:trPr>
        <w:tc>
          <w:tcPr>
            <w:tcW w:w="1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EBT-adjusted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1,581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226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1,355</w:t>
            </w:r>
          </w:p>
        </w:tc>
        <w:tc>
          <w:tcPr>
            <w:tcW w:w="100" w:type="dxa"/>
            <w:vAlign w:val="bottom"/>
            <w:shd w:val="clear" w:color="auto" w:fill="CCEEFF"/>
          </w:tcPr>
          <w:p>
            <w:pPr>
              <w:spacing w:after="0"/>
              <w:rPr>
                <w:sz w:val="18"/>
                <w:szCs w:val="18"/>
                <w:color w:val="auto"/>
              </w:rPr>
            </w:pPr>
          </w:p>
        </w:tc>
        <w:tc>
          <w:tcPr>
            <w:tcW w:w="940" w:type="dxa"/>
            <w:vAlign w:val="bottom"/>
            <w:tcBorders>
              <w:right w:val="single" w:sz="8" w:color="auto"/>
            </w:tcBorders>
            <w:gridSpan w:val="2"/>
            <w:shd w:val="clear" w:color="auto" w:fill="CCEEFF"/>
          </w:tcPr>
          <w:p>
            <w:pPr>
              <w:ind w:left="50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2,763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456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2,307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65"/>
        </w:trPr>
        <w:tc>
          <w:tcPr>
            <w:tcW w:w="1700" w:type="dxa"/>
            <w:vAlign w:val="bottom"/>
          </w:tcPr>
          <w:p>
            <w:pPr>
              <w:ind w:left="20"/>
              <w:spacing w:after="0" w:line="165" w:lineRule="exact"/>
              <w:rPr>
                <w:sz w:val="20"/>
                <w:szCs w:val="20"/>
                <w:color w:val="auto"/>
              </w:rPr>
            </w:pPr>
            <w:r>
              <w:rPr>
                <w:rFonts w:ascii="Arial" w:cs="Arial" w:eastAsia="Arial" w:hAnsi="Arial"/>
                <w:sz w:val="16"/>
                <w:szCs w:val="16"/>
                <w:color w:val="auto"/>
                <w:w w:val="91"/>
              </w:rPr>
              <w:t>Average debt outstanding</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ind w:right="122"/>
              <w:spacing w:after="0"/>
              <w:rPr>
                <w:sz w:val="20"/>
                <w:szCs w:val="20"/>
                <w:color w:val="auto"/>
              </w:rPr>
            </w:pPr>
            <w:r>
              <w:rPr>
                <w:rFonts w:ascii="Arial" w:cs="Arial" w:eastAsia="Arial" w:hAnsi="Arial"/>
                <w:sz w:val="16"/>
                <w:szCs w:val="16"/>
                <w:color w:val="auto"/>
              </w:rPr>
              <w:t>94.7</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ind w:right="121"/>
              <w:spacing w:after="0"/>
              <w:rPr>
                <w:sz w:val="20"/>
                <w:szCs w:val="20"/>
                <w:color w:val="auto"/>
              </w:rPr>
            </w:pPr>
            <w:r>
              <w:rPr>
                <w:rFonts w:ascii="Arial" w:cs="Arial" w:eastAsia="Arial" w:hAnsi="Arial"/>
                <w:sz w:val="16"/>
                <w:szCs w:val="16"/>
                <w:color w:val="auto"/>
              </w:rPr>
              <w:t>95.9</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82"/>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(1.3)%</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ind w:right="122"/>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ind w:right="121"/>
              <w:spacing w:after="0"/>
              <w:rPr>
                <w:sz w:val="20"/>
                <w:szCs w:val="20"/>
                <w:color w:val="auto"/>
              </w:rPr>
            </w:pPr>
            <w:r>
              <w:rPr>
                <w:rFonts w:ascii="Arial" w:cs="Arial" w:eastAsia="Arial" w:hAnsi="Arial"/>
                <w:sz w:val="16"/>
                <w:szCs w:val="16"/>
                <w:color w:val="auto"/>
              </w:rPr>
              <w:t>92.4</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122"/>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09"/>
        </w:trPr>
        <w:tc>
          <w:tcPr>
            <w:tcW w:w="1700" w:type="dxa"/>
            <w:vAlign w:val="bottom"/>
          </w:tcPr>
          <w:p>
            <w:pPr>
              <w:ind w:left="180"/>
              <w:spacing w:after="0"/>
              <w:rPr>
                <w:sz w:val="20"/>
                <w:szCs w:val="20"/>
                <w:color w:val="auto"/>
              </w:rPr>
            </w:pPr>
            <w:r>
              <w:rPr>
                <w:rFonts w:ascii="Arial" w:cs="Arial" w:eastAsia="Arial" w:hAnsi="Arial"/>
                <w:sz w:val="16"/>
                <w:szCs w:val="16"/>
                <w:color w:val="auto"/>
              </w:rPr>
              <w:t>(dollars in billions)</w:t>
            </w:r>
          </w:p>
        </w:tc>
        <w:tc>
          <w:tcPr>
            <w:tcW w:w="1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70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w w:val="98"/>
              </w:rPr>
              <w:t>Effective rate of interest</w:t>
            </w: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2.7 %</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paid</w:t>
            </w: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 xml:space="preserve">GM Financial Revenue </w:t>
      </w:r>
      <w:r>
        <w:rPr>
          <w:rFonts w:ascii="Arial" w:cs="Arial" w:eastAsia="Arial" w:hAnsi="Arial"/>
          <w:sz w:val="18"/>
          <w:szCs w:val="18"/>
          <w:color w:val="auto"/>
        </w:rPr>
        <w:t>In the three months ended June 30, 2021, total revenue increased by an insignificant amount.</w:t>
      </w:r>
    </w:p>
    <w:p>
      <w:pPr>
        <w:spacing w:after="0" w:line="250" w:lineRule="exact"/>
        <w:rPr>
          <w:sz w:val="20"/>
          <w:szCs w:val="20"/>
          <w:color w:val="auto"/>
        </w:rPr>
      </w:pPr>
    </w:p>
    <w:p>
      <w:pPr>
        <w:jc w:val="both"/>
        <w:ind w:firstLine="161"/>
        <w:spacing w:after="0" w:line="259" w:lineRule="auto"/>
        <w:rPr>
          <w:sz w:val="20"/>
          <w:szCs w:val="20"/>
          <w:color w:val="auto"/>
        </w:rPr>
      </w:pPr>
      <w:r>
        <w:rPr>
          <w:rFonts w:ascii="Arial" w:cs="Arial" w:eastAsia="Arial" w:hAnsi="Arial"/>
          <w:sz w:val="18"/>
          <w:szCs w:val="18"/>
          <w:color w:val="auto"/>
        </w:rPr>
        <w:t>In the six months ended June 30, 2021, total revenue decreased primarily due to decreased leased vehicle income of $0.2 billion primarily due to a decline in the average balance of the leased vehicles portfolio.</w:t>
      </w:r>
    </w:p>
    <w:p>
      <w:pPr>
        <w:spacing w:after="0" w:line="198" w:lineRule="exact"/>
        <w:rPr>
          <w:sz w:val="20"/>
          <w:szCs w:val="20"/>
          <w:color w:val="auto"/>
        </w:rPr>
      </w:pPr>
    </w:p>
    <w:p>
      <w:pPr>
        <w:jc w:val="both"/>
        <w:ind w:firstLine="161"/>
        <w:spacing w:after="0" w:line="246" w:lineRule="auto"/>
        <w:rPr>
          <w:sz w:val="20"/>
          <w:szCs w:val="20"/>
          <w:color w:val="auto"/>
        </w:rPr>
      </w:pPr>
      <w:r>
        <w:rPr>
          <w:rFonts w:ascii="Arial" w:cs="Arial" w:eastAsia="Arial" w:hAnsi="Arial"/>
          <w:sz w:val="18"/>
          <w:szCs w:val="18"/>
          <w:b w:val="1"/>
          <w:bCs w:val="1"/>
          <w:i w:val="1"/>
          <w:iCs w:val="1"/>
          <w:color w:val="auto"/>
        </w:rPr>
        <w:t xml:space="preserve">GM Financial EBT-Adjusted </w:t>
      </w:r>
      <w:r>
        <w:rPr>
          <w:rFonts w:ascii="Arial" w:cs="Arial" w:eastAsia="Arial" w:hAnsi="Arial"/>
          <w:sz w:val="18"/>
          <w:szCs w:val="18"/>
          <w:color w:val="auto"/>
        </w:rPr>
        <w:t>In the three months ended June 30, 2021, EBT-adjusted increased primarily due to: (1) increased leased vehicle income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leased vehicle expenses of $0.9 billion primarily due to increased lease termination gains, due to the increase in used vehicle prices for the three months ended June 30, 2021 compared to the same period in 2020,</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as well as a decrease in depreciation on leased vehicles resulting from increased residual value estimates; (2) decreased provision for loan losses of $0.3 billion primarily due to a reduction in the reserve levels established during the three months ended June 30, 2020, following the onset of the COVID-19 pandemic, as a result of actual credit performance that was better than forecast and favorable expectations for future charge-offs and recoveries, reflecting improved forecast economic conditions; and (3) decreased interest expense of $0.2 billion due to decreased credit spreads on GM Financial debt.</w:t>
      </w:r>
    </w:p>
    <w:p>
      <w:pPr>
        <w:spacing w:after="0" w:line="183"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7"/>
          <w:szCs w:val="17"/>
          <w:color w:val="auto"/>
        </w:rPr>
        <w:t>In the six months ended June 30, 2021, EBT-adjusted increased primarily due to (1) increased leased vehicle income net of leased vehicle expenses of $1.2 billion primarily due to increased lease termination gains, due to the increase in used vehicle prices for the six months ended June 30, 2021 compared to the same period in 2020, as well as a decrease in depreciation on leased vehicles resulting from increased residual value estimates and a decrease in the size of the portfolio; (2) decreased provision for loan losses of $0.8 billion primarily due to a reduction in the reserve levels established during the six months ended June 30, 2020, following the onset of the COVID-19 pandemic, as a result of actual credit performance that was better than forecast and favorable expectations for future charge-offs and recoveries, reflecting improved forecast economic conditions; and (3) decreased interest expense of $0.3 billion due to decreased credit spreads on GM Financial debt.</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Liquidity and Capital Resources </w:t>
      </w:r>
      <w:r>
        <w:rPr>
          <w:rFonts w:ascii="Arial" w:cs="Arial" w:eastAsia="Arial" w:hAnsi="Arial"/>
          <w:sz w:val="18"/>
          <w:szCs w:val="18"/>
          <w:color w:val="auto"/>
        </w:rPr>
        <w:t>We believe our current levels of cash, cash equivalents, marketable debt securities, available borrowing capacity under</w:t>
      </w:r>
      <w:r>
        <w:rPr>
          <w:rFonts w:ascii="Arial" w:cs="Arial" w:eastAsia="Arial" w:hAnsi="Arial"/>
          <w:sz w:val="18"/>
          <w:szCs w:val="18"/>
          <w:b w:val="1"/>
          <w:bCs w:val="1"/>
          <w:color w:val="auto"/>
        </w:rPr>
        <w:t xml:space="preserve"> </w:t>
      </w:r>
      <w:r>
        <w:rPr>
          <w:rFonts w:ascii="Arial" w:cs="Arial" w:eastAsia="Arial" w:hAnsi="Arial"/>
          <w:sz w:val="18"/>
          <w:szCs w:val="18"/>
          <w:color w:val="auto"/>
        </w:rPr>
        <w:t>our revolving credit facilities and other liquidity actions currently available to us are sufficient to meet our liquidity requirements. We also maintain access to the capital markets and may issue debt or equity securities, which may provide an additional source of liquidity. We have substantial cash requirements going forward, which we plan to fund through our total available liquidity, cash flows from operating activities and additional liquidity measures, if determined to be necessary.</w:t>
      </w:r>
    </w:p>
    <w:p>
      <w:pPr>
        <w:spacing w:after="0" w:line="203"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7"/>
          <w:szCs w:val="17"/>
          <w:color w:val="auto"/>
        </w:rPr>
        <w:t>Our known current material uses of cash include, among other possible demands: (1) capital expenditures of approximately $9.0 billion to $10.0 billion in 2021 in addition to payments for engineering and product development activities; (2) payments associated with previously announced vehicle recalls and any other recall-related contingencies; and (3) payments to service debt and other long-term obligations, including discretionary and mandatory contributions to our pension plans. Our material future uses of cash, which may vary from time to time based on market conditions and other factors, are focused on the three objectives of our capital allocation program: (1) grow our business at an average target ROIC-adjusted rate of 20% or greater; (2) maintain a strong investment-grade balance sheet, including a target average automotive cash balance of $18 billion; and (3) after the first two objectives are met, return available cash to shareholders. Our senior management evaluates our capital allocation program on an ongoing basis and recommends any modifications to the program to our Board of Directors, not less than once annually.</w:t>
      </w:r>
    </w:p>
    <w:p>
      <w:pPr>
        <w:spacing w:after="0" w:line="206"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"Forward-Looking Statements" section of this MD&amp;A and Part I, Item 1A. Risk Factors of our 2020 Form 10-K, some of which are outside of our control.</w:t>
      </w:r>
    </w:p>
    <w:p>
      <w:pPr>
        <w:spacing w:after="0" w:line="197"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We continue to monitor and evaluate opportunities to strengthen our competitive position over the long term while maintaining a strong investment-grade balance sheet. These actions may include opportunistic payments to reduce our long-term obligations as well as the possibility of acquisitions, dispositions and investments with joint venture partners as well as strategic alliances that we believe would generate significant advantages and substantially strengthen our business.</w:t>
      </w:r>
    </w:p>
    <w:p>
      <w:pPr>
        <w:spacing w:after="0" w:line="212"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color w:val="auto"/>
        </w:rPr>
        <w:t>Cash flows occur amongst our Automotive, Cruise and GM Financial operations that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loans to Automotive from GM Financial, dividends issued by GM Financial to Automotive, tax payments by GM Financial to Automotive and Automotive cash injections in Cruise. The presentation of Automotive liquidity, Cruise liquidity and GM Financial liquidity presented below includes the impact of cash transactions amongst the sectors that are ultimately eliminated in consolidation.</w:t>
      </w: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i w:val="1"/>
          <w:iCs w:val="1"/>
          <w:color w:val="auto"/>
        </w:rPr>
        <w:t xml:space="preserve">Automotive Liquidity </w:t>
      </w:r>
      <w:r>
        <w:rPr>
          <w:rFonts w:ascii="Arial" w:cs="Arial" w:eastAsia="Arial" w:hAnsi="Arial"/>
          <w:sz w:val="17"/>
          <w:szCs w:val="17"/>
          <w:color w:val="auto"/>
        </w:rPr>
        <w:t>Total available liquidity includes cash, cash equivalents, marketable debt securities and funds available under credit facilities.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of available liquidity is subject to seasonal fluctuations and includes balances held by various business units and subsidiaries worldwide that are needed to fund their operations. We have not significantly changed the management of our liquidity, including our allocation of available liquidity, our portfolio composition and our investment guidelines since December 31, 2020. Refer to Part II, Item 7. MD&amp;A of our 2020 Form 10-K.</w:t>
      </w:r>
    </w:p>
    <w:p>
      <w:pPr>
        <w:spacing w:after="0" w:line="198" w:lineRule="exact"/>
        <w:rPr>
          <w:sz w:val="20"/>
          <w:szCs w:val="20"/>
          <w:color w:val="auto"/>
        </w:rPr>
      </w:pPr>
    </w:p>
    <w:p>
      <w:pPr>
        <w:jc w:val="both"/>
        <w:ind w:firstLine="161"/>
        <w:spacing w:after="0" w:line="246" w:lineRule="auto"/>
        <w:rPr>
          <w:sz w:val="20"/>
          <w:szCs w:val="20"/>
          <w:color w:val="auto"/>
        </w:rPr>
      </w:pPr>
      <w:r>
        <w:rPr>
          <w:rFonts w:ascii="Arial" w:cs="Arial" w:eastAsia="Arial" w:hAnsi="Arial"/>
          <w:sz w:val="18"/>
          <w:szCs w:val="18"/>
          <w:color w:val="auto"/>
        </w:rPr>
        <w:t>We use credit facilities as a mechanism to provide additional flexibility in managing our global liquidity. Our Automotive borrowing capacity under credit facilities totaled $17.5 billion at June 30, 2021 and $18.5 billion at December 31, 2020. Total Automotive borrowing capacity under our credit facilities does not include our 364-day, $2.0 billion facility allocated for</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exclusive use by GM Financial. We did not have any borrowings against our primary facilities, but had letters of credit outstanding under our sub-facility of $0.3 billion at June 30, 2021 and December 31, 2020.</w:t>
      </w:r>
    </w:p>
    <w:p>
      <w:pPr>
        <w:spacing w:after="0" w:line="198" w:lineRule="exact"/>
        <w:rPr>
          <w:sz w:val="20"/>
          <w:szCs w:val="20"/>
          <w:color w:val="auto"/>
        </w:rPr>
      </w:pPr>
    </w:p>
    <w:p>
      <w:pPr>
        <w:jc w:val="both"/>
        <w:ind w:firstLine="161"/>
        <w:spacing w:after="0" w:line="292" w:lineRule="auto"/>
        <w:rPr>
          <w:sz w:val="20"/>
          <w:szCs w:val="20"/>
          <w:color w:val="auto"/>
        </w:rPr>
      </w:pPr>
      <w:r>
        <w:rPr>
          <w:rFonts w:ascii="Arial" w:cs="Arial" w:eastAsia="Arial" w:hAnsi="Arial"/>
          <w:sz w:val="16"/>
          <w:szCs w:val="16"/>
          <w:color w:val="auto"/>
        </w:rPr>
        <w:t>In April 2021, we increased the total borrowing capacity of our five-year, $10.5 billion facility to $11.2 billion and extended the termination date for a $9.9 billion portion of the five-year facility by three years, now set to mature on April 18, 2026. The termination date of April 18, 2023 for the remaining portion of the five-year facility remains unchanged. We also renewed and increased the total borrowing capacity of our three-year, $4.0 billion facility to $4.3 billion, which now matures on April 7, 2024, and renewed our 364-day, $2.0 billion facility allocated for exclusive use by GM Financial, which now matures on April 6, 2022. We also terminated our 364-day, $2.0 billion revolving credit facility, entered into in May 2020. Additionally, the prior restrictions on share repurchases and dividends on our common shares were removed upon entrance into the renewed three-year, $4.3 billion facility.</w:t>
      </w:r>
    </w:p>
    <w:p>
      <w:pPr>
        <w:spacing w:after="0" w:line="189"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If available capacity permits, GM Financial continues to have access to our automotive credit facilities, except for the three-year, $2.0 billion transformation facility. GM Financial did not have borrowings outstanding against any of these facilities at June 30, 2021 and December 31, 2020. We had intercompany loans from GM Financial of $0.3 billion and $0.4 billion at June 30, 2021 and December 31, 2020, which primarily consisted of commercial loans to dealers we consolidate. We did not have intercompany loans to GM Financial at June 30, 2021 and December 31, 2020. Refer to Note 4 to our condensed consolidated financial statements for additional information.</w:t>
      </w:r>
    </w:p>
    <w:p>
      <w:pPr>
        <w:spacing w:after="0" w:line="217"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GM Financial's Board of Directors declared and paid dividends of $0.6 billion and $1.2 billion on its common stock in the three and six months ended June 30, 2021 and $0.4 billion and $0.8 billion in the three and six months ended June 30, 2020. Current dividend levels are reflective of record GM Financial earnings supported by strong residual values, favorable credit performance and improved economic conditions. Future dividends from GM Financial will depend on several factors including business and economic conditions, its financial condition, earnings, liquidity requirements and leverage ratio.</w:t>
      </w:r>
    </w:p>
    <w:p>
      <w:pPr>
        <w:spacing w:after="0" w:line="217"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Several of our loan facilities, including our revolving credit facilities, require compliance with certain financial and operational covenants as well as regular reporting to lenders. We have reviewed our covenants in effect as of June 30, 2021 and determined we are in compliance and expect to remain in compliance in the future.</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our available liquidity (dollars in billions):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December 31, 2020</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cash and cash equivalents</w:t>
            </w:r>
          </w:p>
        </w:tc>
        <w:tc>
          <w:tcPr>
            <w:tcW w:w="126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Marketable debt securities</w:t>
            </w:r>
          </w:p>
        </w:tc>
        <w:tc>
          <w:tcPr>
            <w:tcW w:w="1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r>
      <w:tr>
        <w:trPr>
          <w:trHeight w:val="22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cash, cash equivalents and marketable debt securities</w:t>
            </w: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Cruise cash and cash equivalents(a)</w:t>
            </w:r>
          </w:p>
        </w:tc>
        <w:tc>
          <w:tcPr>
            <w:tcW w:w="1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Cruise marketable debt securities(a)</w:t>
            </w:r>
          </w:p>
        </w:tc>
        <w:tc>
          <w:tcPr>
            <w:tcW w:w="12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2"/>
        </w:trPr>
        <w:tc>
          <w:tcPr>
            <w:tcW w:w="7820" w:type="dxa"/>
            <w:vAlign w:val="bottom"/>
          </w:tcPr>
          <w:p>
            <w:pPr>
              <w:ind w:left="20"/>
              <w:spacing w:after="0"/>
              <w:rPr>
                <w:sz w:val="20"/>
                <w:szCs w:val="20"/>
                <w:color w:val="auto"/>
              </w:rPr>
            </w:pPr>
            <w:r>
              <w:rPr>
                <w:rFonts w:ascii="Arial" w:cs="Arial" w:eastAsia="Arial" w:hAnsi="Arial"/>
                <w:sz w:val="18"/>
                <w:szCs w:val="18"/>
                <w:color w:val="auto"/>
              </w:rPr>
              <w:t>Available liquidity</w:t>
            </w:r>
          </w:p>
        </w:tc>
        <w:tc>
          <w:tcPr>
            <w:tcW w:w="1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24.8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under credit facilities</w:t>
            </w:r>
          </w:p>
        </w:tc>
        <w:tc>
          <w:tcPr>
            <w:tcW w:w="12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2"/>
        </w:trPr>
        <w:tc>
          <w:tcPr>
            <w:tcW w:w="7820" w:type="dxa"/>
            <w:vAlign w:val="bottom"/>
          </w:tcPr>
          <w:p>
            <w:pPr>
              <w:ind w:left="20"/>
              <w:spacing w:after="0"/>
              <w:rPr>
                <w:sz w:val="20"/>
                <w:szCs w:val="20"/>
                <w:color w:val="auto"/>
              </w:rPr>
            </w:pPr>
            <w:r>
              <w:rPr>
                <w:rFonts w:ascii="Arial" w:cs="Arial" w:eastAsia="Arial" w:hAnsi="Arial"/>
                <w:sz w:val="18"/>
                <w:szCs w:val="18"/>
                <w:color w:val="auto"/>
              </w:rPr>
              <w:t>Total available liquidity</w:t>
            </w:r>
          </w:p>
        </w:tc>
        <w:tc>
          <w:tcPr>
            <w:tcW w:w="1260" w:type="dxa"/>
            <w:vAlign w:val="bottom"/>
            <w:tcBorders>
              <w:bottom w:val="single" w:sz="8" w:color="auto"/>
            </w:tcBorders>
          </w:tcPr>
          <w:p>
            <w:pPr>
              <w:jc w:val="right"/>
              <w:ind w:right="105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42.0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r>
      <w:tr>
        <w:trPr>
          <w:trHeight w:val="20"/>
        </w:trPr>
        <w:tc>
          <w:tcPr>
            <w:tcW w:w="78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Amounts are designated exclusively for the use of Cruise.</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changes in our Automotive available liquidity (excluding Cruise, dollars in billions):</w:t>
      </w:r>
    </w:p>
    <w:p>
      <w:pPr>
        <w:spacing w:after="0" w:line="123"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Six Months Ended June</w:t>
      </w:r>
    </w:p>
    <w:p>
      <w:pPr>
        <w:jc w:val="center"/>
        <w:ind w:left="9560"/>
        <w:spacing w:after="0"/>
        <w:rPr>
          <w:sz w:val="20"/>
          <w:szCs w:val="20"/>
          <w:color w:val="auto"/>
        </w:rPr>
      </w:pPr>
      <w:r>
        <w:rPr>
          <w:rFonts w:ascii="Arial" w:cs="Arial" w:eastAsia="Arial" w:hAnsi="Arial"/>
          <w:sz w:val="14"/>
          <w:szCs w:val="14"/>
          <w:b w:val="1"/>
          <w:bCs w:val="1"/>
          <w:color w:val="auto"/>
        </w:rPr>
        <w:t>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7132955" cy="1536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cash flow</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447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GM investment in Cruise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Decrease in available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2955" cy="1447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non-operating</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change in automotive available liquidity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left="1334" w:hanging="1334"/>
        <w:spacing w:after="0"/>
        <w:tabs>
          <w:tab w:leader="none" w:pos="1334" w:val="left"/>
        </w:tabs>
        <w:numPr>
          <w:ilvl w:val="0"/>
          <w:numId w:val="28"/>
        </w:numPr>
        <w:rPr>
          <w:rFonts w:ascii="Arial" w:cs="Arial" w:eastAsia="Arial" w:hAnsi="Arial"/>
          <w:sz w:val="18"/>
          <w:szCs w:val="18"/>
          <w:color w:val="auto"/>
        </w:rPr>
      </w:pPr>
      <w:r>
        <w:rPr>
          <w:rFonts w:ascii="Arial" w:cs="Arial" w:eastAsia="Arial" w:hAnsi="Arial"/>
          <w:sz w:val="18"/>
          <w:szCs w:val="18"/>
          <w:color w:val="auto"/>
        </w:rPr>
        <w:t>2.9</w:t>
      </w:r>
    </w:p>
    <w:p>
      <w:pPr>
        <w:spacing w:after="0" w:line="22" w:lineRule="exact"/>
        <w:rPr>
          <w:rFonts w:ascii="Arial" w:cs="Arial" w:eastAsia="Arial" w:hAnsi="Arial"/>
          <w:sz w:val="18"/>
          <w:szCs w:val="18"/>
          <w:color w:val="auto"/>
        </w:rPr>
      </w:pPr>
    </w:p>
    <w:p>
      <w:pPr>
        <w:ind w:left="1274"/>
        <w:spacing w:after="0"/>
        <w:rPr>
          <w:rFonts w:ascii="Arial" w:cs="Arial" w:eastAsia="Arial" w:hAnsi="Arial"/>
          <w:sz w:val="18"/>
          <w:szCs w:val="18"/>
          <w:color w:val="auto"/>
        </w:rPr>
      </w:pPr>
      <w:r>
        <w:rPr>
          <w:rFonts w:ascii="Arial" w:cs="Arial" w:eastAsia="Arial" w:hAnsi="Arial"/>
          <w:sz w:val="16"/>
          <w:szCs w:val="16"/>
          <w:color w:val="auto"/>
        </w:rPr>
        <w:t>(2.4)</w:t>
      </w:r>
    </w:p>
    <w:p>
      <w:pPr>
        <w:spacing w:after="0" w:line="44" w:lineRule="exact"/>
        <w:rPr>
          <w:rFonts w:ascii="Arial" w:cs="Arial" w:eastAsia="Arial" w:hAnsi="Arial"/>
          <w:sz w:val="18"/>
          <w:szCs w:val="18"/>
          <w:color w:val="auto"/>
        </w:rPr>
      </w:pPr>
    </w:p>
    <w:p>
      <w:pPr>
        <w:ind w:left="1274"/>
        <w:spacing w:after="0"/>
        <w:rPr>
          <w:rFonts w:ascii="Arial" w:cs="Arial" w:eastAsia="Arial" w:hAnsi="Arial"/>
          <w:sz w:val="18"/>
          <w:szCs w:val="18"/>
          <w:color w:val="auto"/>
        </w:rPr>
      </w:pPr>
      <w:r>
        <w:rPr>
          <w:rFonts w:ascii="Arial" w:cs="Arial" w:eastAsia="Arial" w:hAnsi="Arial"/>
          <w:sz w:val="16"/>
          <w:szCs w:val="16"/>
          <w:color w:val="auto"/>
        </w:rPr>
        <w:t>(1.0)</w:t>
      </w:r>
    </w:p>
    <w:p>
      <w:pPr>
        <w:spacing w:after="0" w:line="44" w:lineRule="exact"/>
        <w:rPr>
          <w:rFonts w:ascii="Arial" w:cs="Arial" w:eastAsia="Arial" w:hAnsi="Arial"/>
          <w:sz w:val="18"/>
          <w:szCs w:val="18"/>
          <w:color w:val="auto"/>
        </w:rPr>
      </w:pPr>
    </w:p>
    <w:p>
      <w:pPr>
        <w:ind w:left="1274"/>
        <w:spacing w:after="0"/>
        <w:rPr>
          <w:rFonts w:ascii="Arial" w:cs="Arial" w:eastAsia="Arial" w:hAnsi="Arial"/>
          <w:sz w:val="18"/>
          <w:szCs w:val="18"/>
          <w:color w:val="auto"/>
        </w:rPr>
      </w:pPr>
      <w:r>
        <w:rPr>
          <w:rFonts w:ascii="Arial" w:cs="Arial" w:eastAsia="Arial" w:hAnsi="Arial"/>
          <w:sz w:val="16"/>
          <w:szCs w:val="16"/>
          <w:color w:val="auto"/>
        </w:rPr>
        <w:t>(1.0)</w:t>
      </w:r>
    </w:p>
    <w:p>
      <w:pPr>
        <w:spacing w:after="0" w:line="44" w:lineRule="exact"/>
        <w:rPr>
          <w:rFonts w:ascii="Arial" w:cs="Arial" w:eastAsia="Arial" w:hAnsi="Arial"/>
          <w:sz w:val="18"/>
          <w:szCs w:val="18"/>
          <w:color w:val="auto"/>
        </w:rPr>
      </w:pPr>
    </w:p>
    <w:p>
      <w:pPr>
        <w:ind w:left="1274"/>
        <w:spacing w:after="0"/>
        <w:rPr>
          <w:rFonts w:ascii="Arial" w:cs="Arial" w:eastAsia="Arial" w:hAnsi="Arial"/>
          <w:sz w:val="18"/>
          <w:szCs w:val="18"/>
          <w:color w:val="auto"/>
        </w:rPr>
      </w:pPr>
      <w:r>
        <w:rPr>
          <w:rFonts w:ascii="Arial" w:cs="Arial" w:eastAsia="Arial" w:hAnsi="Arial"/>
          <w:sz w:val="16"/>
          <w:szCs w:val="16"/>
          <w:color w:val="auto"/>
        </w:rPr>
        <w:t>(0.9)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10496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49655" cy="8255"/>
                    </a:xfrm>
                    <a:prstGeom prst="rect">
                      <a:avLst/>
                    </a:prstGeom>
                    <a:noFill/>
                  </pic:spPr>
                </pic:pic>
              </a:graphicData>
            </a:graphic>
          </wp:anchor>
        </w:drawing>
      </w:r>
    </w:p>
    <w:p>
      <w:pPr>
        <w:spacing w:after="0" w:line="37" w:lineRule="exact"/>
        <w:rPr>
          <w:sz w:val="20"/>
          <w:szCs w:val="20"/>
          <w:color w:val="auto"/>
        </w:rPr>
      </w:pPr>
    </w:p>
    <w:p>
      <w:pPr>
        <w:ind w:left="1274" w:hanging="1274"/>
        <w:spacing w:after="0"/>
        <w:tabs>
          <w:tab w:leader="none" w:pos="1274" w:val="left"/>
        </w:tabs>
        <w:numPr>
          <w:ilvl w:val="0"/>
          <w:numId w:val="29"/>
        </w:numPr>
        <w:rPr>
          <w:rFonts w:ascii="Arial" w:cs="Arial" w:eastAsia="Arial" w:hAnsi="Arial"/>
          <w:sz w:val="16"/>
          <w:szCs w:val="16"/>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28575</wp:posOffset>
            </wp:positionV>
            <wp:extent cx="10496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496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54610</wp:posOffset>
            </wp:positionV>
            <wp:extent cx="10496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4965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886" w:space="720"/>
            <w:col w:w="1634"/>
          </w:cols>
          <w:pgMar w:left="320" w:top="125" w:right="339"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238125</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Automotive Cash Flow (dollars in billions)</w:t>
      </w: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670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8"/>
        </w:trPr>
        <w:tc>
          <w:tcPr>
            <w:tcW w:w="670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3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Change</w:t>
            </w:r>
          </w:p>
        </w:tc>
      </w:tr>
      <w:tr>
        <w:trPr>
          <w:trHeight w:val="215"/>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4.7</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Depreciation, amortization and impairment charges</w:t>
            </w:r>
          </w:p>
        </w:tc>
        <w:tc>
          <w:tcPr>
            <w:tcW w:w="126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5"/>
              </w:rPr>
              <w:t>2.8</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7"/>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OPEB activities</w:t>
            </w: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126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(3.2)</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91"/>
              </w:rPr>
              <w:t>(5.8)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and other liabilities and income taxes</w:t>
            </w: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8"/>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1.0</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4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automotive cash provided by (used in) operating activities</w:t>
            </w:r>
          </w:p>
        </w:tc>
        <w:tc>
          <w:tcPr>
            <w:tcW w:w="1260" w:type="dxa"/>
            <w:vAlign w:val="bottom"/>
            <w:tcBorders>
              <w:bottom w:val="single" w:sz="8" w:color="auto"/>
            </w:tcBorders>
            <w:shd w:val="clear" w:color="auto" w:fill="CCEEFF"/>
          </w:tcPr>
          <w:p>
            <w:pPr>
              <w:jc w:val="right"/>
              <w:ind w:right="105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In the six months ended June 30, 2021, the increase in Net automotive cash provided by (used in) operating activities was primarily due to: (1) favorable pre-tax earnings of $6.1 billion; (2) favorable working capital primarily due to favorable accounts payable of $4.5 billion, partially offset by unfavorable inventory of $2.4 billion; (3) lower sales incentive payments of $0.7 billion; (4) higher dividends received from GM Financial of $0.4 billion; and (5) several other insignificant items.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670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8"/>
        </w:trPr>
        <w:tc>
          <w:tcPr>
            <w:tcW w:w="670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3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Change</w:t>
            </w:r>
          </w:p>
        </w:tc>
      </w:tr>
      <w:tr>
        <w:trPr>
          <w:trHeight w:val="215"/>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91"/>
              </w:rPr>
              <w:t>(0.1)</w:t>
            </w: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Acquisitions and liquidations of marketable securities, net(a)</w:t>
            </w:r>
          </w:p>
        </w:tc>
        <w:tc>
          <w:tcPr>
            <w:tcW w:w="126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5"/>
              </w:rPr>
              <w:t>4.0</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center"/>
              <w:ind w:left="393"/>
              <w:spacing w:after="0"/>
              <w:rPr>
                <w:sz w:val="20"/>
                <w:szCs w:val="20"/>
                <w:color w:val="auto"/>
              </w:rPr>
            </w:pPr>
            <w:r>
              <w:rPr>
                <w:rFonts w:ascii="Arial" w:cs="Arial" w:eastAsia="Arial" w:hAnsi="Arial"/>
                <w:sz w:val="18"/>
                <w:szCs w:val="18"/>
                <w:color w:val="auto"/>
                <w:w w:val="87"/>
              </w:rPr>
              <w:t>7.3</w:t>
            </w: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investment in Cruise</w:t>
            </w:r>
          </w:p>
        </w:tc>
        <w:tc>
          <w:tcPr>
            <w:tcW w:w="126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91"/>
              </w:rPr>
              <w:t>(1.0)</w:t>
            </w: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Other</w:t>
            </w:r>
          </w:p>
        </w:tc>
        <w:tc>
          <w:tcPr>
            <w:tcW w:w="126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(0.3)</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center"/>
              <w:ind w:left="353"/>
              <w:spacing w:after="0"/>
              <w:rPr>
                <w:sz w:val="20"/>
                <w:szCs w:val="20"/>
                <w:color w:val="auto"/>
              </w:rPr>
            </w:pPr>
            <w:r>
              <w:rPr>
                <w:rFonts w:ascii="Arial" w:cs="Arial" w:eastAsia="Arial" w:hAnsi="Arial"/>
                <w:sz w:val="18"/>
                <w:szCs w:val="18"/>
                <w:color w:val="auto"/>
                <w:w w:val="91"/>
              </w:rPr>
              <w:t>(0.3)</w:t>
            </w:r>
          </w:p>
        </w:tc>
      </w:tr>
      <w:tr>
        <w:trPr>
          <w:trHeight w:val="247"/>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automotive cash provided by (used in) investing activities</w:t>
            </w:r>
          </w:p>
        </w:tc>
        <w:tc>
          <w:tcPr>
            <w:tcW w:w="1260" w:type="dxa"/>
            <w:vAlign w:val="bottom"/>
            <w:tcBorders>
              <w:top w:val="single" w:sz="8" w:color="auto"/>
              <w:bottom w:val="single" w:sz="8" w:color="auto"/>
            </w:tcBorders>
            <w:shd w:val="clear" w:color="auto" w:fill="CCEEFF"/>
          </w:tcPr>
          <w:p>
            <w:pPr>
              <w:jc w:val="right"/>
              <w:ind w:right="1059"/>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center"/>
              <w:ind w:left="393"/>
              <w:spacing w:after="0"/>
              <w:rPr>
                <w:sz w:val="20"/>
                <w:szCs w:val="20"/>
                <w:color w:val="auto"/>
              </w:rPr>
            </w:pPr>
            <w:r>
              <w:rPr>
                <w:rFonts w:ascii="Arial" w:cs="Arial" w:eastAsia="Arial" w:hAnsi="Arial"/>
                <w:sz w:val="18"/>
                <w:szCs w:val="18"/>
                <w:color w:val="auto"/>
                <w:w w:val="87"/>
              </w:rPr>
              <w:t>5.9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Amount includes $0.6 billion of proceeds from the sale of our remaining shares in Lyft in the six months ended June 30, 2020.</w:t>
      </w:r>
    </w:p>
    <w:p>
      <w:pPr>
        <w:spacing w:after="0" w:line="231"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the six months ended June 30, 2021, cash provided by acquisitions and liquidations of marketable securities, net increased due to liquidations of securities to fund operating activities and investments, compared to net acquisitions of securities from revolver proceeds during the six months ended June 30, 2020.</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670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8"/>
        </w:trPr>
        <w:tc>
          <w:tcPr>
            <w:tcW w:w="6700" w:type="dxa"/>
            <w:vAlign w:val="bottom"/>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3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Change</w:t>
            </w:r>
          </w:p>
        </w:tc>
      </w:tr>
      <w:tr>
        <w:trPr>
          <w:trHeight w:val="215"/>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against credit facilities</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Net proceeds (payments) from short-term debt(a)</w:t>
            </w:r>
          </w:p>
        </w:tc>
        <w:tc>
          <w:tcPr>
            <w:tcW w:w="1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1"/>
              </w:rPr>
              <w:t>(0.5)</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senior unsecured notes</w:t>
            </w:r>
          </w:p>
        </w:tc>
        <w:tc>
          <w:tcPr>
            <w:tcW w:w="12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Dividends paid and payments to purchase common stock</w:t>
            </w:r>
          </w:p>
        </w:tc>
        <w:tc>
          <w:tcPr>
            <w:tcW w:w="126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2"/>
        </w:trPr>
        <w:tc>
          <w:tcPr>
            <w:tcW w:w="6700" w:type="dxa"/>
            <w:vAlign w:val="bottom"/>
          </w:tcPr>
          <w:p>
            <w:pPr>
              <w:ind w:left="20"/>
              <w:spacing w:after="0"/>
              <w:rPr>
                <w:sz w:val="20"/>
                <w:szCs w:val="20"/>
                <w:color w:val="auto"/>
              </w:rPr>
            </w:pPr>
            <w:r>
              <w:rPr>
                <w:rFonts w:ascii="Arial" w:cs="Arial" w:eastAsia="Arial" w:hAnsi="Arial"/>
                <w:sz w:val="18"/>
                <w:szCs w:val="18"/>
                <w:color w:val="auto"/>
              </w:rPr>
              <w:t>Net automotive cash (used in) provided by financing activities</w:t>
            </w:r>
          </w:p>
        </w:tc>
        <w:tc>
          <w:tcPr>
            <w:tcW w:w="1260" w:type="dxa"/>
            <w:vAlign w:val="bottom"/>
            <w:tcBorders>
              <w:bottom w:val="single" w:sz="8" w:color="auto"/>
            </w:tcBorders>
          </w:tcPr>
          <w:p>
            <w:pPr>
              <w:jc w:val="right"/>
              <w:ind w:right="105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(0.4)</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1056"/>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20.6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0"/>
        </w:trPr>
        <w:tc>
          <w:tcPr>
            <w:tcW w:w="6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Amount includes $0.9 billion intercompany loans from GM Financial for subvention owed in the six months ended June 30, 2020.</w:t>
      </w:r>
    </w:p>
    <w:p>
      <w:pPr>
        <w:spacing w:after="0" w:line="231"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i w:val="1"/>
          <w:iCs w:val="1"/>
          <w:color w:val="auto"/>
        </w:rPr>
        <w:t xml:space="preserve">Adjusted Automotive Free Cash Flow </w:t>
      </w:r>
      <w:r>
        <w:rPr>
          <w:rFonts w:ascii="Arial" w:cs="Arial" w:eastAsia="Arial" w:hAnsi="Arial"/>
          <w:sz w:val="17"/>
          <w:szCs w:val="17"/>
          <w:color w:val="auto"/>
        </w:rPr>
        <w:t>We measure adjusted automotive free cash flow as automotive operating cash flow from operations less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expenditures adjusted for management actions. In the six months ended June 30, 2021, net automotive cash provided by operating activities under U.S. GAAP was $2.9 billion, capital expenditures were $2.4 billion, and adjustments for management actions were insignificant.</w:t>
      </w:r>
    </w:p>
    <w:p>
      <w:pPr>
        <w:spacing w:after="0" w:line="193"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In the six months ended June 30, 2020, net automotive cash used in operating activities under U.S. GAAP was $7.7 billion, capital expenditures were $2.3 billion, and adjustments for management actions were insignificant.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ind w:firstLine="161"/>
        <w:spacing w:after="0" w:line="300" w:lineRule="auto"/>
        <w:rPr>
          <w:sz w:val="20"/>
          <w:szCs w:val="20"/>
          <w:color w:val="auto"/>
        </w:rPr>
      </w:pPr>
      <w:r>
        <w:rPr>
          <w:rFonts w:ascii="Arial" w:cs="Arial" w:eastAsia="Arial" w:hAnsi="Arial"/>
          <w:sz w:val="16"/>
          <w:szCs w:val="16"/>
          <w:i w:val="1"/>
          <w:iCs w:val="1"/>
          <w:color w:val="auto"/>
        </w:rPr>
        <w:t xml:space="preserve">Status of Credit Ratings </w:t>
      </w:r>
      <w:r>
        <w:rPr>
          <w:rFonts w:ascii="Arial" w:cs="Arial" w:eastAsia="Arial" w:hAnsi="Arial"/>
          <w:sz w:val="16"/>
          <w:szCs w:val="16"/>
          <w:color w:val="auto"/>
        </w:rPr>
        <w:t>We receive ratings from four independent credit rating agencies: DBRS Limited (DBRS), Fitch Ratings, Moody's Investor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Service and Standard &amp; Poor's. All four credit rating agencies currently rate our corporate credit at investment grade. In March 2021, Moody’s Investor Services affirmed our investment-grade credit ratings and raised our ratings outlook to stable. In June 2021, DBRS affirmed our investment-grade credit rating and raised our ratings outlook to positive. As of </w:t>
      </w:r>
      <w:r>
        <w:rPr>
          <w:rFonts w:ascii="Arial" w:cs="Arial" w:eastAsia="Arial" w:hAnsi="Arial"/>
          <w:sz w:val="15"/>
          <w:szCs w:val="15"/>
          <w:color w:val="auto"/>
        </w:rPr>
        <w:t>July 19, 2021</w:t>
      </w:r>
      <w:r>
        <w:rPr>
          <w:rFonts w:ascii="Arial" w:cs="Arial" w:eastAsia="Arial" w:hAnsi="Arial"/>
          <w:sz w:val="16"/>
          <w:szCs w:val="16"/>
          <w:color w:val="auto"/>
        </w:rPr>
        <w:t>, all other credit ratings remained unchanged since December 31, 2020.</w:t>
      </w:r>
    </w:p>
    <w:p>
      <w:pPr>
        <w:spacing w:after="0" w:line="195"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b w:val="1"/>
          <w:bCs w:val="1"/>
          <w:i w:val="1"/>
          <w:iCs w:val="1"/>
          <w:color w:val="auto"/>
        </w:rPr>
        <w:t xml:space="preserve">Cruise Liquidity </w:t>
      </w:r>
      <w:r>
        <w:rPr>
          <w:rFonts w:ascii="Arial" w:cs="Arial" w:eastAsia="Arial" w:hAnsi="Arial"/>
          <w:sz w:val="18"/>
          <w:szCs w:val="18"/>
          <w:color w:val="auto"/>
        </w:rPr>
        <w:t>In the six months ended June 30, 2021, Cruise Holdings issued Cruise Class G Preferred Shares in exchange for $2.7 billion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Microsoft, Walmart and other investors, including $1.0 billion from General Motors Holdings LLC. Refer to Note 16 to our condensed consolidated financial statements for additional information. When Cruise's autonomous vehicles are ready for commercial deployment, Softbank Vision Fund (AIV M2), L.P. is obligated to purchase additional Cruise convertible preferred shares for $1.35 billion.</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changes in our Cruise available liquidity (dollars in billions):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4"/>
                <w:szCs w:val="1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87"/>
        </w:trPr>
        <w:tc>
          <w:tcPr>
            <w:tcW w:w="94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r>
      <w:tr>
        <w:trPr>
          <w:trHeight w:val="223"/>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w:t>
            </w:r>
          </w:p>
        </w:tc>
        <w:tc>
          <w:tcPr>
            <w:tcW w:w="44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center"/>
              <w:ind w:left="874"/>
              <w:spacing w:after="0"/>
              <w:rPr>
                <w:sz w:val="20"/>
                <w:szCs w:val="20"/>
                <w:color w:val="auto"/>
              </w:rPr>
            </w:pPr>
            <w:r>
              <w:rPr>
                <w:rFonts w:ascii="Arial" w:cs="Arial" w:eastAsia="Arial" w:hAnsi="Arial"/>
                <w:sz w:val="18"/>
                <w:szCs w:val="18"/>
                <w:color w:val="auto"/>
                <w:w w:val="91"/>
              </w:rPr>
              <w:t>(0.5)</w:t>
            </w:r>
          </w:p>
        </w:tc>
      </w:tr>
      <w:tr>
        <w:trPr>
          <w:trHeight w:val="228"/>
        </w:trPr>
        <w:tc>
          <w:tcPr>
            <w:tcW w:w="9460" w:type="dxa"/>
            <w:vAlign w:val="bottom"/>
          </w:tcPr>
          <w:p>
            <w:pPr>
              <w:ind w:left="20"/>
              <w:spacing w:after="0"/>
              <w:rPr>
                <w:sz w:val="20"/>
                <w:szCs w:val="20"/>
                <w:color w:val="auto"/>
              </w:rPr>
            </w:pPr>
            <w:r>
              <w:rPr>
                <w:rFonts w:ascii="Arial" w:cs="Arial" w:eastAsia="Arial" w:hAnsi="Arial"/>
                <w:sz w:val="18"/>
                <w:szCs w:val="18"/>
                <w:color w:val="auto"/>
              </w:rPr>
              <w:t>Issuance of Cruise Preferred Shares</w:t>
            </w:r>
          </w:p>
        </w:tc>
        <w:tc>
          <w:tcPr>
            <w:tcW w:w="440" w:type="dxa"/>
            <w:vAlign w:val="bottom"/>
          </w:tcPr>
          <w:p>
            <w:pPr>
              <w:spacing w:after="0"/>
              <w:rPr>
                <w:sz w:val="19"/>
                <w:szCs w:val="19"/>
                <w:color w:val="auto"/>
              </w:rPr>
            </w:pPr>
          </w:p>
        </w:tc>
        <w:tc>
          <w:tcPr>
            <w:tcW w:w="1340" w:type="dxa"/>
            <w:vAlign w:val="bottom"/>
          </w:tcPr>
          <w:p>
            <w:pPr>
              <w:jc w:val="center"/>
              <w:ind w:left="874"/>
              <w:spacing w:after="0"/>
              <w:rPr>
                <w:sz w:val="20"/>
                <w:szCs w:val="20"/>
                <w:color w:val="auto"/>
              </w:rPr>
            </w:pPr>
            <w:r>
              <w:rPr>
                <w:rFonts w:ascii="Arial" w:cs="Arial" w:eastAsia="Arial" w:hAnsi="Arial"/>
                <w:sz w:val="18"/>
                <w:szCs w:val="18"/>
                <w:color w:val="auto"/>
                <w:w w:val="87"/>
              </w:rPr>
              <w:t>1.7</w:t>
            </w:r>
          </w:p>
        </w:tc>
      </w:tr>
      <w:tr>
        <w:trPr>
          <w:trHeight w:val="228"/>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investment in Cruise</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874"/>
              <w:spacing w:after="0"/>
              <w:rPr>
                <w:sz w:val="20"/>
                <w:szCs w:val="20"/>
                <w:color w:val="auto"/>
              </w:rPr>
            </w:pPr>
            <w:r>
              <w:rPr>
                <w:rFonts w:ascii="Arial" w:cs="Arial" w:eastAsia="Arial" w:hAnsi="Arial"/>
                <w:sz w:val="18"/>
                <w:szCs w:val="18"/>
                <w:color w:val="auto"/>
                <w:w w:val="87"/>
              </w:rPr>
              <w:t>1.0</w:t>
            </w:r>
          </w:p>
        </w:tc>
      </w:tr>
      <w:tr>
        <w:trPr>
          <w:trHeight w:val="222"/>
        </w:trPr>
        <w:tc>
          <w:tcPr>
            <w:tcW w:w="9460" w:type="dxa"/>
            <w:vAlign w:val="bottom"/>
          </w:tcPr>
          <w:p>
            <w:pPr>
              <w:ind w:left="20"/>
              <w:spacing w:after="0"/>
              <w:rPr>
                <w:sz w:val="20"/>
                <w:szCs w:val="20"/>
                <w:color w:val="auto"/>
              </w:rPr>
            </w:pPr>
            <w:r>
              <w:rPr>
                <w:rFonts w:ascii="Arial" w:cs="Arial" w:eastAsia="Arial" w:hAnsi="Arial"/>
                <w:sz w:val="18"/>
                <w:szCs w:val="18"/>
                <w:color w:val="auto"/>
              </w:rPr>
              <w:t>Total change in Cruise available liquidity(a)</w:t>
            </w:r>
          </w:p>
        </w:tc>
        <w:tc>
          <w:tcPr>
            <w:tcW w:w="44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center"/>
              <w:ind w:left="874"/>
              <w:spacing w:after="0"/>
              <w:rPr>
                <w:sz w:val="20"/>
                <w:szCs w:val="20"/>
                <w:color w:val="auto"/>
              </w:rPr>
            </w:pPr>
            <w:r>
              <w:rPr>
                <w:rFonts w:ascii="Arial" w:cs="Arial" w:eastAsia="Arial" w:hAnsi="Arial"/>
                <w:sz w:val="18"/>
                <w:szCs w:val="18"/>
                <w:color w:val="auto"/>
                <w:w w:val="87"/>
              </w:rPr>
              <w:t>2.2</w:t>
            </w:r>
          </w:p>
        </w:tc>
      </w:tr>
      <w:tr>
        <w:trPr>
          <w:trHeight w:val="20"/>
        </w:trPr>
        <w:tc>
          <w:tcPr>
            <w:tcW w:w="9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hanging="333"/>
        <w:spacing w:after="0" w:line="260" w:lineRule="auto"/>
        <w:tabs>
          <w:tab w:leader="none" w:pos="331"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Excludes a multi-year credit agreement between Cruise and GM Financial whereby Cruise can request to borrow, over time, up to an aggregate of $5.2 billion, through 2024, to fund exclusively the purchase of autonomous vehicles from GM.</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Cruise Cash Flow (dollars in billions)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72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6"/>
        </w:trPr>
        <w:tc>
          <w:tcPr>
            <w:tcW w:w="67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Change</w:t>
            </w: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240" w:type="dxa"/>
            <w:vAlign w:val="bottom"/>
            <w:shd w:val="clear" w:color="auto" w:fill="CCEEFF"/>
          </w:tcPr>
          <w:p>
            <w:pPr>
              <w:jc w:val="right"/>
              <w:ind w:right="1058"/>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5"/>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center"/>
              <w:ind w:left="315"/>
              <w:spacing w:after="0"/>
              <w:rPr>
                <w:sz w:val="20"/>
                <w:szCs w:val="20"/>
                <w:color w:val="auto"/>
              </w:rPr>
            </w:pPr>
            <w:r>
              <w:rPr>
                <w:rFonts w:ascii="Arial" w:cs="Arial" w:eastAsia="Arial" w:hAnsi="Arial"/>
                <w:sz w:val="18"/>
                <w:szCs w:val="18"/>
                <w:color w:val="auto"/>
                <w:w w:val="91"/>
              </w:rPr>
              <w:t>(0.1)</w:t>
            </w:r>
          </w:p>
        </w:tc>
      </w:tr>
      <w:tr>
        <w:trPr>
          <w:trHeight w:val="228"/>
        </w:trPr>
        <w:tc>
          <w:tcPr>
            <w:tcW w:w="6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tcPr>
          <w:p>
            <w:pPr>
              <w:jc w:val="right"/>
              <w:ind w:right="1058"/>
              <w:spacing w:after="0"/>
              <w:rPr>
                <w:sz w:val="20"/>
                <w:szCs w:val="20"/>
                <w:color w:val="auto"/>
              </w:rPr>
            </w:pPr>
            <w:r>
              <w:rPr>
                <w:rFonts w:ascii="Arial" w:cs="Arial" w:eastAsia="Arial" w:hAnsi="Arial"/>
                <w:sz w:val="18"/>
                <w:szCs w:val="18"/>
                <w:color w:val="auto"/>
                <w:w w:val="79"/>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91"/>
              </w:rPr>
              <w:t>(1.2)</w:t>
            </w:r>
          </w:p>
        </w:tc>
        <w:tc>
          <w:tcPr>
            <w:tcW w:w="100" w:type="dxa"/>
            <w:vAlign w:val="bottom"/>
          </w:tcPr>
          <w:p>
            <w:pPr>
              <w:spacing w:after="0"/>
              <w:rPr>
                <w:sz w:val="19"/>
                <w:szCs w:val="19"/>
                <w:color w:val="auto"/>
              </w:rPr>
            </w:pPr>
          </w:p>
        </w:tc>
        <w:tc>
          <w:tcPr>
            <w:tcW w:w="1260" w:type="dxa"/>
            <w:vAlign w:val="bottom"/>
          </w:tcPr>
          <w:p>
            <w:pPr>
              <w:jc w:val="right"/>
              <w:ind w:right="1075"/>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1"/>
              </w:rPr>
              <w:t>(0.7)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center"/>
              <w:ind w:left="315"/>
              <w:spacing w:after="0"/>
              <w:rPr>
                <w:sz w:val="20"/>
                <w:szCs w:val="20"/>
                <w:color w:val="auto"/>
              </w:rPr>
            </w:pPr>
            <w:r>
              <w:rPr>
                <w:rFonts w:ascii="Arial" w:cs="Arial" w:eastAsia="Arial" w:hAnsi="Arial"/>
                <w:sz w:val="18"/>
                <w:szCs w:val="18"/>
                <w:color w:val="auto"/>
                <w:w w:val="91"/>
              </w:rPr>
              <w:t>(0.5)</w:t>
            </w: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240" w:type="dxa"/>
            <w:vAlign w:val="bottom"/>
            <w:shd w:val="clear" w:color="auto" w:fill="CCEEFF"/>
          </w:tcPr>
          <w:p>
            <w:pPr>
              <w:jc w:val="right"/>
              <w:ind w:right="1058"/>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5"/>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87"/>
              </w:rPr>
              <w:t>2.7</w:t>
            </w:r>
          </w:p>
        </w:tc>
      </w:tr>
    </w:tbl>
    <w:p>
      <w:pPr>
        <w:spacing w:after="0" w:line="308"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In the six months ended June 30, 2021, cash used in investing activities increased due to higher net acquisitions of marketable securities resulting from the issuance of Cruise Preferred Shares.</w:t>
      </w:r>
    </w:p>
    <w:p>
      <w:pPr>
        <w:spacing w:after="0" w:line="197"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b w:val="1"/>
          <w:bCs w:val="1"/>
          <w:i w:val="1"/>
          <w:iCs w:val="1"/>
          <w:color w:val="auto"/>
        </w:rPr>
        <w:t xml:space="preserve">Automotive Financing – GM Financial Liquidity </w:t>
      </w:r>
      <w:r>
        <w:rPr>
          <w:rFonts w:ascii="Arial" w:cs="Arial" w:eastAsia="Arial" w:hAnsi="Arial"/>
          <w:sz w:val="18"/>
          <w:szCs w:val="18"/>
          <w:color w:val="auto"/>
        </w:rPr>
        <w:t>GM Financial's primary sources of cash are finance charge income, leasing income and proceeds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sale of terminated leased vehicles, net distributions from credit facilities, securitizations, secured and unsecured borrowings and collections and recoveries on finance receivables. GM Financial's primary uses of cash are purchases and funding of finance receivables and leased vehicles, repayment or repurchases of secured and unsecured debt, funding credit enhancement requirements in connection with securitizations and secured credit facilities, interest costs, operating expenses, income taxes and dividend payments. GM Financial continues to monitor and evaluate opportunities to optimize its liquidity position and the mix of its debt between secured and unsecured debt. The following table summarizes GM Financial's available liquidity (dollars in billions):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December 31, 2020</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6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Borrowing capacity on unpledged eligible assets</w:t>
            </w:r>
          </w:p>
        </w:tc>
        <w:tc>
          <w:tcPr>
            <w:tcW w:w="1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5"/>
              </w:rPr>
              <w:t>21.1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 capacity on committed unsecured lines of credit</w:t>
            </w: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Borrowing capacity on revolving credit facility, exclusive to GM Financial</w:t>
            </w:r>
          </w:p>
        </w:tc>
        <w:tc>
          <w:tcPr>
            <w:tcW w:w="12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GM Financial available liquidity</w:t>
            </w:r>
          </w:p>
        </w:tc>
        <w:tc>
          <w:tcPr>
            <w:tcW w:w="1260" w:type="dxa"/>
            <w:vAlign w:val="bottom"/>
            <w:tcBorders>
              <w:bottom w:val="single" w:sz="8" w:color="auto"/>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242" w:lineRule="auto"/>
        <w:rPr>
          <w:sz w:val="20"/>
          <w:szCs w:val="20"/>
          <w:color w:val="auto"/>
        </w:rPr>
      </w:pPr>
      <w:r>
        <w:rPr>
          <w:rFonts w:ascii="Arial" w:cs="Arial" w:eastAsia="Arial" w:hAnsi="Arial"/>
          <w:sz w:val="18"/>
          <w:szCs w:val="18"/>
          <w:color w:val="auto"/>
        </w:rPr>
        <w:t>At June 30, 2021, GM Financial's available liquidity increased from December 31, 2020 due to increased available borrowing capacity on unpledged eligible assets, resulting from the issuance of securitization transactions and unsecured debt, partially offset by a decrease in cash and cash equivalents. GM Financial structures liquidity to support at least six months of GM Financial's expected net cash flows, including new originations, without access to new debt financing transactions or other capital markets activity.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ind w:firstLine="161"/>
        <w:spacing w:after="0" w:line="305" w:lineRule="auto"/>
        <w:rPr>
          <w:sz w:val="20"/>
          <w:szCs w:val="20"/>
          <w:color w:val="auto"/>
        </w:rPr>
      </w:pPr>
      <w:r>
        <w:rPr>
          <w:rFonts w:ascii="Arial" w:cs="Arial" w:eastAsia="Arial" w:hAnsi="Arial"/>
          <w:sz w:val="17"/>
          <w:szCs w:val="17"/>
          <w:color w:val="auto"/>
        </w:rPr>
        <w:t>GM Financial did not have any borrowings outstanding against our credit facility designated for their exclusive use or the remainder of our revolving credit facilities at June 30, 2021 and December 31, 2020. Refer to the Automotive Liquidity section of this MD&amp;A for additional details.</w:t>
      </w:r>
    </w:p>
    <w:p>
      <w:pPr>
        <w:spacing w:after="0" w:line="175"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In the normal course of business, in addition to using its available cash, GM Financial utilizes borrowings under its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be secured or unsecured, and GM Financial repays these borrowings as appropriate under its cash management strategy. At June 30, 2021, secured, committed unsecured and uncommitted unsecured credit facilities totaled $26.7 billion, $0.5 billion and $1.3 billion with advances outstanding of $1.3 billion, an insignificant amount and $1.3 billion.</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GM Financial Cash Flow (dollars in billions)</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670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Six Months Ended</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6"/>
        </w:trPr>
        <w:tc>
          <w:tcPr>
            <w:tcW w:w="67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2021</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Change</w:t>
            </w: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260" w:type="dxa"/>
            <w:vAlign w:val="bottom"/>
            <w:shd w:val="clear" w:color="auto" w:fill="CCEEFF"/>
          </w:tcPr>
          <w:p>
            <w:pPr>
              <w:jc w:val="right"/>
              <w:ind w:right="1058"/>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3.6</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tcPr>
          <w:p>
            <w:pPr>
              <w:jc w:val="right"/>
              <w:ind w:right="1058"/>
              <w:spacing w:after="0"/>
              <w:rPr>
                <w:sz w:val="20"/>
                <w:szCs w:val="20"/>
                <w:color w:val="auto"/>
              </w:rPr>
            </w:pPr>
            <w:r>
              <w:rPr>
                <w:rFonts w:ascii="Arial" w:cs="Arial" w:eastAsia="Arial" w:hAnsi="Arial"/>
                <w:sz w:val="18"/>
                <w:szCs w:val="18"/>
                <w:color w:val="auto"/>
                <w:w w:val="99"/>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(3.4)</w:t>
            </w:r>
          </w:p>
        </w:tc>
        <w:tc>
          <w:tcPr>
            <w:tcW w:w="120" w:type="dxa"/>
            <w:vAlign w:val="bottom"/>
          </w:tcPr>
          <w:p>
            <w:pPr>
              <w:spacing w:after="0"/>
              <w:rPr>
                <w:sz w:val="19"/>
                <w:szCs w:val="19"/>
                <w:color w:val="auto"/>
              </w:rPr>
            </w:pPr>
          </w:p>
        </w:tc>
        <w:tc>
          <w:tcPr>
            <w:tcW w:w="1240" w:type="dxa"/>
            <w:vAlign w:val="bottom"/>
          </w:tcPr>
          <w:p>
            <w:pPr>
              <w:jc w:val="right"/>
              <w:ind w:right="1055"/>
              <w:spacing w:after="0"/>
              <w:rPr>
                <w:sz w:val="20"/>
                <w:szCs w:val="20"/>
                <w:color w:val="auto"/>
              </w:rPr>
            </w:pPr>
            <w:r>
              <w:rPr>
                <w:rFonts w:ascii="Arial" w:cs="Arial" w:eastAsia="Arial" w:hAnsi="Arial"/>
                <w:sz w:val="18"/>
                <w:szCs w:val="18"/>
                <w:color w:val="auto"/>
                <w:w w:val="79"/>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91"/>
              </w:rPr>
              <w:t>(3.2)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260" w:type="dxa"/>
            <w:vAlign w:val="bottom"/>
            <w:shd w:val="clear" w:color="auto" w:fill="CCEEFF"/>
          </w:tcPr>
          <w:p>
            <w:pPr>
              <w:jc w:val="right"/>
              <w:ind w:right="1058"/>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5"/>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bl>
    <w:p>
      <w:pPr>
        <w:spacing w:after="0" w:line="308" w:lineRule="exact"/>
        <w:rPr>
          <w:sz w:val="20"/>
          <w:szCs w:val="20"/>
          <w:color w:val="auto"/>
        </w:rPr>
      </w:pPr>
    </w:p>
    <w:p>
      <w:pPr>
        <w:jc w:val="both"/>
        <w:ind w:firstLine="161"/>
        <w:spacing w:after="0" w:line="339" w:lineRule="auto"/>
        <w:rPr>
          <w:sz w:val="20"/>
          <w:szCs w:val="20"/>
          <w:color w:val="auto"/>
        </w:rPr>
      </w:pPr>
      <w:r>
        <w:rPr>
          <w:rFonts w:ascii="Arial" w:cs="Arial" w:eastAsia="Arial" w:hAnsi="Arial"/>
          <w:sz w:val="16"/>
          <w:szCs w:val="16"/>
          <w:color w:val="auto"/>
        </w:rPr>
        <w:t>In the six months ended June 30, 2021, Net cash provided by operating activities decreased primarily due to: (1) a decrease in derivative collateral posting activities of $0.6 billion; and (2) a decrease in leased vehicle income of $0.2 billion; partially offset by (3) a decrease in interest paid of $0.3 billion.</w:t>
      </w:r>
    </w:p>
    <w:p>
      <w:pPr>
        <w:spacing w:after="0" w:line="152"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the six months ended June 30, 2021, Net cash used in investing activities increased primarily due to: (1) an increase in purchases of leased vehicles of $6.3 billion; (2) an increase in purchases of finance receivables of $1.5 billion; partially offset by (3) an increase in proceeds from terminated vehicles of $5.3 billion; and (4) an increase in collections and recoveries on finance receivables of $2.3 billion.</w:t>
      </w:r>
    </w:p>
    <w:p>
      <w:pPr>
        <w:spacing w:after="0" w:line="209"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In the six months ended June 30, 2021, Net cash provided by financing activities decreased primarily due to: (1) a decrease in borrowings of $5.1 billion; and (2) an increase in dividend payments of $0.4 billion; partially offset by (3) a decrease in debt repayments of $2.7 billion.</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Critical Accounting Estimates </w:t>
      </w:r>
      <w:r>
        <w:rPr>
          <w:rFonts w:ascii="Arial" w:cs="Arial" w:eastAsia="Arial" w:hAnsi="Arial"/>
          <w:sz w:val="16"/>
          <w:szCs w:val="16"/>
          <w:color w:val="auto"/>
        </w:rPr>
        <w:t>The condensed consolidated financial statements are prepared in conformity with U.S. GAAP, which requires the use of</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in our 2020 Form 10-K.</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b w:val="1"/>
          <w:bCs w:val="1"/>
          <w:color w:val="auto"/>
        </w:rPr>
        <w:t xml:space="preserve">Forward-Looking Statements </w:t>
      </w:r>
      <w:r>
        <w:rPr>
          <w:rFonts w:ascii="Arial" w:cs="Arial" w:eastAsia="Arial" w:hAnsi="Arial"/>
          <w:sz w:val="16"/>
          <w:szCs w:val="16"/>
          <w:color w:val="auto"/>
        </w:rPr>
        <w:t>This report and the other reports filed by us with the SEC from time to time, as well as statements incorporated by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w:t>
      </w:r>
    </w:p>
    <w:p>
      <w:pPr>
        <w:spacing w:after="0" w:line="7" w:lineRule="exact"/>
        <w:rPr>
          <w:sz w:val="20"/>
          <w:szCs w:val="20"/>
          <w:color w:val="auto"/>
        </w:rPr>
      </w:pPr>
    </w:p>
    <w:p>
      <w:pPr>
        <w:jc w:val="both"/>
        <w:ind w:firstLine="7"/>
        <w:spacing w:after="0" w:line="269" w:lineRule="auto"/>
        <w:tabs>
          <w:tab w:leader="none" w:pos="264"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deliver new products, services and customer experiences in response to increased competition and changing consumer preferences in the automotive industry; (2) our ability to timely fund and introduce new and improved vehicle models, including electric vehicles, that are able to attract a sufficient number of consumers; (3) the success of our crossovers, SUVs and full-size pickup trucks; (4) our highly competitive industry, which is characterized by excess manufacturing capacity and the use of incentives, and the introduction of new and improved vehicle models by our competitors; (5) our ability to deliver a broad portfolio of electric vehicles and drive increased consumer</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color w:val="auto"/>
        </w:rPr>
        <w:t>adoption; (6) the unique technological, operational, regulatory and competitive risks related to the timing and commercialization of autonomous vehicles;</w:t>
      </w:r>
    </w:p>
    <w:p>
      <w:pPr>
        <w:spacing w:after="0" w:line="46" w:lineRule="exact"/>
        <w:rPr>
          <w:sz w:val="20"/>
          <w:szCs w:val="20"/>
          <w:color w:val="auto"/>
        </w:rPr>
      </w:pPr>
    </w:p>
    <w:p>
      <w:pPr>
        <w:jc w:val="both"/>
        <w:ind w:firstLine="7"/>
        <w:spacing w:after="0" w:line="282" w:lineRule="auto"/>
        <w:tabs>
          <w:tab w:leader="none" w:pos="27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ongoing COVID-19 pandemic; (8) global automobile market sales volume, which can be volatile; (9) our significant business in China, which is subject to unique operational, competitive, regulatory and economic risks; (10) our joint ventures, which we cannot operate solely for our benefit and over which we may have limited control; (11) the international scale and footprint of our operations, which exposes us to a variety of unique political, economic, competitive and regulatory risks, including the risk of changes in government leadership and laws (including labor, tax and other laws), political instability and economic tensions between governments and changes in international trade policies, new barriers to entry and changes to or withdrawals from free trade agreements, public health crises, including the occurrence of a contagious disease or illness, such as the COVID-19 pandemic,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and difficulties in obtaining financing in foreign countries; (12) any significant disruption, including any work stoppages, at any of our manufacturing facilities; (13) the ability of our suppliers to deliver parts, systems and components without disruption and at such times to allow us to meet production schedules; (14) prices of raw materials used by us and our suppliers; (15) our ability to successfully and cost-effectively restructure our operations in the U.S. and various other countries and initiate additional cost reduction actions with minimal disruption; (16) the possibility that competitors may independently develop products and services similar to ours, or that our intellectual property rights are not sufficient to prevent competitors from developing or selling those products or services; (17) our ability to manage risks related to security breaches and other disruptions to our information technology systems and networked products, including connected vehicles and in-vehicle systems; (18) our ability to comply with increasingly complex, restrictive and punitive regulations relating to our enterprise data practices, including the collection, use, sharing and security of the Personal Identifiable Information of our customers, employees, or suppliers; (19) our ability to comply with extensive laws, regulations and policies applicable to our operations and products, including those relating to fuel economy and emissions and autonomous vehicles; (20) costs and risks associated with litigation and government investigations; (21) the costs and effect on our reputation of product safety recalls and alleged defects in products and services; (22) any additional tax expense or exposure; (23) our continued ability to develop captive financing capability through GM Financial; and (24) any significant increase in our pension funding requirements. A further list and description of these risks, uncertainties and other factors can be found in our 2020 Form 10-K and our subsequent filings with the SEC.</w:t>
      </w:r>
    </w:p>
    <w:p>
      <w:pPr>
        <w:spacing w:after="0" w:line="201"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20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4"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There have been no significant changes in our exposure to market risk since December 31, 2020. For further discussion on market risk, refer to Part II, Item 7A. of our 2020 Form 10-K.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0" w:lineRule="exact"/>
        <w:rPr>
          <w:sz w:val="20"/>
          <w:szCs w:val="20"/>
          <w:color w:val="auto"/>
        </w:rPr>
      </w:pPr>
    </w:p>
    <w:p>
      <w:pPr>
        <w:jc w:val="both"/>
        <w:ind w:firstLine="161"/>
        <w:spacing w:after="0" w:line="259" w:lineRule="auto"/>
        <w:rPr>
          <w:sz w:val="20"/>
          <w:szCs w:val="20"/>
          <w:color w:val="auto"/>
        </w:rPr>
      </w:pPr>
      <w:r>
        <w:rPr>
          <w:rFonts w:ascii="Arial" w:cs="Arial" w:eastAsia="Arial" w:hAnsi="Arial"/>
          <w:sz w:val="18"/>
          <w:szCs w:val="18"/>
          <w:b w:val="1"/>
          <w:bCs w:val="1"/>
          <w:color w:val="auto"/>
        </w:rPr>
        <w:t xml:space="preserve">Disclosure Controls and Procedures </w:t>
      </w:r>
      <w:r>
        <w:rPr>
          <w:rFonts w:ascii="Arial" w:cs="Arial" w:eastAsia="Arial" w:hAnsi="Arial"/>
          <w:sz w:val="18"/>
          <w:szCs w:val="18"/>
          <w:color w:val="auto"/>
        </w:rPr>
        <w:t>We maintain disclosure controls and procedures designed to provide reasonable assurance that information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212"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color w:val="auto"/>
        </w:rPr>
        <w:t>Our management, with the participation of our CEO and CFO, evaluated the effectiveness of our disclosure controls and procedures (as defined in Rules 13a-15(e) or 15d-15(e) promulgated under the Exchange Act) as of June 30, 2021 as required by paragraph (b) of Rules 13a-15 or 15d-15. Based on this evaluation, our CEO and CFO concluded that our disclosure controls and procedures were effective as of June 30, 2021.</w:t>
      </w:r>
    </w:p>
    <w:p>
      <w:pPr>
        <w:spacing w:after="0" w:line="189" w:lineRule="exact"/>
        <w:rPr>
          <w:sz w:val="20"/>
          <w:szCs w:val="20"/>
          <w:color w:val="auto"/>
        </w:rPr>
      </w:pPr>
    </w:p>
    <w:p>
      <w:pPr>
        <w:jc w:val="both"/>
        <w:ind w:firstLine="161"/>
        <w:spacing w:after="0" w:line="302" w:lineRule="auto"/>
        <w:rPr>
          <w:sz w:val="20"/>
          <w:szCs w:val="20"/>
          <w:color w:val="auto"/>
        </w:rPr>
      </w:pPr>
      <w:r>
        <w:rPr>
          <w:rFonts w:ascii="Arial" w:cs="Arial" w:eastAsia="Arial" w:hAnsi="Arial"/>
          <w:sz w:val="16"/>
          <w:szCs w:val="16"/>
          <w:b w:val="1"/>
          <w:bCs w:val="1"/>
          <w:color w:val="auto"/>
        </w:rPr>
        <w:t xml:space="preserve">Changes in Internal Control over Financial Reporting </w:t>
      </w:r>
      <w:r>
        <w:rPr>
          <w:rFonts w:ascii="Arial" w:cs="Arial" w:eastAsia="Arial" w:hAnsi="Arial"/>
          <w:sz w:val="16"/>
          <w:szCs w:val="16"/>
          <w:color w:val="auto"/>
        </w:rPr>
        <w:t>There have not been any changes in our internal control over financial reporting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three months ended June 30, 2021 that have materially affected, or are reasonably likely to materially affect, our internal control over financial reporting. However, due to the COVID-19 pandemic, we are monitoring our control environment with increased vigilance to ensure changes as a result of physical distancing are addressed and all increased risks are mitigated. For additional information refer to Part I, Item 1A. Risk Factors of our 2020 Form 10-K.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5"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The discussion under "Litigation-Related Liability and Tax Administrative Matters" in Note 13 to our condensed consolidated financial statements is incorporated by reference into this Part II, Item 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4" w:lineRule="exact"/>
        <w:rPr>
          <w:sz w:val="20"/>
          <w:szCs w:val="20"/>
          <w:color w:val="auto"/>
        </w:rPr>
      </w:pPr>
    </w:p>
    <w:p>
      <w:pPr>
        <w:jc w:val="both"/>
        <w:ind w:firstLine="161"/>
        <w:spacing w:after="0" w:line="246" w:lineRule="auto"/>
        <w:rPr>
          <w:sz w:val="20"/>
          <w:szCs w:val="20"/>
          <w:color w:val="auto"/>
        </w:rPr>
      </w:pPr>
      <w:r>
        <w:rPr>
          <w:rFonts w:ascii="Arial" w:cs="Arial" w:eastAsia="Arial" w:hAnsi="Arial"/>
          <w:sz w:val="18"/>
          <w:szCs w:val="18"/>
          <w:color w:val="auto"/>
        </w:rPr>
        <w:t>We face a number of significant risks and uncertainties in connection with our operations. Our business and the results of our operations and financial condition could be materially adversely affected by these risk factors. There have been no material changes to the Risk Factors disclosed in our 2020 Form 10-K.</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Purchases of Equity Securities </w:t>
      </w:r>
      <w:r>
        <w:rPr>
          <w:rFonts w:ascii="Arial" w:cs="Arial" w:eastAsia="Arial" w:hAnsi="Arial"/>
          <w:sz w:val="18"/>
          <w:szCs w:val="18"/>
          <w:color w:val="auto"/>
        </w:rPr>
        <w:t>The following table summarizes our purchases of common stock in the three months ended June 30, 2021: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4"/>
        </w:trPr>
        <w:tc>
          <w:tcPr>
            <w:tcW w:w="508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Average Price</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Purchased Under</w:t>
            </w:r>
          </w:p>
        </w:tc>
        <w:tc>
          <w:tcPr>
            <w:tcW w:w="120" w:type="dxa"/>
            <w:vAlign w:val="bottom"/>
          </w:tcPr>
          <w:p>
            <w:pPr>
              <w:spacing w:after="0"/>
              <w:rPr>
                <w:sz w:val="11"/>
                <w:szCs w:val="11"/>
                <w:color w:val="auto"/>
              </w:rPr>
            </w:pPr>
          </w:p>
        </w:tc>
        <w:tc>
          <w:tcPr>
            <w:tcW w:w="1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34"/>
        </w:trPr>
        <w:tc>
          <w:tcPr>
            <w:tcW w:w="508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Purchased(a)</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Paid per</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Announced</w:t>
            </w:r>
          </w:p>
        </w:tc>
        <w:tc>
          <w:tcPr>
            <w:tcW w:w="120" w:type="dxa"/>
            <w:vAlign w:val="bottom"/>
          </w:tcPr>
          <w:p>
            <w:pPr>
              <w:spacing w:after="0"/>
              <w:rPr>
                <w:sz w:val="11"/>
                <w:szCs w:val="11"/>
                <w:color w:val="auto"/>
              </w:rPr>
            </w:pPr>
          </w:p>
        </w:tc>
        <w:tc>
          <w:tcPr>
            <w:tcW w:w="1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Programs(b)</w:t>
            </w:r>
          </w:p>
        </w:tc>
        <w:tc>
          <w:tcPr>
            <w:tcW w:w="12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1"/>
              </w:rPr>
              <w:t>Announced Programs</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2021 through April 30, 2021</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$3.3 billion</w:t>
            </w:r>
          </w:p>
        </w:tc>
        <w:tc>
          <w:tcPr>
            <w:tcW w:w="0" w:type="dxa"/>
            <w:vAlign w:val="bottom"/>
          </w:tcPr>
          <w:p>
            <w:pPr>
              <w:spacing w:after="0"/>
              <w:rPr>
                <w:sz w:val="1"/>
                <w:szCs w:val="1"/>
                <w:color w:val="auto"/>
              </w:rPr>
            </w:pPr>
          </w:p>
        </w:tc>
      </w:tr>
      <w:tr>
        <w:trPr>
          <w:trHeight w:val="228"/>
        </w:trPr>
        <w:tc>
          <w:tcPr>
            <w:tcW w:w="5080" w:type="dxa"/>
            <w:vAlign w:val="bottom"/>
          </w:tcPr>
          <w:p>
            <w:pPr>
              <w:ind w:left="20"/>
              <w:spacing w:after="0"/>
              <w:rPr>
                <w:sz w:val="20"/>
                <w:szCs w:val="20"/>
                <w:color w:val="auto"/>
              </w:rPr>
            </w:pPr>
            <w:r>
              <w:rPr>
                <w:rFonts w:ascii="Arial" w:cs="Arial" w:eastAsia="Arial" w:hAnsi="Arial"/>
                <w:sz w:val="18"/>
                <w:szCs w:val="18"/>
                <w:color w:val="auto"/>
              </w:rPr>
              <w:t>May 1, 2021 through May 31, 2021</w:t>
            </w:r>
          </w:p>
        </w:tc>
        <w:tc>
          <w:tcPr>
            <w:tcW w:w="1460" w:type="dxa"/>
            <w:vAlign w:val="bottom"/>
          </w:tcPr>
          <w:p>
            <w:pPr>
              <w:jc w:val="right"/>
              <w:spacing w:after="0"/>
              <w:rPr>
                <w:sz w:val="20"/>
                <w:szCs w:val="20"/>
                <w:color w:val="auto"/>
              </w:rPr>
            </w:pPr>
            <w:r>
              <w:rPr>
                <w:rFonts w:ascii="Arial" w:cs="Arial" w:eastAsia="Arial" w:hAnsi="Arial"/>
                <w:sz w:val="18"/>
                <w:szCs w:val="18"/>
                <w:color w:val="auto"/>
              </w:rPr>
              <w:t>18,254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57.41</w:t>
            </w:r>
          </w:p>
        </w:tc>
        <w:tc>
          <w:tcPr>
            <w:tcW w:w="120" w:type="dxa"/>
            <w:vAlign w:val="bottom"/>
          </w:tcPr>
          <w:p>
            <w:pPr>
              <w:spacing w:after="0"/>
              <w:rPr>
                <w:sz w:val="19"/>
                <w:szCs w:val="19"/>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5"/>
              </w:rPr>
              <w:t>$3.3 billion</w:t>
            </w:r>
          </w:p>
        </w:tc>
        <w:tc>
          <w:tcPr>
            <w:tcW w:w="0" w:type="dxa"/>
            <w:vAlign w:val="bottom"/>
          </w:tcPr>
          <w:p>
            <w:pPr>
              <w:spacing w:after="0"/>
              <w:rPr>
                <w:sz w:val="1"/>
                <w:szCs w:val="1"/>
                <w:color w:val="auto"/>
              </w:rPr>
            </w:pPr>
          </w:p>
        </w:tc>
      </w:tr>
      <w:tr>
        <w:trPr>
          <w:trHeight w:val="228"/>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 2021 through June 30, 2021</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$3.3 billion</w:t>
            </w:r>
          </w:p>
        </w:tc>
        <w:tc>
          <w:tcPr>
            <w:tcW w:w="0" w:type="dxa"/>
            <w:vAlign w:val="bottom"/>
          </w:tcPr>
          <w:p>
            <w:pPr>
              <w:spacing w:after="0"/>
              <w:rPr>
                <w:sz w:val="1"/>
                <w:szCs w:val="1"/>
                <w:color w:val="auto"/>
              </w:rPr>
            </w:pPr>
          </w:p>
        </w:tc>
      </w:tr>
      <w:tr>
        <w:trPr>
          <w:trHeight w:val="222"/>
        </w:trPr>
        <w:tc>
          <w:tcPr>
            <w:tcW w:w="5080" w:type="dxa"/>
            <w:vAlign w:val="bottom"/>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57.76</w:t>
            </w:r>
          </w:p>
        </w:tc>
        <w:tc>
          <w:tcPr>
            <w:tcW w:w="120" w:type="dxa"/>
            <w:vAlign w:val="bottom"/>
          </w:tcPr>
          <w:p>
            <w:pPr>
              <w:spacing w:after="0"/>
              <w:rPr>
                <w:sz w:val="19"/>
                <w:szCs w:val="19"/>
                <w:color w:val="auto"/>
              </w:rPr>
            </w:pPr>
          </w:p>
        </w:tc>
        <w:tc>
          <w:tcPr>
            <w:tcW w:w="15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18" w:lineRule="exact"/>
        <w:rPr>
          <w:sz w:val="20"/>
          <w:szCs w:val="20"/>
          <w:color w:val="auto"/>
        </w:rPr>
      </w:pPr>
    </w:p>
    <w:p>
      <w:pPr>
        <w:ind w:left="340" w:hanging="333"/>
        <w:spacing w:after="0" w:line="245" w:lineRule="auto"/>
        <w:tabs>
          <w:tab w:leader="none" w:pos="331" w:val="left"/>
        </w:tabs>
        <w:numPr>
          <w:ilvl w:val="0"/>
          <w:numId w:val="33"/>
        </w:numPr>
        <w:rPr>
          <w:rFonts w:ascii="Arial" w:cs="Arial" w:eastAsia="Arial" w:hAnsi="Arial"/>
          <w:sz w:val="16"/>
          <w:szCs w:val="16"/>
          <w:color w:val="auto"/>
        </w:rPr>
      </w:pPr>
      <w:r>
        <w:rPr>
          <w:rFonts w:ascii="Arial" w:cs="Arial" w:eastAsia="Arial" w:hAnsi="Arial"/>
          <w:sz w:val="16"/>
          <w:szCs w:val="16"/>
          <w:color w:val="auto"/>
        </w:rPr>
        <w:t>Shares purchased consist of shares delivered by employees or directors to us for the payment of taxes resulting from the issuance of common stock upon the vesting of RSUs and PSUs relating to compensation plans. Refer to our 2020 Form 10-K for additional details on employee stock incentive plans.</w:t>
      </w:r>
    </w:p>
    <w:p>
      <w:pPr>
        <w:ind w:left="320" w:hanging="313"/>
        <w:spacing w:after="0"/>
        <w:tabs>
          <w:tab w:leader="none" w:pos="3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January 2017, we announced that our Board of Directors had authorized the purchase of up to $5.0 billion of our common stock with no expiration date.</w:t>
      </w:r>
    </w:p>
    <w:p>
      <w:pPr>
        <w:spacing w:after="0" w:line="227" w:lineRule="exact"/>
        <w:rPr>
          <w:rFonts w:ascii="Arial" w:cs="Arial" w:eastAsia="Arial" w:hAnsi="Arial"/>
          <w:sz w:val="16"/>
          <w:szCs w:val="16"/>
          <w:color w:val="auto"/>
        </w:rPr>
      </w:pPr>
    </w:p>
    <w:p>
      <w:pPr>
        <w:ind w:left="504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500" w:type="dxa"/>
            <w:vAlign w:val="bottom"/>
            <w:gridSpan w:val="20"/>
          </w:tcPr>
          <w:p>
            <w:pPr>
              <w:ind w:left="1060"/>
              <w:spacing w:after="0"/>
              <w:rPr>
                <w:sz w:val="20"/>
                <w:szCs w:val="20"/>
                <w:color w:val="auto"/>
              </w:rPr>
            </w:pPr>
            <w:r>
              <w:rPr>
                <w:rFonts w:ascii="Arial" w:cs="Arial" w:eastAsia="Arial" w:hAnsi="Arial"/>
                <w:sz w:val="18"/>
                <w:szCs w:val="18"/>
                <w:b w:val="1"/>
                <w:bCs w:val="1"/>
                <w:color w:val="auto"/>
              </w:rPr>
              <w:t>GENERAL MOTORS COMPANY AND SUBSIDIARIES</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0"/>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720" w:type="dxa"/>
            <w:vAlign w:val="bottom"/>
            <w:gridSpan w:val="19"/>
          </w:tcPr>
          <w:p>
            <w:pPr>
              <w:ind w:left="880"/>
              <w:spacing w:after="0"/>
              <w:rPr>
                <w:sz w:val="20"/>
                <w:szCs w:val="20"/>
                <w:color w:val="auto"/>
              </w:rPr>
            </w:pPr>
            <w:r>
              <w:rPr>
                <w:rFonts w:ascii="Arial" w:cs="Arial" w:eastAsia="Arial" w:hAnsi="Arial"/>
                <w:sz w:val="18"/>
                <w:szCs w:val="18"/>
                <w:b w:val="1"/>
                <w:bCs w:val="1"/>
                <w:color w:val="auto"/>
              </w:rPr>
              <w:t>Exhibit Name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Borders>
              <w:top w:val="single" w:sz="8" w:color="auto"/>
            </w:tcBorders>
            <w:shd w:val="clear" w:color="auto" w:fill="CCEEFF"/>
          </w:tcPr>
          <w:p>
            <w:pPr>
              <w:spacing w:after="0" w:line="168" w:lineRule="exact"/>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340" w:type="dxa"/>
            <w:vAlign w:val="bottom"/>
            <w:tcBorders>
              <w:top w:val="single" w:sz="8" w:color="auto"/>
            </w:tcBorders>
            <w:gridSpan w:val="22"/>
            <w:shd w:val="clear" w:color="auto" w:fill="CCEEFF"/>
          </w:tcPr>
          <w:p>
            <w:pPr>
              <w:spacing w:after="0" w:line="168" w:lineRule="exact"/>
              <w:rPr>
                <w:rFonts w:ascii="Arial" w:cs="Arial" w:eastAsia="Arial" w:hAnsi="Arial"/>
                <w:sz w:val="18"/>
                <w:szCs w:val="18"/>
                <w:color w:val="0000FF"/>
                <w:w w:val="93"/>
              </w:rPr>
            </w:pPr>
            <w:hyperlink r:id="rId77">
              <w:r>
                <w:rPr>
                  <w:rFonts w:ascii="Arial" w:cs="Arial" w:eastAsia="Arial" w:hAnsi="Arial"/>
                  <w:sz w:val="18"/>
                  <w:szCs w:val="18"/>
                  <w:color w:val="0000FF"/>
                  <w:w w:val="93"/>
                </w:rPr>
                <w:t>Restated Certificate of Incorporation of General Motors Company dated December 7, 2010, incorporated herein</w:t>
              </w:r>
            </w:hyperlink>
          </w:p>
        </w:tc>
        <w:tc>
          <w:tcPr>
            <w:tcW w:w="138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8"/>
                <w:szCs w:val="18"/>
                <w:color w:val="auto"/>
              </w:rPr>
              <w:t>Incorporated by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200" w:type="dxa"/>
            <w:vAlign w:val="bottom"/>
            <w:tcBorders>
              <w:top w:val="single" w:sz="8" w:color="0000FF"/>
              <w:bottom w:val="single" w:sz="8" w:color="0000FF"/>
            </w:tcBorders>
            <w:gridSpan w:val="15"/>
            <w:shd w:val="clear" w:color="auto" w:fill="CCEEFF"/>
          </w:tcPr>
          <w:p>
            <w:pPr>
              <w:spacing w:after="0" w:line="161" w:lineRule="exact"/>
              <w:rPr>
                <w:rFonts w:ascii="Arial" w:cs="Arial" w:eastAsia="Arial" w:hAnsi="Arial"/>
                <w:sz w:val="18"/>
                <w:szCs w:val="18"/>
                <w:color w:val="0000FF"/>
                <w:w w:val="93"/>
              </w:rPr>
            </w:pPr>
            <w:hyperlink r:id="rId77">
              <w:r>
                <w:rPr>
                  <w:rFonts w:ascii="Arial" w:cs="Arial" w:eastAsia="Arial" w:hAnsi="Arial"/>
                  <w:sz w:val="18"/>
                  <w:szCs w:val="18"/>
                  <w:color w:val="0000FF"/>
                  <w:w w:val="93"/>
                </w:rPr>
                <w:t>by reference to Exhibit 3.2 to the Current Report on Form 8-K of General Motors Company filed December 13,</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380" w:type="dxa"/>
            <w:vAlign w:val="bottom"/>
            <w:tcBorders>
              <w:top w:val="single" w:sz="8" w:color="CCEEFF"/>
              <w:bottom w:val="single" w:sz="8" w:color="CCEEFF"/>
            </w:tcBorders>
            <w:shd w:val="clear" w:color="auto" w:fill="CCEEFF"/>
          </w:tcPr>
          <w:p>
            <w:pPr>
              <w:spacing w:after="0" w:line="161" w:lineRule="exact"/>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spacing w:after="0" w:line="154" w:lineRule="exact"/>
              <w:rPr>
                <w:rFonts w:ascii="Arial" w:cs="Arial" w:eastAsia="Arial" w:hAnsi="Arial"/>
                <w:sz w:val="17"/>
                <w:szCs w:val="17"/>
                <w:color w:val="0000FF"/>
              </w:rPr>
            </w:pPr>
            <w:hyperlink r:id="rId77">
              <w:r>
                <w:rPr>
                  <w:rFonts w:ascii="Arial" w:cs="Arial" w:eastAsia="Arial" w:hAnsi="Arial"/>
                  <w:sz w:val="17"/>
                  <w:szCs w:val="17"/>
                  <w:color w:val="0000FF"/>
                </w:rPr>
                <w:t>2010</w:t>
              </w:r>
            </w:hyperlink>
          </w:p>
        </w:tc>
        <w:tc>
          <w:tcPr>
            <w:tcW w:w="17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tcPr>
          <w:p>
            <w:pPr>
              <w:spacing w:after="0" w:line="189"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340" w:type="dxa"/>
            <w:vAlign w:val="bottom"/>
            <w:gridSpan w:val="22"/>
          </w:tcPr>
          <w:p>
            <w:pPr>
              <w:spacing w:after="0" w:line="189" w:lineRule="exact"/>
              <w:rPr>
                <w:rFonts w:ascii="Arial" w:cs="Arial" w:eastAsia="Arial" w:hAnsi="Arial"/>
                <w:sz w:val="18"/>
                <w:szCs w:val="18"/>
                <w:color w:val="0000FF"/>
                <w:w w:val="98"/>
              </w:rPr>
            </w:pPr>
            <w:hyperlink r:id="rId78">
              <w:r>
                <w:rPr>
                  <w:rFonts w:ascii="Arial" w:cs="Arial" w:eastAsia="Arial" w:hAnsi="Arial"/>
                  <w:sz w:val="18"/>
                  <w:szCs w:val="18"/>
                  <w:color w:val="0000FF"/>
                  <w:w w:val="98"/>
                </w:rPr>
                <w:t>General Motors Company Amended and Restated Bylaws, as amended August 14, 2018, incorporated by</w:t>
              </w:r>
            </w:hyperlink>
          </w:p>
        </w:tc>
        <w:tc>
          <w:tcPr>
            <w:tcW w:w="1380" w:type="dxa"/>
            <w:vAlign w:val="bottom"/>
          </w:tcPr>
          <w:p>
            <w:pPr>
              <w:spacing w:after="0" w:line="189" w:lineRule="exact"/>
              <w:rPr>
                <w:sz w:val="20"/>
                <w:szCs w:val="20"/>
                <w:color w:val="auto"/>
              </w:rPr>
            </w:pPr>
            <w:r>
              <w:rPr>
                <w:rFonts w:ascii="Arial" w:cs="Arial" w:eastAsia="Arial" w:hAnsi="Arial"/>
                <w:sz w:val="18"/>
                <w:szCs w:val="18"/>
                <w:color w:val="auto"/>
              </w:rPr>
              <w:t>Incorporated by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60" w:type="dxa"/>
            <w:vAlign w:val="bottom"/>
            <w:tcBorders>
              <w:top w:val="single" w:sz="8" w:color="0000FF"/>
            </w:tcBorders>
            <w:gridSpan w:val="18"/>
          </w:tcPr>
          <w:p>
            <w:pPr>
              <w:spacing w:after="0" w:line="154" w:lineRule="exact"/>
              <w:rPr>
                <w:rFonts w:ascii="Arial" w:cs="Arial" w:eastAsia="Arial" w:hAnsi="Arial"/>
                <w:sz w:val="17"/>
                <w:szCs w:val="17"/>
                <w:color w:val="0000FF"/>
              </w:rPr>
            </w:pPr>
            <w:hyperlink r:id="rId78">
              <w:r>
                <w:rPr>
                  <w:rFonts w:ascii="Arial" w:cs="Arial" w:eastAsia="Arial" w:hAnsi="Arial"/>
                  <w:sz w:val="17"/>
                  <w:szCs w:val="17"/>
                  <w:color w:val="0000FF"/>
                </w:rPr>
                <w:t>reference to Exhibit 3.1 to the Current Report on Form 8-K of General Motors Company filed on August 20,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line="154" w:lineRule="exact"/>
              <w:rPr>
                <w:sz w:val="20"/>
                <w:szCs w:val="20"/>
                <w:color w:val="auto"/>
              </w:rPr>
            </w:pPr>
            <w:r>
              <w:rPr>
                <w:rFonts w:ascii="Arial" w:cs="Arial" w:eastAsia="Arial" w:hAnsi="Arial"/>
                <w:sz w:val="17"/>
                <w:szCs w:val="17"/>
                <w:color w:val="auto"/>
              </w:rPr>
              <w:t>Reference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tcBorders>
            <w:gridSpan w:val="2"/>
          </w:tcPr>
          <w:p>
            <w:pPr>
              <w:spacing w:after="0" w:line="154" w:lineRule="exact"/>
              <w:rPr>
                <w:rFonts w:ascii="Arial" w:cs="Arial" w:eastAsia="Arial" w:hAnsi="Arial"/>
                <w:sz w:val="17"/>
                <w:szCs w:val="17"/>
                <w:color w:val="0000FF"/>
              </w:rPr>
            </w:pPr>
            <w:hyperlink r:id="rId78">
              <w:r>
                <w:rPr>
                  <w:rFonts w:ascii="Arial" w:cs="Arial" w:eastAsia="Arial" w:hAnsi="Arial"/>
                  <w:sz w:val="17"/>
                  <w:szCs w:val="17"/>
                  <w:color w:val="0000FF"/>
                </w:rPr>
                <w:t>2018</w:t>
              </w:r>
            </w:hyperlink>
          </w:p>
        </w:tc>
        <w:tc>
          <w:tcPr>
            <w:tcW w:w="178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540" w:type="dxa"/>
            <w:vAlign w:val="bottom"/>
            <w:tcBorders>
              <w:top w:val="single" w:sz="8" w:color="0000FF"/>
            </w:tcBorders>
          </w:tcPr>
          <w:p>
            <w:pPr>
              <w:spacing w:after="0"/>
              <w:rPr>
                <w:sz w:val="13"/>
                <w:szCs w:val="13"/>
                <w:color w:val="auto"/>
              </w:rPr>
            </w:pPr>
          </w:p>
        </w:tc>
        <w:tc>
          <w:tcPr>
            <w:tcW w:w="25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16"/>
                <w:szCs w:val="16"/>
                <w:color w:val="auto"/>
              </w:rPr>
            </w:pPr>
          </w:p>
        </w:tc>
        <w:tc>
          <w:tcPr>
            <w:tcW w:w="8340" w:type="dxa"/>
            <w:vAlign w:val="bottom"/>
            <w:gridSpan w:val="22"/>
            <w:shd w:val="clear" w:color="auto" w:fill="CCEEFF"/>
          </w:tcPr>
          <w:p>
            <w:pPr>
              <w:spacing w:after="0" w:line="189" w:lineRule="exact"/>
              <w:rPr>
                <w:rFonts w:ascii="Arial" w:cs="Arial" w:eastAsia="Arial" w:hAnsi="Arial"/>
                <w:sz w:val="18"/>
                <w:szCs w:val="18"/>
                <w:color w:val="0000FF"/>
                <w:w w:val="94"/>
              </w:rPr>
            </w:pPr>
            <w:hyperlink r:id="rId79">
              <w:r>
                <w:rPr>
                  <w:rFonts w:ascii="Arial" w:cs="Arial" w:eastAsia="Arial" w:hAnsi="Arial"/>
                  <w:sz w:val="18"/>
                  <w:szCs w:val="18"/>
                  <w:color w:val="0000FF"/>
                  <w:w w:val="94"/>
                </w:rPr>
                <w:t>Fourth Amended and Restated 3-Year Revolving Credit Agreement among General Motors Company, General</w:t>
              </w:r>
            </w:hyperlink>
          </w:p>
        </w:tc>
        <w:tc>
          <w:tcPr>
            <w:tcW w:w="1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Incorporated by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60" w:type="dxa"/>
            <w:vAlign w:val="bottom"/>
            <w:tcBorders>
              <w:top w:val="single" w:sz="8" w:color="0000FF"/>
              <w:bottom w:val="single" w:sz="8" w:color="0000FF"/>
            </w:tcBorders>
            <w:gridSpan w:val="8"/>
            <w:shd w:val="clear" w:color="auto" w:fill="CCEEFF"/>
          </w:tcPr>
          <w:p>
            <w:pPr>
              <w:spacing w:after="0" w:line="154" w:lineRule="exact"/>
              <w:rPr>
                <w:rFonts w:ascii="Arial" w:cs="Arial" w:eastAsia="Arial" w:hAnsi="Arial"/>
                <w:sz w:val="17"/>
                <w:szCs w:val="17"/>
                <w:color w:val="0000FF"/>
                <w:w w:val="99"/>
              </w:rPr>
            </w:pPr>
            <w:hyperlink r:id="rId79">
              <w:r>
                <w:rPr>
                  <w:rFonts w:ascii="Arial" w:cs="Arial" w:eastAsia="Arial" w:hAnsi="Arial"/>
                  <w:sz w:val="17"/>
                  <w:szCs w:val="17"/>
                  <w:color w:val="0000FF"/>
                  <w:w w:val="99"/>
                </w:rPr>
                <w:t>Motors Financial Company, Inc., General Motors do Brasil Ltda., the subsidiary borrowers from time to time</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380" w:type="dxa"/>
            <w:vAlign w:val="bottom"/>
            <w:tcBorders>
              <w:top w:val="single" w:sz="8" w:color="CCEEFF"/>
              <w:bottom w:val="single" w:sz="8" w:color="CCEEFF"/>
            </w:tcBorders>
            <w:shd w:val="clear" w:color="auto" w:fill="CCEEFF"/>
          </w:tcPr>
          <w:p>
            <w:pPr>
              <w:spacing w:after="0" w:line="154" w:lineRule="exact"/>
              <w:rPr>
                <w:sz w:val="20"/>
                <w:szCs w:val="20"/>
                <w:color w:val="auto"/>
              </w:rPr>
            </w:pPr>
            <w:r>
              <w:rPr>
                <w:rFonts w:ascii="Arial" w:cs="Arial" w:eastAsia="Arial" w:hAnsi="Arial"/>
                <w:sz w:val="17"/>
                <w:szCs w:val="17"/>
                <w:color w:val="auto"/>
              </w:rPr>
              <w:t>Reference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120" w:type="dxa"/>
            <w:vAlign w:val="bottom"/>
            <w:tcBorders>
              <w:bottom w:val="single" w:sz="8" w:color="0000FF"/>
            </w:tcBorders>
            <w:gridSpan w:val="11"/>
            <w:shd w:val="clear" w:color="auto" w:fill="CCEEFF"/>
          </w:tcPr>
          <w:p>
            <w:pPr>
              <w:spacing w:after="0" w:line="154" w:lineRule="exact"/>
              <w:rPr>
                <w:rFonts w:ascii="Arial" w:cs="Arial" w:eastAsia="Arial" w:hAnsi="Arial"/>
                <w:sz w:val="17"/>
                <w:szCs w:val="17"/>
                <w:color w:val="0000FF"/>
              </w:rPr>
            </w:pPr>
            <w:hyperlink r:id="rId79">
              <w:r>
                <w:rPr>
                  <w:rFonts w:ascii="Arial" w:cs="Arial" w:eastAsia="Arial" w:hAnsi="Arial"/>
                  <w:sz w:val="17"/>
                  <w:szCs w:val="17"/>
                  <w:color w:val="0000FF"/>
                </w:rPr>
                <w:t>parties thereto, the several lenders from time to time parties thereto, JPMorgan Chase Bank, N.A., as</w:t>
              </w:r>
            </w:hyperlink>
          </w:p>
        </w:tc>
        <w:tc>
          <w:tcPr>
            <w:tcW w:w="20" w:type="dxa"/>
            <w:vAlign w:val="bottom"/>
            <w:tcBorders>
              <w:bottom w:val="single" w:sz="8" w:color="0000FF"/>
            </w:tcBorders>
            <w:shd w:val="clear" w:color="auto" w:fill="CCEEFF"/>
          </w:tcPr>
          <w:p>
            <w:pPr>
              <w:spacing w:after="0"/>
              <w:rPr>
                <w:sz w:val="13"/>
                <w:szCs w:val="13"/>
                <w:color w:val="auto"/>
              </w:rPr>
            </w:pPr>
          </w:p>
        </w:tc>
        <w:tc>
          <w:tcPr>
            <w:tcW w:w="20" w:type="dxa"/>
            <w:vAlign w:val="bottom"/>
            <w:tcBorders>
              <w:bottom w:val="single" w:sz="8" w:color="0000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gridSpan w:val="2"/>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160" w:type="dxa"/>
            <w:vAlign w:val="bottom"/>
            <w:gridSpan w:val="13"/>
            <w:shd w:val="clear" w:color="auto" w:fill="CCEEFF"/>
          </w:tcPr>
          <w:p>
            <w:pPr>
              <w:spacing w:after="0" w:line="154" w:lineRule="exact"/>
              <w:rPr>
                <w:rFonts w:ascii="Arial" w:cs="Arial" w:eastAsia="Arial" w:hAnsi="Arial"/>
                <w:sz w:val="17"/>
                <w:szCs w:val="17"/>
                <w:color w:val="0000FF"/>
                <w:w w:val="98"/>
              </w:rPr>
            </w:pPr>
            <w:hyperlink r:id="rId79">
              <w:r>
                <w:rPr>
                  <w:rFonts w:ascii="Arial" w:cs="Arial" w:eastAsia="Arial" w:hAnsi="Arial"/>
                  <w:sz w:val="17"/>
                  <w:szCs w:val="17"/>
                  <w:color w:val="0000FF"/>
                  <w:w w:val="98"/>
                </w:rPr>
                <w:t>administrative agent, and Citibank, N.A., as syndication agent, incorporated by reference to Exhibit 10.1 to the</w:t>
              </w:r>
            </w:hyperlink>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5540" w:type="dxa"/>
            <w:vAlign w:val="bottom"/>
            <w:tcBorders>
              <w:top w:val="single" w:sz="8" w:color="0000FF"/>
              <w:bottom w:val="single" w:sz="8" w:color="0000FF"/>
            </w:tcBorders>
            <w:gridSpan w:val="6"/>
            <w:shd w:val="clear" w:color="auto" w:fill="CCEEFF"/>
          </w:tcPr>
          <w:p>
            <w:pPr>
              <w:spacing w:after="0" w:line="154" w:lineRule="exact"/>
              <w:rPr>
                <w:rFonts w:ascii="Arial" w:cs="Arial" w:eastAsia="Arial" w:hAnsi="Arial"/>
                <w:sz w:val="17"/>
                <w:szCs w:val="17"/>
                <w:color w:val="0000FF"/>
                <w:w w:val="97"/>
              </w:rPr>
            </w:pPr>
            <w:hyperlink r:id="rId79">
              <w:r>
                <w:rPr>
                  <w:rFonts w:ascii="Arial" w:cs="Arial" w:eastAsia="Arial" w:hAnsi="Arial"/>
                  <w:sz w:val="17"/>
                  <w:szCs w:val="17"/>
                  <w:color w:val="0000FF"/>
                  <w:w w:val="97"/>
                </w:rPr>
                <w:t>Current Report on Form 8-K of General Motors Company filed April 7, 2021</w:t>
              </w:r>
            </w:hyperlink>
          </w:p>
        </w:tc>
        <w:tc>
          <w:tcPr>
            <w:tcW w:w="2560" w:type="dxa"/>
            <w:vAlign w:val="bottom"/>
            <w:tcBorders>
              <w:top w:val="single" w:sz="8" w:color="0000FF"/>
              <w:bottom w:val="single" w:sz="8" w:color="CCEEFF"/>
            </w:tcBorders>
            <w:gridSpan w:val="4"/>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3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gridSpan w:val="2"/>
          </w:tcPr>
          <w:p>
            <w:pPr>
              <w:spacing w:after="0" w:line="189"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6"/>
                <w:szCs w:val="16"/>
                <w:color w:val="auto"/>
              </w:rPr>
            </w:pPr>
          </w:p>
        </w:tc>
        <w:tc>
          <w:tcPr>
            <w:tcW w:w="8340" w:type="dxa"/>
            <w:vAlign w:val="bottom"/>
            <w:gridSpan w:val="22"/>
          </w:tcPr>
          <w:p>
            <w:pPr>
              <w:spacing w:after="0" w:line="189" w:lineRule="exact"/>
              <w:rPr>
                <w:rFonts w:ascii="Arial" w:cs="Arial" w:eastAsia="Arial" w:hAnsi="Arial"/>
                <w:sz w:val="18"/>
                <w:szCs w:val="18"/>
                <w:color w:val="0000FF"/>
                <w:w w:val="94"/>
              </w:rPr>
            </w:pPr>
            <w:hyperlink r:id="rId80">
              <w:r>
                <w:rPr>
                  <w:rFonts w:ascii="Arial" w:cs="Arial" w:eastAsia="Arial" w:hAnsi="Arial"/>
                  <w:sz w:val="18"/>
                  <w:szCs w:val="18"/>
                  <w:color w:val="0000FF"/>
                  <w:w w:val="94"/>
                </w:rPr>
                <w:t>Third Amended and Restated 364-Day Revolving Credit Agreement among General Motors Company, General</w:t>
              </w:r>
            </w:hyperlink>
          </w:p>
        </w:tc>
        <w:tc>
          <w:tcPr>
            <w:tcW w:w="1380" w:type="dxa"/>
            <w:vAlign w:val="bottom"/>
          </w:tcPr>
          <w:p>
            <w:pPr>
              <w:spacing w:after="0" w:line="189" w:lineRule="exact"/>
              <w:rPr>
                <w:sz w:val="20"/>
                <w:szCs w:val="20"/>
                <w:color w:val="auto"/>
              </w:rPr>
            </w:pPr>
            <w:r>
              <w:rPr>
                <w:rFonts w:ascii="Arial" w:cs="Arial" w:eastAsia="Arial" w:hAnsi="Arial"/>
                <w:sz w:val="18"/>
                <w:szCs w:val="18"/>
                <w:color w:val="auto"/>
              </w:rPr>
              <w:t>Incorporated by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80" w:type="dxa"/>
            <w:vAlign w:val="bottom"/>
            <w:tcBorders>
              <w:top w:val="single" w:sz="8" w:color="0000FF"/>
              <w:bottom w:val="single" w:sz="8" w:color="0000FF"/>
            </w:tcBorders>
            <w:gridSpan w:val="9"/>
          </w:tcPr>
          <w:p>
            <w:pPr>
              <w:spacing w:after="0" w:line="154" w:lineRule="exact"/>
              <w:rPr>
                <w:rFonts w:ascii="Arial" w:cs="Arial" w:eastAsia="Arial" w:hAnsi="Arial"/>
                <w:sz w:val="17"/>
                <w:szCs w:val="17"/>
                <w:color w:val="0000FF"/>
                <w:w w:val="96"/>
              </w:rPr>
            </w:pPr>
            <w:hyperlink r:id="rId80">
              <w:r>
                <w:rPr>
                  <w:rFonts w:ascii="Arial" w:cs="Arial" w:eastAsia="Arial" w:hAnsi="Arial"/>
                  <w:sz w:val="17"/>
                  <w:szCs w:val="17"/>
                  <w:color w:val="0000FF"/>
                  <w:w w:val="96"/>
                </w:rPr>
                <w:t>Motors Financial Company, Inc., the subsidiary borrowers from time to time parties thereto, the several lenders</w:t>
              </w:r>
            </w:hyperlink>
          </w:p>
        </w:tc>
        <w:tc>
          <w:tcPr>
            <w:tcW w:w="60" w:type="dxa"/>
            <w:vAlign w:val="bottom"/>
            <w:tcBorders>
              <w:bottom w:val="single" w:sz="8" w:color="0000FF"/>
            </w:tcBorders>
            <w:gridSpan w:val="3"/>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line="154" w:lineRule="exact"/>
              <w:rPr>
                <w:sz w:val="20"/>
                <w:szCs w:val="20"/>
                <w:color w:val="auto"/>
              </w:rPr>
            </w:pPr>
            <w:r>
              <w:rPr>
                <w:rFonts w:ascii="Arial" w:cs="Arial" w:eastAsia="Arial" w:hAnsi="Arial"/>
                <w:sz w:val="17"/>
                <w:szCs w:val="17"/>
                <w:color w:val="auto"/>
              </w:rPr>
              <w:t>Reference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80" w:type="dxa"/>
            <w:vAlign w:val="bottom"/>
            <w:gridSpan w:val="19"/>
          </w:tcPr>
          <w:p>
            <w:pPr>
              <w:spacing w:after="0" w:line="154" w:lineRule="exact"/>
              <w:rPr>
                <w:rFonts w:ascii="Arial" w:cs="Arial" w:eastAsia="Arial" w:hAnsi="Arial"/>
                <w:sz w:val="17"/>
                <w:szCs w:val="17"/>
                <w:color w:val="0000FF"/>
              </w:rPr>
            </w:pPr>
            <w:hyperlink r:id="rId80">
              <w:r>
                <w:rPr>
                  <w:rFonts w:ascii="Arial" w:cs="Arial" w:eastAsia="Arial" w:hAnsi="Arial"/>
                  <w:sz w:val="17"/>
                  <w:szCs w:val="17"/>
                  <w:color w:val="0000FF"/>
                </w:rPr>
                <w:t>from time to time parties thereto, JPMorgan Chase Bank, N.A., as administrative agent, and Citibank, N.A.,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tcBorders>
              <w:top w:val="single" w:sz="8" w:color="0000FF"/>
            </w:tcBorders>
            <w:gridSpan w:val="17"/>
          </w:tcPr>
          <w:p>
            <w:pPr>
              <w:spacing w:after="0" w:line="154" w:lineRule="exact"/>
              <w:rPr>
                <w:rFonts w:ascii="Arial" w:cs="Arial" w:eastAsia="Arial" w:hAnsi="Arial"/>
                <w:sz w:val="17"/>
                <w:szCs w:val="17"/>
                <w:color w:val="0000FF"/>
              </w:rPr>
            </w:pPr>
            <w:hyperlink r:id="rId80">
              <w:r>
                <w:rPr>
                  <w:rFonts w:ascii="Arial" w:cs="Arial" w:eastAsia="Arial" w:hAnsi="Arial"/>
                  <w:sz w:val="17"/>
                  <w:szCs w:val="17"/>
                  <w:color w:val="0000FF"/>
                </w:rPr>
                <w:t>syndication agent, incorporated by reference to Exhibit 10.2 to the Current Report on Form 8-K of General</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20" w:type="dxa"/>
            <w:vAlign w:val="bottom"/>
            <w:tcBorders>
              <w:top w:val="single" w:sz="8" w:color="0000FF"/>
            </w:tcBorders>
            <w:gridSpan w:val="16"/>
          </w:tcPr>
          <w:p>
            <w:pPr>
              <w:spacing w:after="0" w:line="154" w:lineRule="exact"/>
              <w:rPr>
                <w:rFonts w:ascii="Arial" w:cs="Arial" w:eastAsia="Arial" w:hAnsi="Arial"/>
                <w:sz w:val="17"/>
                <w:szCs w:val="17"/>
                <w:color w:val="0000FF"/>
              </w:rPr>
            </w:pPr>
            <w:hyperlink r:id="rId80">
              <w:r>
                <w:rPr>
                  <w:rFonts w:ascii="Arial" w:cs="Arial" w:eastAsia="Arial" w:hAnsi="Arial"/>
                  <w:sz w:val="17"/>
                  <w:szCs w:val="17"/>
                  <w:color w:val="0000FF"/>
                </w:rPr>
                <w:t>Motors Company filed April 7, 2021</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10.3†</w:t>
            </w:r>
          </w:p>
        </w:tc>
        <w:tc>
          <w:tcPr>
            <w:tcW w:w="20" w:type="dxa"/>
            <w:vAlign w:val="bottom"/>
            <w:shd w:val="clear" w:color="auto" w:fill="CCEEFF"/>
          </w:tcPr>
          <w:p>
            <w:pPr>
              <w:spacing w:after="0"/>
              <w:rPr>
                <w:sz w:val="16"/>
                <w:szCs w:val="16"/>
                <w:color w:val="auto"/>
              </w:rPr>
            </w:pPr>
          </w:p>
        </w:tc>
        <w:tc>
          <w:tcPr>
            <w:tcW w:w="8340" w:type="dxa"/>
            <w:vAlign w:val="bottom"/>
            <w:gridSpan w:val="22"/>
            <w:shd w:val="clear" w:color="auto" w:fill="CCEEFF"/>
          </w:tcPr>
          <w:p>
            <w:pPr>
              <w:spacing w:after="0" w:line="189" w:lineRule="exact"/>
              <w:rPr>
                <w:rFonts w:ascii="Arial" w:cs="Arial" w:eastAsia="Arial" w:hAnsi="Arial"/>
                <w:sz w:val="18"/>
                <w:szCs w:val="18"/>
                <w:color w:val="0000FF"/>
                <w:w w:val="96"/>
              </w:rPr>
            </w:pPr>
            <w:hyperlink r:id="rId81">
              <w:r>
                <w:rPr>
                  <w:rFonts w:ascii="Arial" w:cs="Arial" w:eastAsia="Arial" w:hAnsi="Arial"/>
                  <w:sz w:val="18"/>
                  <w:szCs w:val="18"/>
                  <w:color w:val="0000FF"/>
                  <w:w w:val="96"/>
                </w:rPr>
                <w:t>Amendment No. 1 to Third Amended and Restated 5-Year Revolving Credit Agreement, dated as of April 18,</w:t>
              </w:r>
            </w:hyperlink>
          </w:p>
        </w:tc>
        <w:tc>
          <w:tcPr>
            <w:tcW w:w="1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Incorporated by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320" w:type="dxa"/>
            <w:vAlign w:val="bottom"/>
            <w:tcBorders>
              <w:top w:val="single" w:sz="8" w:color="0000FF"/>
            </w:tcBorders>
            <w:gridSpan w:val="21"/>
            <w:shd w:val="clear" w:color="auto" w:fill="CCEEFF"/>
          </w:tcPr>
          <w:p>
            <w:pPr>
              <w:spacing w:after="0" w:line="154" w:lineRule="exact"/>
              <w:rPr>
                <w:rFonts w:ascii="Arial" w:cs="Arial" w:eastAsia="Arial" w:hAnsi="Arial"/>
                <w:sz w:val="17"/>
                <w:szCs w:val="17"/>
                <w:color w:val="0000FF"/>
                <w:w w:val="99"/>
              </w:rPr>
            </w:pPr>
            <w:hyperlink r:id="rId81">
              <w:r>
                <w:rPr>
                  <w:rFonts w:ascii="Arial" w:cs="Arial" w:eastAsia="Arial" w:hAnsi="Arial"/>
                  <w:sz w:val="17"/>
                  <w:szCs w:val="17"/>
                  <w:color w:val="0000FF"/>
                  <w:w w:val="99"/>
                </w:rPr>
                <w:t>2018, among General Motors Company, General Motors Financial Company, Inc., GM Global Treasury Centre,</w:t>
              </w:r>
            </w:hyperlink>
          </w:p>
        </w:tc>
        <w:tc>
          <w:tcPr>
            <w:tcW w:w="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line="154" w:lineRule="exact"/>
              <w:rPr>
                <w:sz w:val="20"/>
                <w:szCs w:val="20"/>
                <w:color w:val="auto"/>
              </w:rPr>
            </w:pPr>
            <w:r>
              <w:rPr>
                <w:rFonts w:ascii="Arial" w:cs="Arial" w:eastAsia="Arial" w:hAnsi="Arial"/>
                <w:sz w:val="17"/>
                <w:szCs w:val="17"/>
                <w:color w:val="auto"/>
              </w:rPr>
              <w:t>Reference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300" w:type="dxa"/>
            <w:vAlign w:val="bottom"/>
            <w:tcBorders>
              <w:top w:val="single" w:sz="8" w:color="0000FF"/>
            </w:tcBorders>
            <w:gridSpan w:val="20"/>
            <w:shd w:val="clear" w:color="auto" w:fill="CCEEFF"/>
          </w:tcPr>
          <w:p>
            <w:pPr>
              <w:spacing w:after="0" w:line="154" w:lineRule="exact"/>
              <w:rPr>
                <w:rFonts w:ascii="Arial" w:cs="Arial" w:eastAsia="Arial" w:hAnsi="Arial"/>
                <w:sz w:val="17"/>
                <w:szCs w:val="17"/>
                <w:color w:val="0000FF"/>
              </w:rPr>
            </w:pPr>
            <w:hyperlink r:id="rId81">
              <w:r>
                <w:rPr>
                  <w:rFonts w:ascii="Arial" w:cs="Arial" w:eastAsia="Arial" w:hAnsi="Arial"/>
                  <w:sz w:val="17"/>
                  <w:szCs w:val="17"/>
                  <w:color w:val="0000FF"/>
                </w:rPr>
                <w:t>General Motors do Brasil Ltda., the subsidiary borrowers from time to time parties thereto, the several lenders</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40" w:type="dxa"/>
            <w:vAlign w:val="bottom"/>
            <w:tcBorders>
              <w:top w:val="single" w:sz="8" w:color="0000FF"/>
              <w:bottom w:val="single" w:sz="8" w:color="0000FF"/>
            </w:tcBorders>
            <w:gridSpan w:val="7"/>
            <w:shd w:val="clear" w:color="auto" w:fill="CCEEFF"/>
          </w:tcPr>
          <w:p>
            <w:pPr>
              <w:spacing w:after="0" w:line="154" w:lineRule="exact"/>
              <w:rPr>
                <w:rFonts w:ascii="Arial" w:cs="Arial" w:eastAsia="Arial" w:hAnsi="Arial"/>
                <w:sz w:val="17"/>
                <w:szCs w:val="17"/>
                <w:color w:val="0000FF"/>
                <w:w w:val="98"/>
              </w:rPr>
            </w:pPr>
            <w:hyperlink r:id="rId81">
              <w:r>
                <w:rPr>
                  <w:rFonts w:ascii="Arial" w:cs="Arial" w:eastAsia="Arial" w:hAnsi="Arial"/>
                  <w:sz w:val="17"/>
                  <w:szCs w:val="17"/>
                  <w:color w:val="0000FF"/>
                  <w:w w:val="98"/>
                </w:rPr>
                <w:t>from time to time party thereto, JPMorgan Chase Bank, N.A., as administrative agent, and Citibank, N.A., as</w:t>
              </w:r>
            </w:hyperlink>
          </w:p>
        </w:tc>
        <w:tc>
          <w:tcPr>
            <w:tcW w:w="100" w:type="dxa"/>
            <w:vAlign w:val="bottom"/>
            <w:tcBorders>
              <w:top w:val="single" w:sz="8" w:color="CCEEFF"/>
              <w:bottom w:val="single" w:sz="8" w:color="0000FF"/>
            </w:tcBorders>
            <w:gridSpan w:val="5"/>
            <w:shd w:val="clear" w:color="auto" w:fill="CCEEFF"/>
          </w:tcPr>
          <w:p>
            <w:pPr>
              <w:spacing w:after="0"/>
              <w:rPr>
                <w:sz w:val="13"/>
                <w:szCs w:val="13"/>
                <w:color w:val="auto"/>
              </w:rPr>
            </w:pPr>
          </w:p>
        </w:tc>
        <w:tc>
          <w:tcPr>
            <w:tcW w:w="40" w:type="dxa"/>
            <w:vAlign w:val="bottom"/>
            <w:tcBorders>
              <w:top w:val="single" w:sz="8" w:color="CCEEFF"/>
              <w:bottom w:val="single" w:sz="8" w:color="0000FF"/>
            </w:tcBorders>
            <w:gridSpan w:val="2"/>
            <w:shd w:val="clear" w:color="auto" w:fill="CCEEFF"/>
          </w:tcPr>
          <w:p>
            <w:pPr>
              <w:spacing w:after="0"/>
              <w:rPr>
                <w:sz w:val="13"/>
                <w:szCs w:val="13"/>
                <w:color w:val="auto"/>
              </w:rPr>
            </w:pPr>
          </w:p>
        </w:tc>
        <w:tc>
          <w:tcPr>
            <w:tcW w:w="160" w:type="dxa"/>
            <w:vAlign w:val="bottom"/>
            <w:tcBorders>
              <w:top w:val="single" w:sz="8" w:color="CCEEFF"/>
              <w:bottom w:val="single" w:sz="8" w:color="CCEEFF"/>
            </w:tcBorders>
            <w:gridSpan w:val="8"/>
            <w:shd w:val="clear" w:color="auto" w:fill="CCEEFF"/>
          </w:tcPr>
          <w:p>
            <w:pPr>
              <w:spacing w:after="0"/>
              <w:rPr>
                <w:sz w:val="13"/>
                <w:szCs w:val="13"/>
                <w:color w:val="auto"/>
              </w:rPr>
            </w:pPr>
          </w:p>
        </w:tc>
        <w:tc>
          <w:tcPr>
            <w:tcW w:w="13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180" w:type="dxa"/>
            <w:vAlign w:val="bottom"/>
            <w:gridSpan w:val="14"/>
            <w:shd w:val="clear" w:color="auto" w:fill="CCEEFF"/>
          </w:tcPr>
          <w:p>
            <w:pPr>
              <w:spacing w:after="0" w:line="154" w:lineRule="exact"/>
              <w:rPr>
                <w:rFonts w:ascii="Arial" w:cs="Arial" w:eastAsia="Arial" w:hAnsi="Arial"/>
                <w:sz w:val="17"/>
                <w:szCs w:val="17"/>
                <w:color w:val="0000FF"/>
              </w:rPr>
            </w:pPr>
            <w:hyperlink r:id="rId81">
              <w:r>
                <w:rPr>
                  <w:rFonts w:ascii="Arial" w:cs="Arial" w:eastAsia="Arial" w:hAnsi="Arial"/>
                  <w:sz w:val="17"/>
                  <w:szCs w:val="17"/>
                  <w:color w:val="0000FF"/>
                </w:rPr>
                <w:t>syndication agent, incorporated by reference to Exhibit 10.3 to the Current Report on Form 8-K of General</w:t>
              </w:r>
            </w:hyperlink>
          </w:p>
        </w:tc>
        <w:tc>
          <w:tcPr>
            <w:tcW w:w="160" w:type="dxa"/>
            <w:vAlign w:val="bottom"/>
            <w:gridSpan w:val="8"/>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220" w:type="dxa"/>
            <w:vAlign w:val="bottom"/>
            <w:tcBorders>
              <w:top w:val="single" w:sz="8" w:color="0000FF"/>
            </w:tcBorders>
            <w:gridSpan w:val="16"/>
            <w:shd w:val="clear" w:color="auto" w:fill="CCEEFF"/>
          </w:tcPr>
          <w:p>
            <w:pPr>
              <w:spacing w:after="0" w:line="154" w:lineRule="exact"/>
              <w:rPr>
                <w:rFonts w:ascii="Arial" w:cs="Arial" w:eastAsia="Arial" w:hAnsi="Arial"/>
                <w:sz w:val="17"/>
                <w:szCs w:val="17"/>
                <w:color w:val="0000FF"/>
              </w:rPr>
            </w:pPr>
            <w:hyperlink r:id="rId81">
              <w:r>
                <w:rPr>
                  <w:rFonts w:ascii="Arial" w:cs="Arial" w:eastAsia="Arial" w:hAnsi="Arial"/>
                  <w:sz w:val="17"/>
                  <w:szCs w:val="17"/>
                  <w:color w:val="0000FF"/>
                </w:rPr>
                <w:t>Motors Company filed April 7, 2021</w:t>
              </w:r>
            </w:hyperlink>
          </w:p>
        </w:tc>
        <w:tc>
          <w:tcPr>
            <w:tcW w:w="120" w:type="dxa"/>
            <w:vAlign w:val="bottom"/>
            <w:tcBorders>
              <w:top w:val="single" w:sz="8" w:color="CCEEFF"/>
            </w:tcBorders>
            <w:gridSpan w:val="6"/>
            <w:shd w:val="clear" w:color="auto" w:fill="CCEEFF"/>
          </w:tcPr>
          <w:p>
            <w:pPr>
              <w:spacing w:after="0"/>
              <w:rPr>
                <w:sz w:val="13"/>
                <w:szCs w:val="13"/>
                <w:color w:val="auto"/>
              </w:rPr>
            </w:pPr>
          </w:p>
        </w:tc>
        <w:tc>
          <w:tcPr>
            <w:tcW w:w="13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tcPr>
          <w:p>
            <w:pPr>
              <w:spacing w:after="0" w:line="189"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340" w:type="dxa"/>
            <w:vAlign w:val="bottom"/>
            <w:gridSpan w:val="22"/>
          </w:tcPr>
          <w:p>
            <w:pPr>
              <w:spacing w:after="0" w:line="189" w:lineRule="exact"/>
              <w:rPr>
                <w:rFonts w:ascii="Arial" w:cs="Arial" w:eastAsia="Arial" w:hAnsi="Arial"/>
                <w:sz w:val="18"/>
                <w:szCs w:val="18"/>
                <w:color w:val="0000FF"/>
              </w:rPr>
            </w:pPr>
            <w:hyperlink w:anchor="page54">
              <w:r>
                <w:rPr>
                  <w:rFonts w:ascii="Arial" w:cs="Arial" w:eastAsia="Arial" w:hAnsi="Arial"/>
                  <w:sz w:val="18"/>
                  <w:szCs w:val="18"/>
                  <w:color w:val="0000FF"/>
                </w:rPr>
                <w:t>Section 302 Certification of the Chief Executive Officer</w:t>
              </w:r>
            </w:hyperlink>
          </w:p>
        </w:tc>
        <w:tc>
          <w:tcPr>
            <w:tcW w:w="1380" w:type="dxa"/>
            <w:vAlign w:val="bottom"/>
          </w:tcPr>
          <w:p>
            <w:pPr>
              <w:spacing w:after="0" w:line="18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340" w:type="dxa"/>
            <w:vAlign w:val="bottom"/>
            <w:gridSpan w:val="22"/>
            <w:shd w:val="clear" w:color="auto" w:fill="CCEEFF"/>
          </w:tcPr>
          <w:p>
            <w:pPr>
              <w:spacing w:after="0" w:line="189" w:lineRule="exact"/>
              <w:rPr>
                <w:rFonts w:ascii="Arial" w:cs="Arial" w:eastAsia="Arial" w:hAnsi="Arial"/>
                <w:sz w:val="18"/>
                <w:szCs w:val="18"/>
                <w:color w:val="0000FF"/>
              </w:rPr>
            </w:pPr>
            <w:hyperlink w:anchor="page55">
              <w:r>
                <w:rPr>
                  <w:rFonts w:ascii="Arial" w:cs="Arial" w:eastAsia="Arial" w:hAnsi="Arial"/>
                  <w:sz w:val="18"/>
                  <w:szCs w:val="18"/>
                  <w:color w:val="0000FF"/>
                </w:rPr>
                <w:t>Section 302 Certification of the Chief Financial Officer</w:t>
              </w:r>
            </w:hyperlink>
          </w:p>
        </w:tc>
        <w:tc>
          <w:tcPr>
            <w:tcW w:w="1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tcPr>
          <w:p>
            <w:pPr>
              <w:spacing w:after="0" w:line="189"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340" w:type="dxa"/>
            <w:vAlign w:val="bottom"/>
            <w:gridSpan w:val="22"/>
          </w:tcPr>
          <w:p>
            <w:pPr>
              <w:spacing w:after="0" w:line="189" w:lineRule="exact"/>
              <w:rPr>
                <w:rFonts w:ascii="Arial" w:cs="Arial" w:eastAsia="Arial" w:hAnsi="Arial"/>
                <w:sz w:val="18"/>
                <w:szCs w:val="18"/>
                <w:color w:val="0000FF"/>
                <w:w w:val="95"/>
              </w:rPr>
            </w:pPr>
            <w:hyperlink w:anchor="page56">
              <w:r>
                <w:rPr>
                  <w:rFonts w:ascii="Arial" w:cs="Arial" w:eastAsia="Arial" w:hAnsi="Arial"/>
                  <w:sz w:val="18"/>
                  <w:szCs w:val="18"/>
                  <w:color w:val="0000FF"/>
                  <w:w w:val="95"/>
                </w:rPr>
                <w:t>Certification Pursuant to 18 U.S.C. Section 1350, As Adopted Pursuant to Section 906 of the Sarbanes-Oxley</w:t>
              </w:r>
            </w:hyperlink>
          </w:p>
        </w:tc>
        <w:tc>
          <w:tcPr>
            <w:tcW w:w="1380" w:type="dxa"/>
            <w:vAlign w:val="bottom"/>
          </w:tcPr>
          <w:p>
            <w:pPr>
              <w:spacing w:after="0" w:line="189" w:lineRule="exact"/>
              <w:rPr>
                <w:sz w:val="20"/>
                <w:szCs w:val="20"/>
                <w:color w:val="auto"/>
              </w:rPr>
            </w:pPr>
            <w:r>
              <w:rPr>
                <w:rFonts w:ascii="Arial" w:cs="Arial" w:eastAsia="Arial" w:hAnsi="Arial"/>
                <w:sz w:val="18"/>
                <w:szCs w:val="18"/>
                <w:color w:val="auto"/>
                <w:w w:val="90"/>
              </w:rPr>
              <w:t>Furnished with this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40" w:type="dxa"/>
            <w:vAlign w:val="bottom"/>
            <w:tcBorders>
              <w:top w:val="single" w:sz="8" w:color="0000FF"/>
            </w:tcBorders>
            <w:gridSpan w:val="12"/>
          </w:tcPr>
          <w:p>
            <w:pPr>
              <w:spacing w:after="0" w:line="154" w:lineRule="exact"/>
              <w:rPr>
                <w:rFonts w:ascii="Arial" w:cs="Arial" w:eastAsia="Arial" w:hAnsi="Arial"/>
                <w:sz w:val="17"/>
                <w:szCs w:val="17"/>
                <w:color w:val="0000FF"/>
              </w:rPr>
            </w:pPr>
            <w:hyperlink w:anchor="page56">
              <w:r>
                <w:rPr>
                  <w:rFonts w:ascii="Arial" w:cs="Arial" w:eastAsia="Arial" w:hAnsi="Arial"/>
                  <w:sz w:val="17"/>
                  <w:szCs w:val="17"/>
                  <w:color w:val="0000FF"/>
                </w:rPr>
                <w:t>Act of 2002</w:t>
              </w:r>
            </w:hyperlink>
          </w:p>
        </w:tc>
        <w:tc>
          <w:tcPr>
            <w:tcW w:w="200" w:type="dxa"/>
            <w:vAlign w:val="bottom"/>
            <w:gridSpan w:val="10"/>
          </w:tcPr>
          <w:p>
            <w:pPr>
              <w:spacing w:after="0"/>
              <w:rPr>
                <w:sz w:val="13"/>
                <w:szCs w:val="13"/>
                <w:color w:val="auto"/>
              </w:rPr>
            </w:pPr>
          </w:p>
        </w:tc>
        <w:tc>
          <w:tcPr>
            <w:tcW w:w="1380" w:type="dxa"/>
            <w:vAlign w:val="bottom"/>
          </w:tcPr>
          <w:p>
            <w:pPr>
              <w:spacing w:after="0" w:line="154" w:lineRule="exact"/>
              <w:rPr>
                <w:sz w:val="20"/>
                <w:szCs w:val="20"/>
                <w:color w:val="auto"/>
              </w:rPr>
            </w:pPr>
            <w:r>
              <w:rPr>
                <w:rFonts w:ascii="Arial" w:cs="Arial" w:eastAsia="Arial" w:hAnsi="Arial"/>
                <w:sz w:val="17"/>
                <w:szCs w:val="17"/>
                <w:color w:val="auto"/>
              </w:rPr>
              <w:t>Report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4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340" w:type="dxa"/>
            <w:vAlign w:val="bottom"/>
            <w:gridSpan w:val="22"/>
            <w:shd w:val="clear" w:color="auto" w:fill="CCEEFF"/>
          </w:tcPr>
          <w:p>
            <w:pPr>
              <w:spacing w:after="0" w:line="175" w:lineRule="exact"/>
              <w:rPr>
                <w:sz w:val="20"/>
                <w:szCs w:val="20"/>
                <w:color w:val="auto"/>
              </w:rPr>
            </w:pPr>
            <w:r>
              <w:rPr>
                <w:rFonts w:ascii="Arial" w:cs="Arial" w:eastAsia="Arial" w:hAnsi="Arial"/>
                <w:sz w:val="18"/>
                <w:szCs w:val="18"/>
                <w:color w:val="auto"/>
                <w:w w:val="96"/>
              </w:rPr>
              <w:t>The following financial information from the Company’s Quarterly Report on Form 10-Q for the quarter ended</w:t>
            </w:r>
          </w:p>
        </w:tc>
        <w:tc>
          <w:tcPr>
            <w:tcW w:w="138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340" w:type="dxa"/>
            <w:vAlign w:val="bottom"/>
            <w:gridSpan w:val="22"/>
            <w:shd w:val="clear" w:color="auto" w:fill="CCEEFF"/>
          </w:tcPr>
          <w:p>
            <w:pPr>
              <w:spacing w:after="0" w:line="175" w:lineRule="exact"/>
              <w:rPr>
                <w:sz w:val="20"/>
                <w:szCs w:val="20"/>
                <w:color w:val="auto"/>
              </w:rPr>
            </w:pPr>
            <w:r>
              <w:rPr>
                <w:rFonts w:ascii="Arial" w:cs="Arial" w:eastAsia="Arial" w:hAnsi="Arial"/>
                <w:sz w:val="18"/>
                <w:szCs w:val="18"/>
                <w:color w:val="auto"/>
              </w:rPr>
              <w:t>June 30, 2021, formatted in Inline Extensible Business Reporting Language (iXBRL) includes: (i) the</w:t>
            </w: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340" w:type="dxa"/>
            <w:vAlign w:val="bottom"/>
            <w:gridSpan w:val="22"/>
            <w:shd w:val="clear" w:color="auto" w:fill="CCEEFF"/>
          </w:tcPr>
          <w:p>
            <w:pPr>
              <w:spacing w:after="0" w:line="175" w:lineRule="exact"/>
              <w:rPr>
                <w:sz w:val="20"/>
                <w:szCs w:val="20"/>
                <w:color w:val="auto"/>
              </w:rPr>
            </w:pPr>
            <w:r>
              <w:rPr>
                <w:rFonts w:ascii="Arial" w:cs="Arial" w:eastAsia="Arial" w:hAnsi="Arial"/>
                <w:sz w:val="18"/>
                <w:szCs w:val="18"/>
                <w:color w:val="auto"/>
                <w:w w:val="94"/>
              </w:rPr>
              <w:t>Condensed Consolidated Income Statements, (ii) the Condensed Consolidated Statements of Comprehensive</w:t>
            </w: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340" w:type="dxa"/>
            <w:vAlign w:val="bottom"/>
            <w:gridSpan w:val="22"/>
            <w:shd w:val="clear" w:color="auto" w:fill="CCEEFF"/>
          </w:tcPr>
          <w:p>
            <w:pPr>
              <w:spacing w:after="0" w:line="175" w:lineRule="exact"/>
              <w:rPr>
                <w:sz w:val="20"/>
                <w:szCs w:val="20"/>
                <w:color w:val="auto"/>
              </w:rPr>
            </w:pPr>
            <w:r>
              <w:rPr>
                <w:rFonts w:ascii="Arial" w:cs="Arial" w:eastAsia="Arial" w:hAnsi="Arial"/>
                <w:sz w:val="18"/>
                <w:szCs w:val="18"/>
                <w:color w:val="auto"/>
                <w:w w:val="92"/>
              </w:rPr>
              <w:t>Income, (iii) the Condensed Consolidated Balance Sheets, (iv) the Condensed Consolidated Statements of Cash</w:t>
            </w: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340" w:type="dxa"/>
            <w:vAlign w:val="bottom"/>
            <w:gridSpan w:val="22"/>
            <w:shd w:val="clear" w:color="auto" w:fill="CCEEFF"/>
          </w:tcPr>
          <w:p>
            <w:pPr>
              <w:spacing w:after="0" w:line="175" w:lineRule="exact"/>
              <w:rPr>
                <w:sz w:val="20"/>
                <w:szCs w:val="20"/>
                <w:color w:val="auto"/>
              </w:rPr>
            </w:pPr>
            <w:r>
              <w:rPr>
                <w:rFonts w:ascii="Arial" w:cs="Arial" w:eastAsia="Arial" w:hAnsi="Arial"/>
                <w:sz w:val="18"/>
                <w:szCs w:val="18"/>
                <w:color w:val="auto"/>
                <w:w w:val="96"/>
              </w:rPr>
              <w:t>Flows, (v) the Condensed Consolidated Statements of Equity and (vi) Notes to the Condensed Consolidated</w:t>
            </w: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340" w:type="dxa"/>
            <w:vAlign w:val="bottom"/>
            <w:gridSpan w:val="22"/>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line="175"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40" w:type="dxa"/>
            <w:vAlign w:val="bottom"/>
            <w:gridSpan w:val="22"/>
          </w:tcPr>
          <w:p>
            <w:pPr>
              <w:spacing w:after="0" w:line="175" w:lineRule="exact"/>
              <w:rPr>
                <w:sz w:val="20"/>
                <w:szCs w:val="20"/>
                <w:color w:val="auto"/>
              </w:rPr>
            </w:pPr>
            <w:r>
              <w:rPr>
                <w:rFonts w:ascii="Arial" w:cs="Arial" w:eastAsia="Arial" w:hAnsi="Arial"/>
                <w:sz w:val="18"/>
                <w:szCs w:val="18"/>
                <w:color w:val="auto"/>
                <w:w w:val="98"/>
              </w:rPr>
              <w:t>The cover page from the Company's Quarterly Report on Form 10-Q for the quarter ended June 30, 2021,</w:t>
            </w:r>
          </w:p>
        </w:tc>
        <w:tc>
          <w:tcPr>
            <w:tcW w:w="1380" w:type="dxa"/>
            <w:vAlign w:val="bottom"/>
          </w:tcPr>
          <w:p>
            <w:pPr>
              <w:spacing w:after="0" w:line="175"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340" w:type="dxa"/>
            <w:vAlign w:val="bottom"/>
            <w:gridSpan w:val="22"/>
          </w:tcPr>
          <w:p>
            <w:pPr>
              <w:spacing w:after="0"/>
              <w:rPr>
                <w:sz w:val="20"/>
                <w:szCs w:val="20"/>
                <w:color w:val="auto"/>
              </w:rPr>
            </w:pPr>
            <w:r>
              <w:rPr>
                <w:rFonts w:ascii="Arial" w:cs="Arial" w:eastAsia="Arial" w:hAnsi="Arial"/>
                <w:sz w:val="18"/>
                <w:szCs w:val="18"/>
                <w:color w:val="auto"/>
              </w:rPr>
              <w:t>formatted as Inline XBRL and contained in Exhibit 101</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48" w:lineRule="exact"/>
        <w:rPr>
          <w:sz w:val="20"/>
          <w:szCs w:val="20"/>
          <w:color w:val="auto"/>
        </w:rPr>
      </w:pPr>
    </w:p>
    <w:p>
      <w:pPr>
        <w:ind w:left="640" w:hanging="615"/>
        <w:spacing w:after="0" w:line="234"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Rule 601(b)(10) of Regulation S-K. The omitted information is not material and would likely cause competitive harm to the registrant if publicly disclosed.</w:t>
      </w:r>
    </w:p>
    <w:p>
      <w:pPr>
        <w:spacing w:after="0" w:line="80" w:lineRule="exact"/>
        <w:rPr>
          <w:rFonts w:ascii="Arial" w:cs="Arial" w:eastAsia="Arial" w:hAnsi="Arial"/>
          <w:sz w:val="18"/>
          <w:szCs w:val="18"/>
          <w:color w:val="auto"/>
        </w:rPr>
      </w:pPr>
    </w:p>
    <w:p>
      <w:pPr>
        <w:ind w:left="5040"/>
        <w:spacing w:after="0"/>
        <w:rPr>
          <w:rFonts w:ascii="Arial" w:cs="Arial" w:eastAsia="Arial" w:hAnsi="Arial"/>
          <w:sz w:val="18"/>
          <w:szCs w:val="18"/>
          <w:color w:val="auto"/>
        </w:rPr>
      </w:pPr>
      <w:r>
        <w:rPr>
          <w:rFonts w:ascii="Arial" w:cs="Arial" w:eastAsia="Arial" w:hAnsi="Arial"/>
          <w:sz w:val="18"/>
          <w:szCs w:val="18"/>
          <w:color w:val="auto"/>
        </w:rPr>
        <w:t>* * * * * * *</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8" w:lineRule="exact"/>
        <w:rPr>
          <w:sz w:val="20"/>
          <w:szCs w:val="20"/>
          <w:color w:val="auto"/>
        </w:rPr>
      </w:pPr>
    </w:p>
    <w:p>
      <w:pPr>
        <w:jc w:val="center"/>
        <w:ind w:right="-419"/>
        <w:spacing w:after="0"/>
        <w:rPr>
          <w:sz w:val="20"/>
          <w:szCs w:val="20"/>
          <w:color w:val="auto"/>
        </w:rPr>
      </w:pPr>
      <w:r>
        <w:rPr>
          <w:rFonts w:ascii="Arial" w:cs="Arial" w:eastAsia="Arial" w:hAnsi="Arial"/>
          <w:sz w:val="16"/>
          <w:szCs w:val="16"/>
          <w:b w:val="1"/>
          <w:bCs w:val="1"/>
          <w:color w:val="auto"/>
        </w:rPr>
        <w:t>SIGNATURE</w:t>
      </w:r>
    </w:p>
    <w:p>
      <w:pPr>
        <w:spacing w:after="0" w:line="246" w:lineRule="exact"/>
        <w:rPr>
          <w:sz w:val="20"/>
          <w:szCs w:val="20"/>
          <w:color w:val="auto"/>
        </w:rPr>
      </w:pPr>
    </w:p>
    <w:p>
      <w:pPr>
        <w:ind w:right="420" w:firstLine="161"/>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GENERAL MOTORS COMPANY (Registrant)</w:t>
      </w:r>
    </w:p>
    <w:p>
      <w:pPr>
        <w:spacing w:after="0" w:line="200" w:lineRule="exact"/>
        <w:rPr>
          <w:sz w:val="20"/>
          <w:szCs w:val="20"/>
          <w:color w:val="auto"/>
        </w:rPr>
      </w:pPr>
    </w:p>
    <w:p>
      <w:pPr>
        <w:spacing w:after="0" w:line="332" w:lineRule="exact"/>
        <w:rPr>
          <w:sz w:val="20"/>
          <w:szCs w:val="20"/>
          <w:color w:val="auto"/>
        </w:rPr>
      </w:pPr>
    </w:p>
    <w:p>
      <w:pPr>
        <w:ind w:left="5780"/>
        <w:spacing w:after="0"/>
        <w:tabs>
          <w:tab w:leader="none" w:pos="6220" w:val="left"/>
        </w:tabs>
        <w:rPr>
          <w:sz w:val="20"/>
          <w:szCs w:val="20"/>
          <w:color w:val="auto"/>
        </w:rPr>
      </w:pPr>
      <w:r>
        <w:rPr>
          <w:rFonts w:ascii="Arial" w:cs="Arial" w:eastAsia="Arial" w:hAnsi="Arial"/>
          <w:sz w:val="18"/>
          <w:szCs w:val="18"/>
          <w:color w:val="auto"/>
        </w:rPr>
        <w:t>By:</w:t>
        <w:tab/>
        <w:t>/s/ CHRISTOPHER T. HATTO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3955415</wp:posOffset>
            </wp:positionH>
            <wp:positionV relativeFrom="paragraph">
              <wp:posOffset>13970</wp:posOffset>
            </wp:positionV>
            <wp:extent cx="30035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3003550" cy="8255"/>
                    </a:xfrm>
                    <a:prstGeom prst="rect">
                      <a:avLst/>
                    </a:prstGeom>
                    <a:noFill/>
                  </pic:spPr>
                </pic:pic>
              </a:graphicData>
            </a:graphic>
          </wp:anchor>
        </w:drawing>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Christopher T. Hatto, Vice President, Global Business Solutions</w:t>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and Chief Accounting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August 4, 2021</w:t>
      </w:r>
    </w:p>
    <w:p>
      <w:pPr>
        <w:spacing w:after="0" w:line="200" w:lineRule="exact"/>
        <w:rPr>
          <w:sz w:val="20"/>
          <w:szCs w:val="20"/>
          <w:color w:val="auto"/>
        </w:rPr>
      </w:pPr>
    </w:p>
    <w:p>
      <w:pPr>
        <w:spacing w:after="0" w:line="250"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820"/>
          </w:cols>
          <w:pgMar w:left="320" w:top="125" w:right="75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50" w:lineRule="exact"/>
        <w:rPr>
          <w:sz w:val="20"/>
          <w:szCs w:val="20"/>
          <w:color w:val="auto"/>
        </w:rPr>
      </w:pPr>
    </w:p>
    <w:p>
      <w:pPr>
        <w:ind w:left="380" w:hanging="171"/>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49" w:lineRule="exact"/>
        <w:rPr>
          <w:rFonts w:ascii="Arial" w:cs="Arial" w:eastAsia="Arial" w:hAnsi="Arial"/>
          <w:sz w:val="18"/>
          <w:szCs w:val="18"/>
          <w:color w:val="auto"/>
        </w:rPr>
      </w:pPr>
    </w:p>
    <w:p>
      <w:pPr>
        <w:ind w:firstLine="209"/>
        <w:spacing w:after="0" w:line="339" w:lineRule="auto"/>
        <w:tabs>
          <w:tab w:leader="none" w:pos="397"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6"/>
          <w:szCs w:val="16"/>
          <w:color w:val="auto"/>
        </w:rPr>
      </w:pPr>
    </w:p>
    <w:p>
      <w:pPr>
        <w:ind w:firstLine="209"/>
        <w:spacing w:after="0" w:line="275" w:lineRule="auto"/>
        <w:tabs>
          <w:tab w:leader="none" w:pos="3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209"/>
        <w:spacing w:after="0" w:line="262" w:lineRule="auto"/>
        <w:tabs>
          <w:tab w:leader="none" w:pos="4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380" w:firstLine="192"/>
        <w:spacing w:after="0" w:line="262" w:lineRule="auto"/>
        <w:tabs>
          <w:tab w:leader="none" w:pos="782"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380" w:firstLine="192"/>
        <w:spacing w:after="0" w:line="262" w:lineRule="auto"/>
        <w:tabs>
          <w:tab w:leader="none" w:pos="81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80" w:firstLine="192"/>
        <w:spacing w:after="0" w:line="305" w:lineRule="auto"/>
        <w:tabs>
          <w:tab w:leader="none" w:pos="81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7"/>
          <w:szCs w:val="17"/>
          <w:color w:val="auto"/>
        </w:rPr>
      </w:pPr>
    </w:p>
    <w:p>
      <w:pPr>
        <w:jc w:val="both"/>
        <w:ind w:left="380" w:firstLine="192"/>
        <w:spacing w:after="0" w:line="262" w:lineRule="auto"/>
        <w:tabs>
          <w:tab w:leader="none" w:pos="792"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209"/>
        <w:spacing w:after="0" w:line="305" w:lineRule="auto"/>
        <w:tabs>
          <w:tab w:leader="none" w:pos="39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7"/>
          <w:szCs w:val="17"/>
          <w:color w:val="auto"/>
        </w:rPr>
      </w:pPr>
    </w:p>
    <w:p>
      <w:pPr>
        <w:ind w:left="380" w:right="20" w:firstLine="192"/>
        <w:spacing w:after="0" w:line="275" w:lineRule="auto"/>
        <w:tabs>
          <w:tab w:leader="none" w:pos="776"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80" w:firstLine="192"/>
        <w:spacing w:after="0" w:line="275" w:lineRule="auto"/>
        <w:tabs>
          <w:tab w:leader="none" w:pos="784"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13970</wp:posOffset>
            </wp:positionV>
            <wp:extent cx="30460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Mary T. Barra</w:t>
      </w:r>
    </w:p>
    <w:p>
      <w:pPr>
        <w:ind w:left="5620"/>
        <w:spacing w:after="0"/>
        <w:rPr>
          <w:sz w:val="20"/>
          <w:szCs w:val="20"/>
          <w:color w:val="auto"/>
        </w:rPr>
      </w:pPr>
      <w:r>
        <w:rPr>
          <w:rFonts w:ascii="Arial" w:cs="Arial" w:eastAsia="Arial" w:hAnsi="Arial"/>
          <w:sz w:val="18"/>
          <w:szCs w:val="18"/>
          <w:color w:val="auto"/>
        </w:rPr>
        <w:t>Chair and Chief Executive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August 4, 2021</w:t>
      </w:r>
    </w:p>
    <w:p>
      <w:pPr>
        <w:sectPr>
          <w:pgSz w:w="11900" w:h="16838" w:orient="portrait"/>
          <w:cols w:equalWidth="0" w:num="1">
            <w:col w:w="11240"/>
          </w:cols>
          <w:pgMar w:left="320" w:top="363"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 Paul A. Jacobson, certify that:</w:t>
      </w:r>
    </w:p>
    <w:p>
      <w:pPr>
        <w:spacing w:after="0" w:line="250" w:lineRule="exact"/>
        <w:rPr>
          <w:sz w:val="20"/>
          <w:szCs w:val="20"/>
          <w:color w:val="auto"/>
        </w:rPr>
      </w:pPr>
    </w:p>
    <w:p>
      <w:pPr>
        <w:ind w:left="380" w:hanging="171"/>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49" w:lineRule="exact"/>
        <w:rPr>
          <w:rFonts w:ascii="Arial" w:cs="Arial" w:eastAsia="Arial" w:hAnsi="Arial"/>
          <w:sz w:val="18"/>
          <w:szCs w:val="18"/>
          <w:color w:val="auto"/>
        </w:rPr>
      </w:pPr>
    </w:p>
    <w:p>
      <w:pPr>
        <w:ind w:firstLine="209"/>
        <w:spacing w:after="0" w:line="339" w:lineRule="auto"/>
        <w:tabs>
          <w:tab w:leader="none" w:pos="397"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6"/>
          <w:szCs w:val="16"/>
          <w:color w:val="auto"/>
        </w:rPr>
      </w:pPr>
    </w:p>
    <w:p>
      <w:pPr>
        <w:ind w:firstLine="209"/>
        <w:spacing w:after="0" w:line="275" w:lineRule="auto"/>
        <w:tabs>
          <w:tab w:leader="none" w:pos="39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209"/>
        <w:spacing w:after="0" w:line="262" w:lineRule="auto"/>
        <w:tabs>
          <w:tab w:leader="none" w:pos="41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380" w:firstLine="192"/>
        <w:spacing w:after="0" w:line="262" w:lineRule="auto"/>
        <w:tabs>
          <w:tab w:leader="none" w:pos="782"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380" w:firstLine="192"/>
        <w:spacing w:after="0" w:line="262" w:lineRule="auto"/>
        <w:tabs>
          <w:tab w:leader="none" w:pos="81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80" w:firstLine="192"/>
        <w:spacing w:after="0" w:line="305" w:lineRule="auto"/>
        <w:tabs>
          <w:tab w:leader="none" w:pos="81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7"/>
          <w:szCs w:val="17"/>
          <w:color w:val="auto"/>
        </w:rPr>
      </w:pPr>
    </w:p>
    <w:p>
      <w:pPr>
        <w:jc w:val="both"/>
        <w:ind w:left="380" w:firstLine="192"/>
        <w:spacing w:after="0" w:line="262" w:lineRule="auto"/>
        <w:tabs>
          <w:tab w:leader="none" w:pos="792"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209"/>
        <w:spacing w:after="0" w:line="305" w:lineRule="auto"/>
        <w:tabs>
          <w:tab w:leader="none" w:pos="395"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7"/>
          <w:szCs w:val="17"/>
          <w:color w:val="auto"/>
        </w:rPr>
      </w:pPr>
    </w:p>
    <w:p>
      <w:pPr>
        <w:ind w:left="380" w:right="20" w:firstLine="192"/>
        <w:spacing w:after="0" w:line="275" w:lineRule="auto"/>
        <w:tabs>
          <w:tab w:leader="none" w:pos="776"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80" w:firstLine="192"/>
        <w:spacing w:after="0" w:line="275" w:lineRule="auto"/>
        <w:tabs>
          <w:tab w:leader="none" w:pos="78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13970</wp:posOffset>
            </wp:positionV>
            <wp:extent cx="304609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Paul A. Jacobson</w:t>
      </w: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August 4, 2021</w:t>
      </w:r>
    </w:p>
    <w:p>
      <w:pPr>
        <w:sectPr>
          <w:pgSz w:w="11900" w:h="16838" w:orient="portrait"/>
          <w:cols w:equalWidth="0" w:num="1">
            <w:col w:w="11240"/>
          </w:cols>
          <w:pgMar w:left="320" w:top="363"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5" w:lineRule="exact"/>
        <w:rPr>
          <w:sz w:val="20"/>
          <w:szCs w:val="20"/>
          <w:color w:val="auto"/>
        </w:rPr>
      </w:pPr>
    </w:p>
    <w:p>
      <w:pPr>
        <w:jc w:val="both"/>
        <w:ind w:firstLine="202"/>
        <w:spacing w:after="0" w:line="289" w:lineRule="auto"/>
        <w:rPr>
          <w:sz w:val="20"/>
          <w:szCs w:val="20"/>
          <w:color w:val="auto"/>
        </w:rPr>
      </w:pPr>
      <w:r>
        <w:rPr>
          <w:rFonts w:ascii="Arial" w:cs="Arial" w:eastAsia="Arial" w:hAnsi="Arial"/>
          <w:sz w:val="16"/>
          <w:szCs w:val="16"/>
          <w:color w:val="auto"/>
        </w:rPr>
        <w:t>In connection with the Quarterly Report of General Motors Company (the “Company”) on Form 10-Q for the period ended June 30, 2021 as filed with the Securities and Exchange Commission on the date hereof (the “Report”), each of the undersigned officers of the Company, certify, pursuant to 18 U.S.C.</w:t>
      </w:r>
    </w:p>
    <w:p>
      <w:pPr>
        <w:spacing w:after="0" w:line="1" w:lineRule="exact"/>
        <w:rPr>
          <w:sz w:val="20"/>
          <w:szCs w:val="20"/>
          <w:color w:val="auto"/>
        </w:rPr>
      </w:pPr>
    </w:p>
    <w:p>
      <w:pPr>
        <w:ind w:left="140" w:hanging="133"/>
        <w:spacing w:after="0"/>
        <w:tabs>
          <w:tab w:leader="none" w:pos="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 to the best of such officer's knowledge:</w:t>
      </w:r>
    </w:p>
    <w:p>
      <w:pPr>
        <w:spacing w:after="0" w:line="235" w:lineRule="exact"/>
        <w:rPr>
          <w:rFonts w:ascii="Arial" w:cs="Arial" w:eastAsia="Arial" w:hAnsi="Arial"/>
          <w:sz w:val="18"/>
          <w:szCs w:val="18"/>
          <w:color w:val="auto"/>
        </w:rPr>
      </w:pPr>
    </w:p>
    <w:p>
      <w:pPr>
        <w:ind w:left="760" w:hanging="188"/>
        <w:spacing w:after="0"/>
        <w:tabs>
          <w:tab w:leader="none" w:pos="7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9" w:lineRule="exact"/>
        <w:rPr>
          <w:rFonts w:ascii="Arial" w:cs="Arial" w:eastAsia="Arial" w:hAnsi="Arial"/>
          <w:sz w:val="18"/>
          <w:szCs w:val="18"/>
          <w:color w:val="auto"/>
        </w:rPr>
      </w:pPr>
    </w:p>
    <w:p>
      <w:pPr>
        <w:ind w:left="760" w:hanging="188"/>
        <w:spacing w:after="0"/>
        <w:tabs>
          <w:tab w:leader="none" w:pos="7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13970</wp:posOffset>
            </wp:positionV>
            <wp:extent cx="30460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Mary T. Barra</w:t>
      </w:r>
    </w:p>
    <w:p>
      <w:pPr>
        <w:ind w:left="5620"/>
        <w:spacing w:after="0"/>
        <w:rPr>
          <w:sz w:val="20"/>
          <w:szCs w:val="20"/>
          <w:color w:val="auto"/>
        </w:rPr>
      </w:pPr>
      <w:r>
        <w:rPr>
          <w:rFonts w:ascii="Arial" w:cs="Arial" w:eastAsia="Arial" w:hAnsi="Arial"/>
          <w:sz w:val="18"/>
          <w:szCs w:val="18"/>
          <w:color w:val="auto"/>
        </w:rPr>
        <w:t>Chair and Chief Executive Officer</w:t>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13970</wp:posOffset>
            </wp:positionV>
            <wp:extent cx="30460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Paul A. Jacobson</w:t>
      </w: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August 4, 2021</w:t>
      </w:r>
    </w:p>
    <w:sectPr>
      <w:pgSz w:w="11900" w:h="16838" w:orient="portrait"/>
      <w:cols w:equalWidth="0" w:num="1">
        <w:col w:w="11240"/>
      </w:cols>
      <w:pgMar w:left="320" w:top="3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lowerLetter"/>
      <w:start w:val="1"/>
    </w:lvl>
  </w:abstractNum>
  <w:abstractNum w:abstractNumId="3">
    <w:nsid w:val="436C6125"/>
    <w:multiLevelType w:val="hybridMultilevel"/>
    <w:lvl w:ilvl="0">
      <w:lvlJc w:val="left"/>
      <w:lvlText w:val="(%1)"/>
      <w:numFmt w:val="lowerLetter"/>
      <w:start w:val="1"/>
    </w:lvl>
  </w:abstractNum>
  <w:abstractNum w:abstractNumId="4">
    <w:nsid w:val="628C895D"/>
    <w:multiLevelType w:val="hybridMultilevel"/>
    <w:lvl w:ilvl="0">
      <w:lvlJc w:val="left"/>
      <w:lvlText w:val="(%1)"/>
      <w:numFmt w:val="lowerLetter"/>
      <w:start w:val="1"/>
    </w:lvl>
  </w:abstractNum>
  <w:abstractNum w:abstractNumId="5">
    <w:nsid w:val="333AB105"/>
    <w:multiLevelType w:val="hybridMultilevel"/>
    <w:lvl w:ilvl="0">
      <w:lvlJc w:val="left"/>
      <w:lvlText w:val="(%1)"/>
      <w:numFmt w:val="lowerLetter"/>
      <w:start w:val="1"/>
    </w:lvl>
  </w:abstractNum>
  <w:abstractNum w:abstractNumId="6">
    <w:nsid w:val="721DA317"/>
    <w:multiLevelType w:val="hybridMultilevel"/>
    <w:lvl w:ilvl="0">
      <w:lvlJc w:val="left"/>
      <w:lvlText w:val="(%1)"/>
      <w:numFmt w:val="lowerLetter"/>
      <w:start w:val="1"/>
    </w:lvl>
  </w:abstractNum>
  <w:abstractNum w:abstractNumId="7">
    <w:nsid w:val="2443A858"/>
    <w:multiLevelType w:val="hybridMultilevel"/>
    <w:lvl w:ilvl="0">
      <w:lvlJc w:val="left"/>
      <w:lvlText w:val="(%1)"/>
      <w:numFmt w:val="lowerLetter"/>
      <w:start w:val="1"/>
    </w:lvl>
  </w:abstractNum>
  <w:abstractNum w:abstractNumId="8">
    <w:nsid w:val="2D1D5AE9"/>
    <w:multiLevelType w:val="hybridMultilevel"/>
    <w:lvl w:ilvl="0">
      <w:lvlJc w:val="left"/>
      <w:lvlText w:val="(%1)"/>
      <w:numFmt w:val="lowerLetter"/>
      <w:start w:val="1"/>
    </w:lvl>
  </w:abstractNum>
  <w:abstractNum w:abstractNumId="9">
    <w:nsid w:val="6763845E"/>
    <w:multiLevelType w:val="hybridMultilevel"/>
    <w:lvl w:ilvl="0">
      <w:lvlJc w:val="left"/>
      <w:lvlText w:val="(%1)"/>
      <w:numFmt w:val="lowerLetter"/>
      <w:start w:val="1"/>
    </w:lvl>
  </w:abstractNum>
  <w:abstractNum w:abstractNumId="10">
    <w:nsid w:val="75A2A8D4"/>
    <w:multiLevelType w:val="hybridMultilevel"/>
    <w:lvl w:ilvl="0">
      <w:lvlJc w:val="left"/>
      <w:lvlText w:val="(%1)"/>
      <w:numFmt w:val="lowerLetter"/>
      <w:start w:val="1"/>
    </w:lvl>
  </w:abstractNum>
  <w:abstractNum w:abstractNumId="11">
    <w:nsid w:val="8EDBDAB"/>
    <w:multiLevelType w:val="hybridMultilevel"/>
    <w:lvl w:ilvl="0">
      <w:lvlJc w:val="left"/>
      <w:lvlText w:val="(%1)"/>
      <w:numFmt w:val="lowerLetter"/>
      <w:start w:val="1"/>
    </w:lvl>
  </w:abstractNum>
  <w:abstractNum w:abstractNumId="12">
    <w:nsid w:val="79838CB2"/>
    <w:multiLevelType w:val="hybridMultilevel"/>
    <w:lvl w:ilvl="0">
      <w:lvlJc w:val="left"/>
      <w:lvlText w:val="(%1)"/>
      <w:numFmt w:val="lowerLetter"/>
      <w:start w:val="1"/>
    </w:lvl>
  </w:abstractNum>
  <w:abstractNum w:abstractNumId="13">
    <w:nsid w:val="4353D0CD"/>
    <w:multiLevelType w:val="hybridMultilevel"/>
    <w:lvl w:ilvl="0">
      <w:lvlJc w:val="left"/>
      <w:lvlText w:val="(%1)"/>
      <w:numFmt w:val="lowerLetter"/>
      <w:start w:val="1"/>
    </w:lvl>
  </w:abstractNum>
  <w:abstractNum w:abstractNumId="14">
    <w:nsid w:val="B03E0C6"/>
    <w:multiLevelType w:val="hybridMultilevel"/>
    <w:lvl w:ilvl="0">
      <w:lvlJc w:val="left"/>
      <w:lvlText w:val="(%1)"/>
      <w:numFmt w:val="lowerLetter"/>
      <w:start w:val="1"/>
    </w:lvl>
  </w:abstractNum>
  <w:abstractNum w:abstractNumId="15">
    <w:nsid w:val="189A769B"/>
    <w:multiLevelType w:val="hybridMultilevel"/>
    <w:lvl w:ilvl="0">
      <w:lvlJc w:val="left"/>
      <w:lvlText w:val="(%1)"/>
      <w:numFmt w:val="lowerLetter"/>
      <w:start w:val="1"/>
    </w:lvl>
  </w:abstractNum>
  <w:abstractNum w:abstractNumId="16">
    <w:nsid w:val="54E49EB4"/>
    <w:multiLevelType w:val="hybridMultilevel"/>
    <w:lvl w:ilvl="0">
      <w:lvlJc w:val="left"/>
      <w:lvlText w:val="(%1)"/>
      <w:numFmt w:val="lowerLetter"/>
      <w:start w:val="1"/>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1)"/>
      <w:numFmt w:val="lowerLetter"/>
      <w:start w:val="1"/>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Letter"/>
      <w:start w:val="1"/>
    </w:lvl>
  </w:abstractNum>
  <w:abstractNum w:abstractNumId="23">
    <w:nsid w:val="1E7FF521"/>
    <w:multiLevelType w:val="hybridMultilevel"/>
    <w:lvl w:ilvl="0">
      <w:lvlJc w:val="left"/>
      <w:lvlText w:val="(%1)"/>
      <w:numFmt w:val="lowerLetter"/>
      <w:start w:val="1"/>
    </w:lvl>
  </w:abstractNum>
  <w:abstractNum w:abstractNumId="24">
    <w:nsid w:val="7C3DBD3D"/>
    <w:multiLevelType w:val="hybridMultilevel"/>
    <w:lvl w:ilvl="0">
      <w:lvlJc w:val="left"/>
      <w:lvlText w:val="(%1)"/>
      <w:numFmt w:val="decimal"/>
      <w:start w:val="3"/>
    </w:lvl>
  </w:abstractNum>
  <w:abstractNum w:abstractNumId="25">
    <w:nsid w:val="737B8DDC"/>
    <w:multiLevelType w:val="hybridMultilevel"/>
    <w:lvl w:ilvl="0">
      <w:lvlJc w:val="left"/>
      <w:lvlText w:val="(%1)"/>
      <w:numFmt w:val="decimal"/>
      <w:start w:val="2"/>
    </w:lvl>
  </w:abstractNum>
  <w:abstractNum w:abstractNumId="26">
    <w:nsid w:val="6CEAF087"/>
    <w:multiLevelType w:val="hybridMultilevel"/>
    <w:lvl w:ilvl="0">
      <w:lvlJc w:val="left"/>
      <w:lvlText w:val="(%1)"/>
      <w:numFmt w:val="lowerLetter"/>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1)"/>
      <w:numFmt w:val="lowerLetter"/>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7"/>
    </w:lvl>
  </w:abstractNum>
  <w:abstractNum w:abstractNumId="32">
    <w:nsid w:val="5577F8E1"/>
    <w:multiLevelType w:val="hybridMultilevel"/>
    <w:lvl w:ilvl="0">
      <w:lvlJc w:val="left"/>
      <w:lvlText w:val="(%1)"/>
      <w:numFmt w:val="lowerLetter"/>
      <w:start w:val="1"/>
    </w:lvl>
    <w:lvl w:ilvl="1">
      <w:lvlJc w:val="left"/>
      <w:lvlText w:val="*"/>
      <w:numFmt w:val="bullet"/>
      <w:start w:val="1"/>
    </w:lvl>
  </w:abstractNum>
  <w:abstractNum w:abstractNumId="33">
    <w:nsid w:val="440BADFC"/>
    <w:multiLevelType w:val="hybridMultilevel"/>
    <w:lvl w:ilvl="0">
      <w:lvlJc w:val="left"/>
      <w:lvlText w:val="†"/>
      <w:numFmt w:val="bullet"/>
      <w:start w:val="1"/>
    </w:lvl>
    <w:lvl w:ilvl="1">
      <w:lvlJc w:val="left"/>
      <w:lvlText w:val="*"/>
      <w:numFmt w:val="bullet"/>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77" Type="http://schemas.openxmlformats.org/officeDocument/2006/relationships/hyperlink" Target="http://www.sec.gov/Archives/edgar/data/1467858/000119312510279214/dex32.htm" TargetMode="External"/><Relationship Id="rId78" Type="http://schemas.openxmlformats.org/officeDocument/2006/relationships/hyperlink" Target="http://www.sec.gov/Archives/edgar/data/1467858/000119312518252892/d595623dex31.htm" TargetMode="External"/><Relationship Id="rId79" Type="http://schemas.openxmlformats.org/officeDocument/2006/relationships/hyperlink" Target="https://www.sec.gov/Archives/edgar/data/1467858/000119312521109043/d125526dex101.htm" TargetMode="External"/><Relationship Id="rId80" Type="http://schemas.openxmlformats.org/officeDocument/2006/relationships/hyperlink" Target="https://www.sec.gov/Archives/edgar/data/1467858/000119312521109043/d125526dex102.htm" TargetMode="External"/><Relationship Id="rId81" Type="http://schemas.openxmlformats.org/officeDocument/2006/relationships/hyperlink" Target="https://www.sec.gov/Archives/edgar/data/1467858/000119312521109043/d125526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2021-08-04T14:58:28Z</dcterms:created>
  <dcterms:modified xsi:type="dcterms:W3CDTF">2021-08-04T14:58:28Z</dcterms:modified>
</cp:coreProperties>
</file>