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w w:val="90"/>
              </w:rPr>
            </w:pPr>
            <w:hyperlink r:id="rId12">
              <w:r>
                <w:rPr>
                  <w:rFonts w:ascii="Arial" w:cs="Arial" w:eastAsia="Arial" w:hAnsi="Arial"/>
                  <w:sz w:val="22"/>
                  <w:szCs w:val="22"/>
                  <w:color w:val="0000EE"/>
                  <w:w w:val="90"/>
                </w:rPr>
                <w:t>Ashton Joseph J</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w w:val="98"/>
              </w:rPr>
              <w:t>M/C: 482-C25-A36</w:t>
            </w: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5,464</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5,464</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8,051</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256</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256</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8,307</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2015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converted to DSUs based on the average closing price of the Common Stock for the previous calendar year, which was $34.32.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General Motors Company Deferred Compensation Plan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01/05/2016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Ashton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522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2019-12-08T19:04:00Z</dcterms:created>
  <dcterms:modified xsi:type="dcterms:W3CDTF">2019-12-08T19:04:00Z</dcterms:modified>
</cp:coreProperties>
</file>