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21,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July 21, 2016 a news release was issued on the subject of 2016 second quarter consolidated earnings for General Motors Company (GM). The news release and financial statements are attached as Exhibit 99.1.</w:t>
      </w:r>
    </w:p>
    <w:p>
      <w:pPr>
        <w:spacing w:after="0" w:line="1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2016 second quarter consolidated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34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r>
      <w:tr>
        <w:trPr>
          <w:trHeight w:val="615"/>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4"/>
          </w:tcPr>
          <w:p>
            <w:pPr>
              <w:spacing w:after="0"/>
              <w:rPr>
                <w:sz w:val="20"/>
                <w:szCs w:val="20"/>
                <w:color w:val="auto"/>
              </w:rPr>
            </w:pPr>
            <w:r>
              <w:rPr>
                <w:rFonts w:ascii="Arial" w:cs="Arial" w:eastAsia="Arial" w:hAnsi="Arial"/>
                <w:sz w:val="18"/>
                <w:szCs w:val="18"/>
                <w:color w:val="auto"/>
                <w:w w:val="90"/>
              </w:rPr>
              <w:t>News Release Dated July 21, 2016 and Financial Highlights</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July 21, 2016</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July 21, 2016, 7:30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Second-Quarter Net Income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 $2.9 Billion, Up 157 Percent</w:t>
      </w:r>
    </w:p>
    <w:p>
      <w:pPr>
        <w:spacing w:after="0" w:line="20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Strong EPS diluted of $1.81; record EPS diluted-adjusted of $1.86</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Record net revenue of $42.4 billion, up 11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Record EBIT-adjusted of $3.9 billion, up 37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GM North America sets records for EBIT-adjusted of $3.6 billion, 12.1 percent margin</w:t>
      </w:r>
    </w:p>
    <w:p>
      <w:pPr>
        <w:spacing w:after="0" w:line="202" w:lineRule="exact"/>
        <w:rPr>
          <w:sz w:val="20"/>
          <w:szCs w:val="20"/>
          <w:color w:val="auto"/>
        </w:rPr>
      </w:pPr>
    </w:p>
    <w:p>
      <w:pPr>
        <w:jc w:val="both"/>
        <w:ind w:right="8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announced strong second-quarter net income to common stockholders of $2.9 billion, up</w:t>
      </w:r>
      <w:r>
        <w:rPr>
          <w:rFonts w:ascii="Arial" w:cs="Arial" w:eastAsia="Arial" w:hAnsi="Arial"/>
          <w:sz w:val="20"/>
          <w:szCs w:val="20"/>
          <w:b w:val="1"/>
          <w:bCs w:val="1"/>
          <w:color w:val="auto"/>
        </w:rPr>
        <w:t xml:space="preserve"> </w:t>
      </w:r>
      <w:r>
        <w:rPr>
          <w:rFonts w:ascii="Arial" w:cs="Arial" w:eastAsia="Arial" w:hAnsi="Arial"/>
          <w:sz w:val="20"/>
          <w:szCs w:val="20"/>
          <w:color w:val="auto"/>
        </w:rPr>
        <w:t>157 percent compared to $1.1 billion in the second quarter of 2015. Earnings per share (EPS) diluted was a strong $1.81, compared to $0.67 in the second quarter a year ago.</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EPS diluted-adjusted was a record at $1.86, up 44 percent compared to $1.29 in the second quarter of 2015.</w:t>
      </w:r>
    </w:p>
    <w:p>
      <w:pPr>
        <w:spacing w:after="0" w:line="216"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The company reported records for earnings before interest and tax (EBIT) adjusted of $3.9 billion and EBIT-adjusted margin of 9.3 percent. These compare to EBIT-adjusted of $2.9 billion and EBIT-adjusted margin of 7.5 percent in the second quarter of 2015, which included the impact of $0.3 billion restructuring costs.</w:t>
      </w:r>
    </w:p>
    <w:p>
      <w:pPr>
        <w:spacing w:after="0" w:line="186"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“This was an outstanding quarter for GM,” said Chairman and CEO Mary Barra. “Our results were generated by strong retail sales in the U.S., record sales in China and a continued emphasis on improving the performance of our operations worldwide. We’ll continue to focus on driving profitable growth and leveraging our technical expertise to lead in the future of personal mobility.”</w:t>
      </w:r>
    </w:p>
    <w:p>
      <w:pPr>
        <w:spacing w:after="0" w:line="170"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Net revenue of $42.4 billion was a record, compared to $38.2 billion in the second quarter of 2015. Holding exchange rates constant, net revenue was $5.0 billion higher than the second quarter of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60" w:type="dxa"/>
            <w:vAlign w:val="bottom"/>
          </w:tcPr>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16"/>
                <w:szCs w:val="16"/>
                <w:color w:val="auto"/>
              </w:rPr>
              <w:t>(dollars in billions except for per share amounts and where noted)</w:t>
            </w:r>
          </w:p>
        </w:tc>
        <w:tc>
          <w:tcPr>
            <w:tcW w:w="24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88"/>
        </w:trPr>
        <w:tc>
          <w:tcPr>
            <w:tcW w:w="7760" w:type="dxa"/>
            <w:vAlign w:val="bottom"/>
          </w:tcPr>
          <w:p>
            <w:pPr>
              <w:spacing w:after="0"/>
              <w:rPr>
                <w:sz w:val="24"/>
                <w:szCs w:val="24"/>
                <w:color w:val="auto"/>
              </w:rPr>
            </w:pPr>
          </w:p>
        </w:tc>
        <w:tc>
          <w:tcPr>
            <w:tcW w:w="2440" w:type="dxa"/>
            <w:vAlign w:val="bottom"/>
          </w:tcPr>
          <w:p>
            <w:pPr>
              <w:jc w:val="center"/>
              <w:ind w:left="1230"/>
              <w:spacing w:after="0"/>
              <w:rPr>
                <w:sz w:val="20"/>
                <w:szCs w:val="20"/>
                <w:color w:val="auto"/>
              </w:rPr>
            </w:pPr>
            <w:r>
              <w:rPr>
                <w:rFonts w:ascii="Arial" w:cs="Arial" w:eastAsia="Arial" w:hAnsi="Arial"/>
                <w:sz w:val="18"/>
                <w:szCs w:val="18"/>
                <w:b w:val="1"/>
                <w:bCs w:val="1"/>
                <w:color w:val="auto"/>
                <w:w w:val="92"/>
              </w:rPr>
              <w:t>Q2 2016</w:t>
            </w:r>
          </w:p>
        </w:tc>
        <w:tc>
          <w:tcPr>
            <w:tcW w:w="8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Q2 2015</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Global deliveries (millions of units)</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87"/>
              </w:rPr>
              <w:t>2.4</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7"/>
              </w:rPr>
              <w:t>2.4</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Net revenue</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88"/>
              </w:rPr>
              <w:t>$42.4</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3"/>
              </w:rPr>
              <w:t>$38.2</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91"/>
              </w:rPr>
              <w:t>$2.9</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$1.1</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EPS diluted</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88"/>
              </w:rPr>
              <w:t>$1.81</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3"/>
              </w:rPr>
              <w:t>$0.67</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Impact of special items on EPS diluted</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91"/>
              </w:rPr>
              <w:t>$(0.05)</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4"/>
              </w:rPr>
              <w:t>$(0.62)</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EPS diluted - adjusted</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88"/>
              </w:rPr>
              <w:t>$1.86</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3"/>
              </w:rPr>
              <w:t>$1.29</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EBIT-adjusted</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91"/>
              </w:rPr>
              <w:t>$3.9</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$2.9</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 EBIT-adjusted margin</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87"/>
              </w:rPr>
              <w:t>9.3</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7"/>
              </w:rPr>
              <w:t>7.5</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Automotive net cash flow from operating activities</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91"/>
              </w:rPr>
              <w:t>$5.0</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$5.1</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Adjusted automotive free cash flow</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91"/>
              </w:rPr>
              <w:t>$3.2</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$3.3</w:t>
            </w:r>
          </w:p>
        </w:tc>
      </w:tr>
      <w:tr>
        <w:trPr>
          <w:trHeight w:val="27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 return on invested capital (ROIC)</w:t>
            </w:r>
          </w:p>
        </w:tc>
        <w:tc>
          <w:tcPr>
            <w:tcW w:w="2440" w:type="dxa"/>
            <w:vAlign w:val="bottom"/>
          </w:tcPr>
          <w:p>
            <w:pPr>
              <w:jc w:val="center"/>
              <w:ind w:left="1230"/>
              <w:spacing w:after="0"/>
              <w:rPr>
                <w:sz w:val="20"/>
                <w:szCs w:val="20"/>
                <w:color w:val="auto"/>
              </w:rPr>
            </w:pPr>
            <w:r>
              <w:rPr>
                <w:rFonts w:ascii="Arial" w:cs="Arial" w:eastAsia="Arial" w:hAnsi="Arial"/>
                <w:sz w:val="18"/>
                <w:szCs w:val="18"/>
                <w:color w:val="auto"/>
                <w:w w:val="91"/>
              </w:rPr>
              <w:t>30.5</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23.4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EBIT-Adjusted Results</w:t>
      </w:r>
    </w:p>
    <w:p>
      <w:pPr>
        <w:sectPr>
          <w:pgSz w:w="11900" w:h="16838" w:orient="portrait"/>
          <w:cols w:equalWidth="0" w:num="1">
            <w:col w:w="11420"/>
          </w:cols>
          <w:pgMar w:left="240" w:top="126" w:right="239" w:bottom="1440" w:gutter="0" w:footer="0" w:header="0"/>
        </w:sectPr>
      </w:pPr>
    </w:p>
    <w:bookmarkStart w:id="4" w:name="page5"/>
    <w:bookmarkEnd w:id="4"/>
    <w:p>
      <w:pPr>
        <w:ind w:left="660" w:right="30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North America reported record EBIT-adjusted of $3.6 billion compared with $2.8 billion in the second quarter of 2015. For the quarter, EBIT-adjusted margin was a record 12.1 percent, compared to 10.5 percent a year ago.</w:t>
      </w:r>
    </w:p>
    <w:p>
      <w:pPr>
        <w:spacing w:after="0" w:line="1" w:lineRule="exact"/>
        <w:rPr>
          <w:rFonts w:ascii="Arial" w:cs="Arial" w:eastAsia="Arial" w:hAnsi="Arial"/>
          <w:sz w:val="18"/>
          <w:szCs w:val="18"/>
          <w:color w:val="auto"/>
        </w:rPr>
      </w:pPr>
    </w:p>
    <w:p>
      <w:pPr>
        <w:ind w:left="660" w:right="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reported EBIT-adjusted of $0.1 billion compared with breakeven EBIT-adjusted results in the second quarter of 2015. This result is the first profitable quarter since the second quarter of 2011.</w:t>
      </w:r>
    </w:p>
    <w:p>
      <w:pPr>
        <w:spacing w:after="0" w:line="1" w:lineRule="exact"/>
        <w:rPr>
          <w:rFonts w:ascii="Arial" w:cs="Arial" w:eastAsia="Arial" w:hAnsi="Arial"/>
          <w:sz w:val="18"/>
          <w:szCs w:val="18"/>
          <w:color w:val="auto"/>
        </w:rPr>
      </w:pPr>
    </w:p>
    <w:p>
      <w:pPr>
        <w:ind w:left="660" w:right="10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International Operations reported EBIT-adjusted of $0.2 billion compared with $0.3 billion in the second quarter of 2015. Results included China equity income of $0.5 billion in both periods.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South America reported EBIT-adjusted of $(0.1) billion, about equal with the second quarter of 2015.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Financial reported earnings before tax of $0.3 billion, compared with $0.2 billion in the second quarter of 2015.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35"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For the quarter, automotive cash flow from operating activities was $5.0 billion. Adjusted automotive free cash flow was $3.2 billion. GM ended the quarter with total automotive liquidity of $34.1 billion, and automotive cash and marketable securities of $20.1 billion.</w:t>
      </w:r>
    </w:p>
    <w:p>
      <w:pPr>
        <w:spacing w:after="0" w:line="13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“When you deliver cars, trucks and crossovers customers really value, and generate efficiencies across the enterprise, great results follow,” said Chuck Stevens, GM executive vice president and chief financial officer. “With our aggressive vehicle launch cadence and robust global industry sales, we are confident that we can continue to achieve strong financial performance.”</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GM expects a higher proportion of volume from new or refreshed vehicles each year through 2020 compared to the prior five years, increasing to 40 percent of its total global volume, up from 26 percent in 2015.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2016 Outlook</w:t>
      </w:r>
    </w:p>
    <w:p>
      <w:pPr>
        <w:spacing w:after="0" w:line="235"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Based on the company’s strong financial performance through the first half of 2016 and its current outlook for the second half of the year, GM now expects 2016 full year EPS diluted-adjusted to be $5.50 - $6.00, up from the previously announced $5.25 - $5.75 range.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 Vehicle Sales</w:t>
      </w:r>
    </w:p>
    <w:p>
      <w:pPr>
        <w:spacing w:after="0" w:line="235"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GM sold 2.4 million vehicles globally in the second quarter of 2016 to customers, about equal to the second quarter of 2015. Through June 30, the company sold 4.76 million vehicles globally.</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the U.S., GM sold 1.44 million vehicles in the first six months of the year, which included a retail sales increase of more than 1 percent. U.S. retail market share rose 0.4 percentage points through June, the largest retail share gain of any full-line automaker. In China, GM and its joint ventures delivered a record 1.81 million vehicles during the first half of the year, an increase of 5.3 percent. In Europe, Opel / Vauxhall outperformed the industry with a 7-percent sales increase to 621,000 vehicles in the first half of the year.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on quarterly and year-to-date global sales please refer to </w:t>
      </w:r>
      <w:r>
        <w:rPr>
          <w:rFonts w:ascii="Arial" w:cs="Arial" w:eastAsia="Arial" w:hAnsi="Arial"/>
          <w:sz w:val="20"/>
          <w:szCs w:val="20"/>
          <w:u w:val="single" w:color="auto"/>
          <w:color w:val="0000FF"/>
        </w:rPr>
        <w:t>http://www.gm.com/investors.html</w:t>
      </w:r>
      <w:r>
        <w:rPr>
          <w:rFonts w:ascii="Arial" w:cs="Arial" w:eastAsia="Arial" w:hAnsi="Arial"/>
          <w:sz w:val="18"/>
          <w:szCs w:val="18"/>
          <w:u w:val="single" w:color="auto"/>
          <w:color w:val="0000FF"/>
        </w:rPr>
        <w:t>.</w:t>
      </w:r>
    </w:p>
    <w:p>
      <w:pPr>
        <w:spacing w:after="0" w:line="21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366" w:right="279" w:bottom="1440" w:gutter="0" w:footer="0" w:header="0"/>
        </w:sectPr>
      </w:pPr>
    </w:p>
    <w:bookmarkStart w:id="5" w:name="page6"/>
    <w:bookmarkEnd w:id="5"/>
    <w:tbl>
      <w:tblPr>
        <w:tblLayout w:type="fixed"/>
        <w:tblInd w:w="420" w:type="dxa"/>
        <w:tblCellMar>
          <w:top w:w="0" w:type="dxa"/>
          <w:left w:w="0" w:type="dxa"/>
          <w:bottom w:w="0" w:type="dxa"/>
          <w:right w:w="0" w:type="dxa"/>
        </w:tblCellMar>
      </w:tblPr>
      <w:tr>
        <w:trPr>
          <w:trHeight w:val="220"/>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332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320" w:type="dxa"/>
            <w:vAlign w:val="bottom"/>
            <w:gridSpan w:val="2"/>
          </w:tcPr>
          <w:p>
            <w:pPr>
              <w:ind w:left="1560"/>
              <w:spacing w:after="0"/>
              <w:rPr>
                <w:sz w:val="20"/>
                <w:szCs w:val="20"/>
                <w:color w:val="auto"/>
              </w:rPr>
            </w:pPr>
            <w:r>
              <w:rPr>
                <w:rFonts w:ascii="Arial" w:cs="Arial" w:eastAsia="Arial" w:hAnsi="Arial"/>
                <w:sz w:val="18"/>
                <w:szCs w:val="18"/>
                <w:color w:val="auto"/>
              </w:rPr>
              <w:t>Randy Arickx</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GM Finance Communications</w:t>
            </w:r>
          </w:p>
        </w:tc>
        <w:tc>
          <w:tcPr>
            <w:tcW w:w="3320" w:type="dxa"/>
            <w:vAlign w:val="bottom"/>
            <w:gridSpan w:val="2"/>
          </w:tcPr>
          <w:p>
            <w:pPr>
              <w:ind w:left="1560"/>
              <w:spacing w:after="0"/>
              <w:rPr>
                <w:sz w:val="20"/>
                <w:szCs w:val="20"/>
                <w:color w:val="auto"/>
              </w:rPr>
            </w:pPr>
            <w:r>
              <w:rPr>
                <w:rFonts w:ascii="Arial" w:cs="Arial" w:eastAsia="Arial" w:hAnsi="Arial"/>
                <w:sz w:val="18"/>
                <w:szCs w:val="18"/>
                <w:color w:val="auto"/>
                <w:w w:val="97"/>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313-410-2704</w:t>
            </w:r>
          </w:p>
        </w:tc>
        <w:tc>
          <w:tcPr>
            <w:tcW w:w="1820" w:type="dxa"/>
            <w:vAlign w:val="bottom"/>
          </w:tcPr>
          <w:p>
            <w:pPr>
              <w:spacing w:after="0"/>
              <w:rPr>
                <w:sz w:val="18"/>
                <w:szCs w:val="18"/>
                <w:color w:val="auto"/>
              </w:rPr>
            </w:pPr>
          </w:p>
        </w:tc>
        <w:tc>
          <w:tcPr>
            <w:tcW w:w="3320" w:type="dxa"/>
            <w:vAlign w:val="bottom"/>
            <w:gridSpan w:val="2"/>
          </w:tcPr>
          <w:p>
            <w:pPr>
              <w:ind w:left="1560"/>
              <w:spacing w:after="0"/>
              <w:rPr>
                <w:sz w:val="20"/>
                <w:szCs w:val="20"/>
                <w:color w:val="auto"/>
              </w:rPr>
            </w:pPr>
            <w:r>
              <w:rPr>
                <w:rFonts w:ascii="Arial" w:cs="Arial" w:eastAsia="Arial" w:hAnsi="Arial"/>
                <w:sz w:val="18"/>
                <w:szCs w:val="18"/>
                <w:color w:val="auto"/>
              </w:rPr>
              <w:t>313-268-7070</w:t>
            </w:r>
          </w:p>
        </w:tc>
      </w:tr>
      <w:tr>
        <w:trPr>
          <w:trHeight w:val="190"/>
        </w:trPr>
        <w:tc>
          <w:tcPr>
            <w:tcW w:w="376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3320" w:type="dxa"/>
            <w:vAlign w:val="bottom"/>
            <w:gridSpan w:val="2"/>
          </w:tcPr>
          <w:p>
            <w:pPr>
              <w:ind w:left="1560"/>
              <w:spacing w:after="0" w:line="190" w:lineRule="exact"/>
              <w:rPr>
                <w:sz w:val="20"/>
                <w:szCs w:val="20"/>
                <w:color w:val="auto"/>
              </w:rPr>
            </w:pPr>
            <w:r>
              <w:rPr>
                <w:rFonts w:ascii="Arial" w:cs="Arial" w:eastAsia="Arial" w:hAnsi="Arial"/>
                <w:sz w:val="18"/>
                <w:szCs w:val="18"/>
                <w:color w:val="0000FF"/>
                <w:w w:val="89"/>
              </w:rPr>
              <w:t>randy.c.arickx@gm.com</w:t>
            </w:r>
          </w:p>
        </w:tc>
      </w:tr>
      <w:tr>
        <w:trPr>
          <w:trHeight w:val="20"/>
        </w:trPr>
        <w:tc>
          <w:tcPr>
            <w:tcW w:w="19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this press release and related comments by management,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 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 vehicle models by our competitors; (17) significant changes in economic, political, regulatory and market conditions in the countries in which we operate, particularly China, with the effect of competition from new market entrants and in the United Kingdom with passage of a referendum to discontinue membership in the European Union; (18) 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 (19) 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pacing w:after="0" w:line="3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400"/>
          </w:cols>
          <w:pgMar w:left="240" w:top="526" w:right="25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accompanying tables and charts include earnings before interest and taxes adjusted for special items, presented net of noncontrolling interests (EBIT-adjusted), earnings per share (EPS)-diluted-adjusted, return on invested capital (ROIC) and Adjusted automotive free cash flow. These metrics have not been audited or reviewed by General Motors Company's (GM) independent auditors.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Management uses EBIT-adjusted to review GM's consolidated operating results because it excludes automotive interest income, automotive interest expense and income taxes as well as certain additional adjustments. Examples of adjustments to EBIT include certain impairment charges related to goodwill, other long-lived assets and investments; certain gains or losses on the settlement/extinguishment of obligations; and certain gains or losses on the sale of non-core investments.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EPS-diluted-adjusted to review GM's consolidated diluted earnings per share results on a consistent basis. EPS-diluted-adjusted is calculated as net income attributable to common stockholders less certain adjustments noted above for EBIT-adjusted on an after-tax basis as well as certain income tax adjustments divided by weighted-average common shares outstanding – diluted.</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Management uses ROIC to review investment and capital allocation decisions. GM defines ROIC as EBIT-adjusted for the trailing four quarters divided by average net assets, which is considered to be the average equity balances adjusted for certain assets and liabilities during the same period.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adjusted automotive free cash flow to review the liquidity of GM's automotive operations. GM measures Adjusted automotive free cash flow as cash flow from operations less capital expenditures adjusted for management actions, primarily related to strengthening its balance sheet, such as accrued interest on prepayments of debt and discretionary contributions to employee benefit plans.</w:t>
      </w:r>
    </w:p>
    <w:p>
      <w:pPr>
        <w:spacing w:after="0" w:line="18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Management uses these non-GAAP measures in its financial and operational decision making processes, for internal reporting and as part of its forecasting and budgeting processes as they provide additional insight into GM's core operations. These measures allow management and investors to view operating trends, perform analytical comparisons and benchmark performance between periods and among geographic regions without regard to items that are not typically and consistently impacting core operating performance.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reconciles EBIT-adjusted to its most comparable U.S. GAAP measure, Net income attributable to common stockholders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30, 2015</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segments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Europe (GME)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 International Operations (GMIO)</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South America (GMSA)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Financial)(a)</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segments(b)</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4,953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2,062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interest expense and income tax expense are recorded centrally in Corporate.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and six months ended June 30, 2016 special items consisted of charges for legal related matters in Corporate.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2015 special items consisted primarily of asset impairment charges related to Thailand subsidiaries in GMIO; Venezuela currency devaluation and asset impairment charges related to Venezuela subsidiaries in GMSA; and a charge related to the ignition switch recall compensation program in Corporate.</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six months ended June 30, 2015 special items consisted primarily of costs related to the change in GM's business model in Russia in GME and GMIO, which were net of noncontrolling interests; asset impairment charges related to Thailand subsidiaries in GMIO; Venezuela currency devaluation and asset impairment charges related to Venezuela subsidiaries in GMSA; and charges related to the ignition switch recall compensation program in Corporate.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EPS-diluted-adjusted to its most comparable financial measure under U.S. GAAP, diluted earnings per common share: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0.07</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adjustments disclosed in Note 16 to GM's condensed consolidated financial statements of Form 10-Q for the quarterly period ended June 30, 2016.</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8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22"/>
                <w:szCs w:val="22"/>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38.0</w:t>
            </w: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28.2</w:t>
            </w: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r>
      <w:tr>
        <w:trPr>
          <w:trHeight w:val="29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ROIC average net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41.1</w:t>
            </w:r>
          </w:p>
        </w:tc>
      </w:tr>
      <w:tr>
        <w:trPr>
          <w:trHeight w:val="230"/>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ROIC</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8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reconciles EBIT-adjusted used in the calculation of ROIC to its most comparable financial measure under U.S. GAAP, Net income attributable to common stockholders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2"/>
                <w:szCs w:val="22"/>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2,655</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Adjustments(a)</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Net income attributable to common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1,953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the adjustments disclosed in the "Non-GAAP Measures" section of Management's Discussion and Analysis of Financial Condition and Results of Operations within GM's condensed consolidated financial statements of Form 10-Q for the quarterly period ended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ind w:right="20" w:firstLine="162"/>
        <w:spacing w:after="0" w:line="277" w:lineRule="auto"/>
        <w:rPr>
          <w:sz w:val="20"/>
          <w:szCs w:val="20"/>
          <w:color w:val="auto"/>
        </w:rPr>
      </w:pPr>
      <w:r>
        <w:rPr>
          <w:rFonts w:ascii="Arial" w:cs="Arial" w:eastAsia="Arial" w:hAnsi="Arial"/>
          <w:sz w:val="18"/>
          <w:szCs w:val="18"/>
          <w:color w:val="auto"/>
        </w:rPr>
        <w:t>The following table reconciles expected EPS-diluted-adjusted to its most comparable financial measure under U.S. GAAP, diluted earnings per common share: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$ 5.50-6.00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7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r>
      <w:tr>
        <w:trPr>
          <w:trHeight w:val="250"/>
        </w:trPr>
        <w:tc>
          <w:tcPr>
            <w:tcW w:w="97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$ 5.43-5.93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26035</wp:posOffset>
            </wp:positionV>
            <wp:extent cx="1080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adjustments disclosed in Note 16 to GM's condensed consolidated financial statements of Form 10-Q for the quarterly period ended June 30, 2016.</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Adjusted automotive free cash flow to Automotive net cash provided by operating activities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June 30, 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June 30, 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June 30, 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June 30, 2015</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Automotive net cash provided by operating activities</w:t>
            </w:r>
          </w:p>
        </w:tc>
        <w:tc>
          <w:tcPr>
            <w:tcW w:w="12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June 30, 2016</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30,195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5,386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40,089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42,372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2,325</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1,072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2,491</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660</w:t>
            </w:r>
          </w:p>
        </w:tc>
      </w:tr>
      <w:tr>
        <w:trPr>
          <w:trHeight w:val="33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June 30, 2015</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26,481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4,987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2,109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36,670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38,180</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1,805</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1,702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468</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524</w:t>
            </w:r>
          </w:p>
        </w:tc>
      </w:tr>
      <w:tr>
        <w:trPr>
          <w:trHeight w:val="33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 2016</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56,658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10,067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5,504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2,981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75,284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79,637</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4,610</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2,657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4,713</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1,220</w:t>
            </w:r>
          </w:p>
        </w:tc>
      </w:tr>
      <w:tr>
        <w:trPr>
          <w:trHeight w:val="33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 2015</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51,157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9,436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6,165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4,201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71,034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73,892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3,489</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1,865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3,240</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1,021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1,077</w:t>
            </w:r>
          </w:p>
        </w:tc>
      </w:tr>
      <w:tr>
        <w:trPr>
          <w:trHeight w:val="278"/>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_________</w:t>
      </w:r>
    </w:p>
    <w:p>
      <w:pPr>
        <w:spacing w:after="0" w:line="5" w:lineRule="exact"/>
        <w:rPr>
          <w:sz w:val="20"/>
          <w:szCs w:val="20"/>
          <w:color w:val="auto"/>
        </w:rPr>
      </w:pPr>
    </w:p>
    <w:p>
      <w:pPr>
        <w:ind w:left="340" w:right="20" w:hanging="332"/>
        <w:spacing w:after="0" w:line="239"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automotive China joint ventures equity income of $471 million and $503 million in the three months ended June 30, 2016 and 2015 and $1.0 billion and $1.0 billion in the six months ended June 30, 2016 and 2015.</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11" w:name="page12"/>
    <w:bookmarkEnd w:id="11"/>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Vehicle Sales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and corresponding calculations of GM's market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to GM's revenue from the sale of vehicles, which is the largest component of Automotive net sales and revenue. Wholesale vehicle sales exclude vehicles produced by joint ventures. In the six months ended June 30, 2016, 46.8% of GM's wholesale vehicle sales volume was generated outside the U.S. The following table summarizes total wholesale vehicle sales of new vehicles by automotive segment (vehicles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2016</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2016</w:t>
            </w: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GME</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571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GMSA</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293</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Worldwide</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1,603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3,014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2,856</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12" w:name="page13"/>
    <w:bookmarkEnd w:id="12"/>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on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retail sales volume, or estimated sales volume where retail sales volume is not available, by geographic region (vehicles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2016</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2016</w:t>
            </w:r>
          </w:p>
        </w:tc>
        <w:tc>
          <w:tcPr>
            <w:tcW w:w="1240" w:type="dxa"/>
            <w:vAlign w:val="bottom"/>
          </w:tcPr>
          <w:p>
            <w:pPr>
              <w:jc w:val="right"/>
              <w:ind w:right="111"/>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 - Cars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 - Trucks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 - Crossovers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Cadillac</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Buick</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GMC</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United States</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1,506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Mexico and Other</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North America</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910</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965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1,709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1,755</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Opel/Vauxhall</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Europe</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611</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589</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Wuling</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Buick</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447</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Baojun</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Cadillac</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Asia/Pacific, Middle East and Africa</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1,012</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1,022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2,144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2,160</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America(a)</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335</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2,387</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2,462</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4,763</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 Primarily Chevrolet.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3" w:name="page14"/>
    <w:bookmarkEnd w:id="13"/>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wholesale vehicle sales at GM's China joint ventures presented in the following table are included in GM's retail vehicle sales on the preceding page (vehicles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0" w:type="dxa"/>
            <w:vAlign w:val="bottom"/>
            <w:gridSpan w:val="4"/>
          </w:tcPr>
          <w:p>
            <w:pPr>
              <w:ind w:left="220"/>
              <w:spacing w:after="0"/>
              <w:rPr>
                <w:sz w:val="20"/>
                <w:szCs w:val="20"/>
                <w:color w:val="auto"/>
              </w:rPr>
            </w:pPr>
            <w:r>
              <w:rPr>
                <w:rFonts w:ascii="Arial" w:cs="Arial" w:eastAsia="Arial" w:hAnsi="Arial"/>
                <w:sz w:val="14"/>
                <w:szCs w:val="14"/>
                <w:b w:val="1"/>
                <w:bCs w:val="1"/>
                <w:color w:val="auto"/>
              </w:rPr>
              <w:t>June 30, 2016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22"/>
                <w:szCs w:val="22"/>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w:t>
            </w:r>
          </w:p>
        </w:tc>
        <w:tc>
          <w:tcPr>
            <w:tcW w:w="1260" w:type="dxa"/>
            <w:vAlign w:val="bottom"/>
            <w:tcBorders>
              <w:top w:val="single" w:sz="8" w:color="auto"/>
              <w:bottom w:val="single" w:sz="8" w:color="CCEEFF"/>
            </w:tcBorders>
            <w:gridSpan w:val="2"/>
            <w:shd w:val="clear" w:color="auto" w:fill="CCEEFF"/>
          </w:tcPr>
          <w:p>
            <w:pPr>
              <w:jc w:val="center"/>
              <w:ind w:left="671"/>
              <w:spacing w:after="0"/>
              <w:rPr>
                <w:sz w:val="20"/>
                <w:szCs w:val="20"/>
                <w:color w:val="auto"/>
              </w:rPr>
            </w:pPr>
            <w:r>
              <w:rPr>
                <w:rFonts w:ascii="Arial" w:cs="Arial" w:eastAsia="Arial" w:hAnsi="Arial"/>
                <w:sz w:val="18"/>
                <w:szCs w:val="18"/>
                <w:color w:val="auto"/>
                <w:w w:val="86"/>
              </w:rPr>
              <w:t>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785</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8"/>
              </w:rPr>
              <w:t>SAIC GM Wuling Automobile Co., Ltd. and FAW-GM Light Duty Commercial</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Vehicle Co., Ltd.</w:t>
            </w:r>
          </w:p>
        </w:tc>
        <w:tc>
          <w:tcPr>
            <w:tcW w:w="1260" w:type="dxa"/>
            <w:vAlign w:val="bottom"/>
            <w:gridSpan w:val="2"/>
          </w:tcPr>
          <w:p>
            <w:pPr>
              <w:jc w:val="center"/>
              <w:ind w:left="671"/>
              <w:spacing w:after="0"/>
              <w:rPr>
                <w:sz w:val="20"/>
                <w:szCs w:val="20"/>
                <w:color w:val="auto"/>
              </w:rPr>
            </w:pPr>
            <w:r>
              <w:rPr>
                <w:rFonts w:ascii="Arial" w:cs="Arial" w:eastAsia="Arial" w:hAnsi="Arial"/>
                <w:sz w:val="18"/>
                <w:szCs w:val="18"/>
                <w:color w:val="auto"/>
                <w:w w:val="86"/>
              </w:rPr>
              <w:t>441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1240" w:type="dxa"/>
            <w:vAlign w:val="bottom"/>
            <w:gridSpan w:val="3"/>
          </w:tcPr>
          <w:p>
            <w:pPr>
              <w:jc w:val="right"/>
              <w:ind w:right="28"/>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977</w:t>
            </w:r>
          </w:p>
        </w:tc>
      </w:tr>
      <w:tr>
        <w:trPr>
          <w:trHeight w:val="642"/>
        </w:trPr>
        <w:tc>
          <w:tcPr>
            <w:tcW w:w="6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2016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4"/>
              </w:rPr>
              <w:t>June 30, 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 Share</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260" w:type="dxa"/>
            <w:vAlign w:val="bottom"/>
            <w:gridSpan w:val="2"/>
          </w:tcPr>
          <w:p>
            <w:pPr>
              <w:jc w:val="center"/>
              <w:ind w:left="711"/>
              <w:spacing w:after="0"/>
              <w:rPr>
                <w:sz w:val="20"/>
                <w:szCs w:val="20"/>
                <w:color w:val="auto"/>
              </w:rPr>
            </w:pPr>
            <w:r>
              <w:rPr>
                <w:rFonts w:ascii="Arial" w:cs="Arial" w:eastAsia="Arial" w:hAnsi="Arial"/>
                <w:sz w:val="18"/>
                <w:szCs w:val="18"/>
                <w:color w:val="auto"/>
                <w:w w:val="90"/>
              </w:rPr>
              <w:t>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color w:val="auto"/>
                <w:w w:val="93"/>
              </w:rPr>
              <w:t>13.2%</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12.6%</w:t>
            </w:r>
          </w:p>
        </w:tc>
        <w:tc>
          <w:tcPr>
            <w:tcW w:w="120" w:type="dxa"/>
            <w:vAlign w:val="bottom"/>
          </w:tcPr>
          <w:p>
            <w:pPr>
              <w:spacing w:after="0"/>
              <w:rPr>
                <w:sz w:val="21"/>
                <w:szCs w:val="21"/>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12.8%</w:t>
            </w: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Trucks</w:t>
            </w:r>
          </w:p>
        </w:tc>
        <w:tc>
          <w:tcPr>
            <w:tcW w:w="1260" w:type="dxa"/>
            <w:vAlign w:val="bottom"/>
            <w:tcBorders>
              <w:bottom w:val="single" w:sz="8" w:color="CCEEFF"/>
            </w:tcBorders>
            <w:gridSpan w:val="2"/>
            <w:shd w:val="clear" w:color="auto" w:fill="CCEEFF"/>
          </w:tcPr>
          <w:p>
            <w:pPr>
              <w:jc w:val="center"/>
              <w:ind w:left="711"/>
              <w:spacing w:after="0"/>
              <w:rPr>
                <w:sz w:val="20"/>
                <w:szCs w:val="20"/>
                <w:color w:val="auto"/>
              </w:rPr>
            </w:pPr>
            <w:r>
              <w:rPr>
                <w:rFonts w:ascii="Arial" w:cs="Arial" w:eastAsia="Arial" w:hAnsi="Arial"/>
                <w:sz w:val="18"/>
                <w:szCs w:val="18"/>
                <w:color w:val="auto"/>
                <w:w w:val="90"/>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3"/>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0"/>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24.0%</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260" w:type="dxa"/>
            <w:vAlign w:val="bottom"/>
            <w:gridSpan w:val="2"/>
          </w:tcPr>
          <w:p>
            <w:pPr>
              <w:jc w:val="center"/>
              <w:ind w:left="711"/>
              <w:spacing w:after="0"/>
              <w:rPr>
                <w:sz w:val="20"/>
                <w:szCs w:val="20"/>
                <w:color w:val="auto"/>
              </w:rPr>
            </w:pPr>
            <w:r>
              <w:rPr>
                <w:rFonts w:ascii="Arial" w:cs="Arial" w:eastAsia="Arial" w:hAnsi="Arial"/>
                <w:sz w:val="18"/>
                <w:szCs w:val="18"/>
                <w:color w:val="auto"/>
                <w:w w:val="90"/>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color w:val="auto"/>
                <w:w w:val="93"/>
              </w:rPr>
              <w:t>17.7%</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14.7%</w:t>
            </w:r>
          </w:p>
        </w:tc>
        <w:tc>
          <w:tcPr>
            <w:tcW w:w="120" w:type="dxa"/>
            <w:vAlign w:val="bottom"/>
          </w:tcPr>
          <w:p>
            <w:pPr>
              <w:spacing w:after="0"/>
              <w:rPr>
                <w:sz w:val="21"/>
                <w:szCs w:val="21"/>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17.5%</w:t>
            </w: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1260" w:type="dxa"/>
            <w:vAlign w:val="bottom"/>
            <w:tcBorders>
              <w:bottom w:val="single" w:sz="8" w:color="CCEEFF"/>
            </w:tcBorders>
            <w:gridSpan w:val="2"/>
            <w:shd w:val="clear" w:color="auto" w:fill="CCEEFF"/>
          </w:tcPr>
          <w:p>
            <w:pPr>
              <w:jc w:val="center"/>
              <w:ind w:left="711"/>
              <w:spacing w:after="0"/>
              <w:rPr>
                <w:sz w:val="20"/>
                <w:szCs w:val="20"/>
                <w:color w:val="auto"/>
              </w:rPr>
            </w:pPr>
            <w:r>
              <w:rPr>
                <w:rFonts w:ascii="Arial" w:cs="Arial" w:eastAsia="Arial" w:hAnsi="Arial"/>
                <w:sz w:val="18"/>
                <w:szCs w:val="18"/>
                <w:color w:val="auto"/>
                <w:w w:val="90"/>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3"/>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0"/>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17.3%</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260" w:type="dxa"/>
            <w:vAlign w:val="bottom"/>
            <w:gridSpan w:val="2"/>
          </w:tcPr>
          <w:p>
            <w:pPr>
              <w:jc w:val="center"/>
              <w:ind w:left="711"/>
              <w:spacing w:after="0"/>
              <w:rPr>
                <w:sz w:val="20"/>
                <w:szCs w:val="20"/>
                <w:color w:val="auto"/>
              </w:rPr>
            </w:pPr>
            <w:r>
              <w:rPr>
                <w:rFonts w:ascii="Arial" w:cs="Arial" w:eastAsia="Arial" w:hAnsi="Arial"/>
                <w:sz w:val="18"/>
                <w:szCs w:val="18"/>
                <w:color w:val="auto"/>
                <w:w w:val="90"/>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15.9%</w:t>
            </w:r>
          </w:p>
        </w:tc>
        <w:tc>
          <w:tcPr>
            <w:tcW w:w="120" w:type="dxa"/>
            <w:vAlign w:val="bottom"/>
          </w:tcPr>
          <w:p>
            <w:pPr>
              <w:spacing w:after="0"/>
              <w:rPr>
                <w:sz w:val="21"/>
                <w:szCs w:val="21"/>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16.8%</w:t>
            </w: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Europe</w:t>
            </w:r>
          </w:p>
        </w:tc>
        <w:tc>
          <w:tcPr>
            <w:tcW w:w="1260" w:type="dxa"/>
            <w:vAlign w:val="bottom"/>
            <w:tcBorders>
              <w:bottom w:val="single" w:sz="8" w:color="CCEEFF"/>
            </w:tcBorders>
            <w:gridSpan w:val="2"/>
            <w:shd w:val="clear" w:color="auto" w:fill="CCEEFF"/>
          </w:tcPr>
          <w:p>
            <w:pPr>
              <w:jc w:val="center"/>
              <w:ind w:left="711"/>
              <w:spacing w:after="0"/>
              <w:rPr>
                <w:sz w:val="20"/>
                <w:szCs w:val="20"/>
                <w:color w:val="auto"/>
              </w:rPr>
            </w:pPr>
            <w:r>
              <w:rPr>
                <w:rFonts w:ascii="Arial" w:cs="Arial" w:eastAsia="Arial" w:hAnsi="Arial"/>
                <w:sz w:val="18"/>
                <w:szCs w:val="18"/>
                <w:color w:val="auto"/>
                <w:w w:val="92"/>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87"/>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2"/>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6.2%</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260" w:type="dxa"/>
            <w:vAlign w:val="bottom"/>
            <w:gridSpan w:val="2"/>
          </w:tcPr>
          <w:p>
            <w:pPr>
              <w:jc w:val="center"/>
              <w:ind w:left="711"/>
              <w:spacing w:after="0"/>
              <w:rPr>
                <w:sz w:val="20"/>
                <w:szCs w:val="20"/>
                <w:color w:val="auto"/>
              </w:rPr>
            </w:pPr>
            <w:r>
              <w:rPr>
                <w:rFonts w:ascii="Arial" w:cs="Arial" w:eastAsia="Arial" w:hAnsi="Arial"/>
                <w:sz w:val="18"/>
                <w:szCs w:val="18"/>
                <w:color w:val="auto"/>
                <w:w w:val="92"/>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color w:val="auto"/>
                <w:w w:val="87"/>
              </w:rPr>
              <w:t>9.8%</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9.6%</w:t>
            </w:r>
          </w:p>
        </w:tc>
        <w:tc>
          <w:tcPr>
            <w:tcW w:w="120" w:type="dxa"/>
            <w:vAlign w:val="bottom"/>
          </w:tcPr>
          <w:p>
            <w:pPr>
              <w:spacing w:after="0"/>
              <w:rPr>
                <w:sz w:val="21"/>
                <w:szCs w:val="21"/>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9.9%</w:t>
            </w: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South America</w:t>
            </w:r>
          </w:p>
        </w:tc>
        <w:tc>
          <w:tcPr>
            <w:tcW w:w="1260" w:type="dxa"/>
            <w:vAlign w:val="bottom"/>
            <w:tcBorders>
              <w:bottom w:val="single" w:sz="8" w:color="CCEEFF"/>
            </w:tcBorders>
            <w:gridSpan w:val="2"/>
            <w:shd w:val="clear" w:color="auto" w:fill="CCEEFF"/>
          </w:tcPr>
          <w:p>
            <w:pPr>
              <w:jc w:val="center"/>
              <w:ind w:left="711"/>
              <w:spacing w:after="0"/>
              <w:rPr>
                <w:sz w:val="20"/>
                <w:szCs w:val="20"/>
                <w:color w:val="auto"/>
              </w:rPr>
            </w:pPr>
            <w:r>
              <w:rPr>
                <w:rFonts w:ascii="Arial" w:cs="Arial" w:eastAsia="Arial" w:hAnsi="Arial"/>
                <w:sz w:val="18"/>
                <w:szCs w:val="18"/>
                <w:color w:val="auto"/>
                <w:w w:val="90"/>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93"/>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0"/>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15.9%</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380" w:type="dxa"/>
            <w:vAlign w:val="bottom"/>
            <w:gridSpan w:val="3"/>
          </w:tcPr>
          <w:p>
            <w:pPr>
              <w:jc w:val="center"/>
              <w:ind w:left="591"/>
              <w:spacing w:after="0"/>
              <w:rPr>
                <w:sz w:val="20"/>
                <w:szCs w:val="20"/>
                <w:color w:val="auto"/>
              </w:rPr>
            </w:pPr>
            <w:r>
              <w:rPr>
                <w:rFonts w:ascii="Arial" w:cs="Arial" w:eastAsia="Arial" w:hAnsi="Arial"/>
                <w:sz w:val="18"/>
                <w:szCs w:val="18"/>
                <w:b w:val="1"/>
                <w:bCs w:val="1"/>
                <w:color w:val="auto"/>
                <w:w w:val="97"/>
              </w:rPr>
              <w:t>10.4%</w:t>
            </w: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93"/>
              </w:rPr>
              <w:t>11.1%</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7"/>
              </w:rPr>
              <w:t>10.5%</w:t>
            </w:r>
          </w:p>
        </w:tc>
        <w:tc>
          <w:tcPr>
            <w:tcW w:w="120" w:type="dxa"/>
            <w:vAlign w:val="bottom"/>
          </w:tcPr>
          <w:p>
            <w:pPr>
              <w:spacing w:after="0"/>
              <w:rPr>
                <w:sz w:val="21"/>
                <w:szCs w:val="21"/>
                <w:color w:val="auto"/>
              </w:rPr>
            </w:pPr>
          </w:p>
        </w:tc>
        <w:tc>
          <w:tcPr>
            <w:tcW w:w="12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11.0%</w:t>
            </w: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 fleet sales as a percentage of retail vehicle sales</w:t>
            </w:r>
          </w:p>
        </w:tc>
        <w:tc>
          <w:tcPr>
            <w:tcW w:w="1260" w:type="dxa"/>
            <w:vAlign w:val="bottom"/>
            <w:gridSpan w:val="2"/>
          </w:tcPr>
          <w:p>
            <w:pPr>
              <w:jc w:val="center"/>
              <w:ind w:left="711"/>
              <w:spacing w:after="0"/>
              <w:rPr>
                <w:sz w:val="20"/>
                <w:szCs w:val="20"/>
                <w:color w:val="auto"/>
              </w:rPr>
            </w:pPr>
            <w:r>
              <w:rPr>
                <w:rFonts w:ascii="Arial" w:cs="Arial" w:eastAsia="Arial" w:hAnsi="Arial"/>
                <w:sz w:val="18"/>
                <w:szCs w:val="18"/>
                <w:color w:val="auto"/>
                <w:w w:val="90"/>
              </w:rPr>
              <w:t>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color w:val="auto"/>
                <w:w w:val="93"/>
              </w:rPr>
              <w:t>24.4%</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21.0%</w:t>
            </w:r>
          </w:p>
        </w:tc>
        <w:tc>
          <w:tcPr>
            <w:tcW w:w="120" w:type="dxa"/>
            <w:vAlign w:val="bottom"/>
          </w:tcPr>
          <w:p>
            <w:pPr>
              <w:spacing w:after="0"/>
              <w:rPr>
                <w:sz w:val="21"/>
                <w:szCs w:val="21"/>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25.4%</w:t>
            </w:r>
          </w:p>
        </w:tc>
      </w:tr>
      <w:tr>
        <w:trPr>
          <w:trHeight w:val="27"/>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North America Capacity Two Shift Utilization</w:t>
            </w:r>
          </w:p>
        </w:tc>
        <w:tc>
          <w:tcPr>
            <w:tcW w:w="1380" w:type="dxa"/>
            <w:vAlign w:val="bottom"/>
            <w:gridSpan w:val="3"/>
          </w:tcPr>
          <w:p>
            <w:pPr>
              <w:jc w:val="center"/>
              <w:ind w:left="591"/>
              <w:spacing w:after="0"/>
              <w:rPr>
                <w:sz w:val="20"/>
                <w:szCs w:val="20"/>
                <w:color w:val="auto"/>
              </w:rPr>
            </w:pPr>
            <w:r>
              <w:rPr>
                <w:rFonts w:ascii="Arial" w:cs="Arial" w:eastAsia="Arial" w:hAnsi="Arial"/>
                <w:sz w:val="18"/>
                <w:szCs w:val="18"/>
                <w:color w:val="auto"/>
                <w:w w:val="88"/>
              </w:rPr>
              <w:t>107.6%</w:t>
            </w:r>
          </w:p>
        </w:tc>
        <w:tc>
          <w:tcPr>
            <w:tcW w:w="220" w:type="dxa"/>
            <w:vAlign w:val="bottom"/>
          </w:tcPr>
          <w:p>
            <w:pPr>
              <w:spacing w:after="0"/>
              <w:rPr>
                <w:sz w:val="21"/>
                <w:szCs w:val="21"/>
                <w:color w:val="auto"/>
              </w:rPr>
            </w:pPr>
          </w:p>
        </w:tc>
        <w:tc>
          <w:tcPr>
            <w:tcW w:w="10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110.5%</w:t>
            </w:r>
          </w:p>
        </w:tc>
        <w:tc>
          <w:tcPr>
            <w:tcW w:w="100" w:type="dxa"/>
            <w:vAlign w:val="bottom"/>
          </w:tcPr>
          <w:p>
            <w:pPr>
              <w:spacing w:after="0"/>
              <w:rPr>
                <w:sz w:val="21"/>
                <w:szCs w:val="21"/>
                <w:color w:val="auto"/>
              </w:rPr>
            </w:pPr>
          </w:p>
        </w:tc>
        <w:tc>
          <w:tcPr>
            <w:tcW w:w="124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1"/>
                <w:szCs w:val="21"/>
                <w:color w:val="auto"/>
              </w:rPr>
            </w:pP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and revenue</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300" w:right="40" w:hanging="161"/>
        <w:spacing w:after="0" w:line="253" w:lineRule="auto"/>
        <w:rPr>
          <w:sz w:val="20"/>
          <w:szCs w:val="20"/>
          <w:color w:val="auto"/>
        </w:rPr>
      </w:pPr>
      <w:r>
        <w:rPr>
          <w:rFonts w:ascii="Arial" w:cs="Arial" w:eastAsia="Arial" w:hAnsi="Arial"/>
          <w:sz w:val="14"/>
          <w:szCs w:val="14"/>
          <w:color w:val="auto"/>
        </w:rPr>
        <w:t>GM Financial interest, operating and other expenses</w:t>
      </w:r>
    </w:p>
    <w:p>
      <w:pPr>
        <w:spacing w:after="0" w:line="12" w:lineRule="exact"/>
        <w:rPr>
          <w:sz w:val="20"/>
          <w:szCs w:val="20"/>
          <w:color w:val="auto"/>
        </w:rPr>
      </w:pPr>
    </w:p>
    <w:p>
      <w:pPr>
        <w:ind w:left="300" w:right="320" w:hanging="161"/>
        <w:spacing w:after="0" w:line="281" w:lineRule="auto"/>
        <w:rPr>
          <w:sz w:val="20"/>
          <w:szCs w:val="20"/>
          <w:color w:val="auto"/>
        </w:rPr>
      </w:pPr>
      <w:r>
        <w:rPr>
          <w:rFonts w:ascii="Arial" w:cs="Arial" w:eastAsia="Arial" w:hAnsi="Arial"/>
          <w:sz w:val="13"/>
          <w:szCs w:val="13"/>
          <w:color w:val="auto"/>
        </w:rPr>
        <w:t>Automotive selling, general and administrative expense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ind w:left="160" w:hanging="161"/>
        <w:spacing w:after="0" w:line="253" w:lineRule="auto"/>
        <w:rPr>
          <w:sz w:val="20"/>
          <w:szCs w:val="20"/>
          <w:color w:val="auto"/>
        </w:rPr>
      </w:pPr>
      <w:r>
        <w:rPr>
          <w:rFonts w:ascii="Arial" w:cs="Arial" w:eastAsia="Arial" w:hAnsi="Arial"/>
          <w:sz w:val="14"/>
          <w:szCs w:val="14"/>
          <w:color w:val="auto"/>
        </w:rPr>
        <w:t>Interest income and other non-operating income, net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113" w:lineRule="exact"/>
        <w:rPr>
          <w:sz w:val="20"/>
          <w:szCs w:val="20"/>
          <w:color w:val="auto"/>
        </w:rPr>
      </w:pPr>
    </w:p>
    <w:p>
      <w:pPr>
        <w:ind w:left="160" w:right="440" w:hanging="161"/>
        <w:spacing w:after="0" w:line="253" w:lineRule="auto"/>
        <w:rPr>
          <w:sz w:val="20"/>
          <w:szCs w:val="20"/>
          <w:color w:val="auto"/>
        </w:rPr>
      </w:pPr>
      <w:r>
        <w:rPr>
          <w:rFonts w:ascii="Arial" w:cs="Arial" w:eastAsia="Arial" w:hAnsi="Arial"/>
          <w:sz w:val="14"/>
          <w:szCs w:val="14"/>
          <w:color w:val="auto"/>
        </w:rPr>
        <w:t>Net (income) loss attributable to noncontrolling interests</w:t>
      </w:r>
    </w:p>
    <w:p>
      <w:pPr>
        <w:spacing w:after="0" w:line="8" w:lineRule="exact"/>
        <w:rPr>
          <w:sz w:val="20"/>
          <w:szCs w:val="20"/>
          <w:color w:val="auto"/>
        </w:rPr>
      </w:pPr>
    </w:p>
    <w:p>
      <w:pPr>
        <w:ind w:left="160" w:right="120" w:hanging="161"/>
        <w:spacing w:after="0" w:line="259" w:lineRule="auto"/>
        <w:rPr>
          <w:sz w:val="20"/>
          <w:szCs w:val="20"/>
          <w:color w:val="auto"/>
        </w:rPr>
      </w:pPr>
      <w:r>
        <w:rPr>
          <w:rFonts w:ascii="Arial" w:cs="Arial" w:eastAsia="Arial" w:hAnsi="Arial"/>
          <w:sz w:val="14"/>
          <w:szCs w:val="14"/>
          <w:b w:val="1"/>
          <w:bCs w:val="1"/>
          <w:color w:val="auto"/>
        </w:rPr>
        <w:t>Net income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and revenue</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300" w:right="40" w:hanging="161"/>
        <w:spacing w:after="0" w:line="253" w:lineRule="auto"/>
        <w:rPr>
          <w:sz w:val="20"/>
          <w:szCs w:val="20"/>
          <w:color w:val="auto"/>
        </w:rPr>
      </w:pPr>
      <w:r>
        <w:rPr>
          <w:rFonts w:ascii="Arial" w:cs="Arial" w:eastAsia="Arial" w:hAnsi="Arial"/>
          <w:sz w:val="14"/>
          <w:szCs w:val="14"/>
          <w:color w:val="auto"/>
        </w:rPr>
        <w:t>GM Financial interest, operating and other expenses</w:t>
      </w:r>
    </w:p>
    <w:p>
      <w:pPr>
        <w:spacing w:after="0" w:line="12" w:lineRule="exact"/>
        <w:rPr>
          <w:sz w:val="20"/>
          <w:szCs w:val="20"/>
          <w:color w:val="auto"/>
        </w:rPr>
      </w:pPr>
    </w:p>
    <w:p>
      <w:pPr>
        <w:ind w:left="300" w:right="320" w:hanging="161"/>
        <w:spacing w:after="0" w:line="281" w:lineRule="auto"/>
        <w:rPr>
          <w:sz w:val="20"/>
          <w:szCs w:val="20"/>
          <w:color w:val="auto"/>
        </w:rPr>
      </w:pPr>
      <w:r>
        <w:rPr>
          <w:rFonts w:ascii="Arial" w:cs="Arial" w:eastAsia="Arial" w:hAnsi="Arial"/>
          <w:sz w:val="13"/>
          <w:szCs w:val="13"/>
          <w:color w:val="auto"/>
        </w:rPr>
        <w:t>Automotive selling, general and administrative expense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ind w:left="160" w:hanging="161"/>
        <w:spacing w:after="0" w:line="253" w:lineRule="auto"/>
        <w:rPr>
          <w:sz w:val="20"/>
          <w:szCs w:val="20"/>
          <w:color w:val="auto"/>
        </w:rPr>
      </w:pPr>
      <w:r>
        <w:rPr>
          <w:rFonts w:ascii="Arial" w:cs="Arial" w:eastAsia="Arial" w:hAnsi="Arial"/>
          <w:sz w:val="14"/>
          <w:szCs w:val="14"/>
          <w:color w:val="auto"/>
        </w:rPr>
        <w:t>Interest income and other non-operating income, net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113" w:lineRule="exact"/>
        <w:rPr>
          <w:sz w:val="20"/>
          <w:szCs w:val="20"/>
          <w:color w:val="auto"/>
        </w:rPr>
      </w:pPr>
    </w:p>
    <w:p>
      <w:pPr>
        <w:ind w:left="160" w:right="120" w:hanging="161"/>
        <w:spacing w:after="0" w:line="253" w:lineRule="auto"/>
        <w:rPr>
          <w:sz w:val="20"/>
          <w:szCs w:val="20"/>
          <w:color w:val="auto"/>
        </w:rPr>
      </w:pPr>
      <w:r>
        <w:rPr>
          <w:rFonts w:ascii="Arial" w:cs="Arial" w:eastAsia="Arial" w:hAnsi="Arial"/>
          <w:sz w:val="14"/>
          <w:szCs w:val="14"/>
          <w:color w:val="auto"/>
        </w:rPr>
        <w:t>Net loss attributable to noncontrolling interests</w:t>
      </w:r>
    </w:p>
    <w:p>
      <w:pPr>
        <w:spacing w:after="0" w:line="8" w:lineRule="exact"/>
        <w:rPr>
          <w:sz w:val="20"/>
          <w:szCs w:val="20"/>
          <w:color w:val="auto"/>
        </w:rPr>
      </w:pPr>
    </w:p>
    <w:p>
      <w:pPr>
        <w:ind w:left="160" w:right="120" w:hanging="161"/>
        <w:spacing w:after="0" w:line="259" w:lineRule="auto"/>
        <w:rPr>
          <w:sz w:val="20"/>
          <w:szCs w:val="20"/>
          <w:color w:val="auto"/>
        </w:rPr>
      </w:pPr>
      <w:r>
        <w:rPr>
          <w:rFonts w:ascii="Arial" w:cs="Arial" w:eastAsia="Arial" w:hAnsi="Arial"/>
          <w:sz w:val="14"/>
          <w:szCs w:val="14"/>
          <w:b w:val="1"/>
          <w:bCs w:val="1"/>
          <w:color w:val="auto"/>
        </w:rPr>
        <w:t>Net income attributable to common stockholders</w:t>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Condensed Consolidating Income Statements</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8"/>
          <w:szCs w:val="18"/>
          <w:i w:val="1"/>
          <w:iCs w:val="1"/>
          <w:color w:val="auto"/>
        </w:rPr>
        <w:t>(In millions)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w w:val="97"/>
              </w:rPr>
              <w:t>Three Months Ended June 30, 2016</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w w:val="87"/>
              </w:rPr>
              <w:t>Three Months Ended June 30, 2015</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3"/>
              </w:rPr>
              <w:t>GM Financial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4"/>
              </w:rPr>
              <w:t>Consolidated</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1"/>
              </w:rPr>
              <w:t>GM Financial</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4"/>
              </w:rPr>
              <w:t>Consolidated</w:t>
            </w: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40,089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40,089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36,670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36,670</w:t>
            </w:r>
          </w:p>
        </w:tc>
      </w:tr>
      <w:tr>
        <w:trPr>
          <w:trHeight w:val="276"/>
        </w:trPr>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2,292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2,283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1,510</w:t>
            </w:r>
          </w:p>
        </w:tc>
      </w:t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40,089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2,292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42,372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36,670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38,180</w:t>
            </w:r>
          </w:p>
        </w:tc>
      </w:tr>
      <w:tr>
        <w:trPr>
          <w:trHeight w:val="528"/>
        </w:trPr>
        <w:tc>
          <w:tcPr>
            <w:tcW w:w="1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34,429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34,426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32,600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32,597</w:t>
            </w:r>
          </w:p>
        </w:tc>
      </w:tr>
      <w:tr>
        <w:trPr>
          <w:trHeight w:val="351"/>
        </w:trPr>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1,318</w:t>
            </w:r>
          </w:p>
        </w:tc>
      </w:tr>
      <w:tr>
        <w:trPr>
          <w:trHeight w:val="357"/>
        </w:trPr>
        <w:tc>
          <w:tcPr>
            <w:tcW w:w="1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2,847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2,977</w:t>
            </w:r>
          </w:p>
        </w:tc>
      </w:t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37,276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39,336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35,577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36,892</w:t>
            </w:r>
          </w:p>
        </w:tc>
      </w:tr>
      <w:tr>
        <w:trPr>
          <w:trHeight w:val="244"/>
        </w:trPr>
        <w:tc>
          <w:tcPr>
            <w:tcW w:w="1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2,813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1,288</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108</w:t>
            </w:r>
          </w:p>
        </w:tc>
      </w:tr>
      <w:tr>
        <w:trPr>
          <w:trHeight w:val="351"/>
        </w:trPr>
        <w:tc>
          <w:tcPr>
            <w:tcW w:w="1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13</w:t>
            </w:r>
          </w:p>
        </w:tc>
      </w:tr>
      <w:tr>
        <w:trPr>
          <w:trHeight w:val="276"/>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524</w:t>
            </w:r>
          </w:p>
        </w:tc>
      </w:tr>
      <w:tr>
        <w:trPr>
          <w:trHeight w:val="244"/>
        </w:trPr>
        <w:tc>
          <w:tcPr>
            <w:tcW w:w="1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3,455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1,717</w:t>
            </w:r>
          </w:p>
        </w:tc>
      </w:tr>
      <w:tr>
        <w:trPr>
          <w:trHeight w:val="276"/>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577</w:t>
            </w:r>
          </w:p>
        </w:tc>
      </w:tr>
      <w:tr>
        <w:trPr>
          <w:trHeight w:val="244"/>
        </w:trPr>
        <w:tc>
          <w:tcPr>
            <w:tcW w:w="1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2,850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1,140</w:t>
            </w:r>
          </w:p>
        </w:tc>
      </w:tr>
      <w:tr>
        <w:trPr>
          <w:trHeight w:val="357"/>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31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2,866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1,117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5"/>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3"/>
                <w:szCs w:val="13"/>
                <w:b w:val="1"/>
                <w:bCs w:val="1"/>
                <w:color w:val="auto"/>
                <w:w w:val="94"/>
              </w:rPr>
              <w:t>Six Months Ended June 30, 2016</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7"/>
              </w:rPr>
              <w:t>Six Months Ended June 30, 2015</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3"/>
              </w:rPr>
              <w:t>GM Financial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4"/>
              </w:rPr>
              <w:t>Consolidated</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1"/>
              </w:rPr>
              <w:t>GM Financial</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4"/>
              </w:rPr>
              <w:t>Consolidated</w:t>
            </w: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75,284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75,284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71,034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71,034</w:t>
            </w:r>
          </w:p>
        </w:tc>
      </w:tr>
      <w:tr>
        <w:trPr>
          <w:trHeight w:val="276"/>
        </w:trPr>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4,367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4,353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2,858</w:t>
            </w:r>
          </w:p>
        </w:tc>
      </w:t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75,284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4,367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79,637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71,034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73,892</w:t>
            </w:r>
          </w:p>
        </w:tc>
      </w:tr>
      <w:tr>
        <w:trPr>
          <w:trHeight w:val="528"/>
        </w:trPr>
        <w:tc>
          <w:tcPr>
            <w:tcW w:w="1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65,020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65,015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63,277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63,271</w:t>
            </w:r>
          </w:p>
        </w:tc>
      </w:tr>
      <w:tr>
        <w:trPr>
          <w:trHeight w:val="351"/>
        </w:trPr>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3,949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2,486</w:t>
            </w:r>
          </w:p>
        </w:tc>
      </w:tr>
      <w:tr>
        <w:trPr>
          <w:trHeight w:val="357"/>
        </w:trPr>
        <w:tc>
          <w:tcPr>
            <w:tcW w:w="1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5,665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6,094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6,094</w:t>
            </w:r>
          </w:p>
        </w:tc>
      </w:t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70,685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3,949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74,629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69,371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71,851</w:t>
            </w:r>
          </w:p>
        </w:tc>
      </w:tr>
      <w:tr>
        <w:trPr>
          <w:trHeight w:val="244"/>
        </w:trPr>
        <w:tc>
          <w:tcPr>
            <w:tcW w:w="1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4,599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2,041</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218</w:t>
            </w:r>
          </w:p>
        </w:tc>
      </w:tr>
      <w:tr>
        <w:trPr>
          <w:trHeight w:val="351"/>
        </w:trPr>
        <w:tc>
          <w:tcPr>
            <w:tcW w:w="1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254</w:t>
            </w:r>
          </w:p>
        </w:tc>
      </w:tr>
      <w:tr>
        <w:trPr>
          <w:trHeight w:val="276"/>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1,077</w:t>
            </w:r>
          </w:p>
        </w:tc>
      </w:tr>
      <w:tr>
        <w:trPr>
          <w:trHeight w:val="244"/>
        </w:trPr>
        <w:tc>
          <w:tcPr>
            <w:tcW w:w="1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3,154</w:t>
            </w:r>
          </w:p>
        </w:tc>
      </w:tr>
      <w:tr>
        <w:trPr>
          <w:trHeight w:val="276"/>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1,106</w:t>
            </w:r>
          </w:p>
        </w:tc>
      </w:tr>
      <w:tr>
        <w:trPr>
          <w:trHeight w:val="244"/>
        </w:trPr>
        <w:tc>
          <w:tcPr>
            <w:tcW w:w="1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4,781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2,048</w:t>
            </w:r>
          </w:p>
        </w:tc>
      </w:tr>
      <w:tr>
        <w:trPr>
          <w:trHeight w:val="357"/>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w:t>
            </w:r>
          </w:p>
        </w:tc>
      </w:tr>
      <w:tr>
        <w:trPr>
          <w:trHeight w:val="31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4,400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4,819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2,062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-7194550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-6842760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-6499860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-6148070</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-5702300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-5359400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-4965065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-4621530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-4278630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-3378200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-3026410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-2683510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-2331720</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-1885950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-1543050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-1148715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-805180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-462280</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300"/>
            <w:col w:w="8780"/>
          </w:cols>
          <w:pgMar w:left="280" w:top="580" w:right="23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80" w:top="580" w:right="239" w:bottom="1440" w:gutter="0" w:footer="0" w:header="0"/>
          <w:type w:val="continuous"/>
        </w:sectPr>
      </w:pPr>
    </w:p>
    <w:bookmarkStart w:id="15" w:name="page16"/>
    <w:bookmarkEnd w:id="15"/>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2,062</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2,061</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6" w:name="page17"/>
    <w:bookmarkEnd w:id="16"/>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6"/>
          <w:szCs w:val="16"/>
          <w:i w:val="1"/>
          <w:iCs w:val="1"/>
          <w:color w:val="auto"/>
        </w:rPr>
        <w:t>(In millions, except per share amounts) (Unaudited)</w:t>
      </w:r>
    </w:p>
    <w:p>
      <w:pPr>
        <w:sectPr>
          <w:pgSz w:w="11900" w:h="16838" w:orient="portrait"/>
          <w:cols w:equalWidth="0" w:num="1">
            <w:col w:w="11420"/>
          </w:cols>
          <w:pgMar w:left="240" w:top="58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 and 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Short-term debt and current portion of long-term debt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Automotive(a)(b)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tcPr>
          <w:p>
            <w:pPr>
              <w:ind w:left="640"/>
              <w:spacing w:after="0"/>
              <w:rPr>
                <w:sz w:val="20"/>
                <w:szCs w:val="20"/>
                <w:color w:val="auto"/>
              </w:rPr>
            </w:pPr>
            <w:r>
              <w:rPr>
                <w:rFonts w:ascii="Arial" w:cs="Arial" w:eastAsia="Arial" w:hAnsi="Arial"/>
                <w:sz w:val="11"/>
                <w:szCs w:val="11"/>
                <w:b w:val="1"/>
                <w:bCs w:val="1"/>
                <w:color w:val="auto"/>
              </w:rPr>
              <w:t>June 30, 2016</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ind w:left="480"/>
              <w:spacing w:after="0"/>
              <w:rPr>
                <w:sz w:val="20"/>
                <w:szCs w:val="20"/>
                <w:color w:val="auto"/>
              </w:rPr>
            </w:pPr>
            <w:r>
              <w:rPr>
                <w:rFonts w:ascii="Arial" w:cs="Arial" w:eastAsia="Arial" w:hAnsi="Arial"/>
                <w:sz w:val="11"/>
                <w:szCs w:val="11"/>
                <w:b w:val="1"/>
                <w:bCs w:val="1"/>
                <w:color w:val="auto"/>
              </w:rPr>
              <w:t>December 31, 2015</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8"/>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15,821</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3,102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18,923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12,177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3,061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15,238</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4,247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4,247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8,163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8,163</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1,595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1,590</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10,786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(1,427)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10,461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8,590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8,337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20,121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19,800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18,281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18,051</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15,026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15,026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13,764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13,764</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2,505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2,783</w:t>
            </w:r>
          </w:p>
        </w:tc>
      </w:tr>
      <w:tr>
        <w:trPr>
          <w:trHeight w:val="280"/>
        </w:trPr>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1,546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1,482</w:t>
            </w:r>
          </w:p>
        </w:tc>
      </w:tr>
      <w:tr>
        <w:trPr>
          <w:trHeight w:val="241"/>
        </w:trPr>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50,078</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26,303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(1,751)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74,630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46,809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23,763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69,408</w:t>
            </w:r>
          </w:p>
        </w:tc>
      </w:tr>
      <w:tr>
        <w:trPr>
          <w:trHeight w:val="540"/>
        </w:trPr>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583</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19,309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19,309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18,500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18,500</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7,319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8,198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8,215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9,201</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33,265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33,510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31,010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31,229</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5,040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4,558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5,947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28,442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28,442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20,172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20,172</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35,381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35,627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36,635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36,860</w:t>
            </w:r>
          </w:p>
        </w:tc>
      </w:tr>
      <w:tr>
        <w:trPr>
          <w:trHeight w:val="280"/>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3,351</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3,697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2,142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2,438</w:t>
            </w:r>
          </w:p>
        </w:tc>
      </w:tr>
      <w:tr>
        <w:trPr>
          <w:trHeight w:val="250"/>
        </w:trPr>
        <w:tc>
          <w:tcPr>
            <w:tcW w:w="120" w:type="dxa"/>
            <w:vAlign w:val="bottom"/>
          </w:tcPr>
          <w:p>
            <w:pPr>
              <w:spacing w:after="0"/>
              <w:rPr>
                <w:sz w:val="21"/>
                <w:szCs w:val="21"/>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84,398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51,421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135,819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82,612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42,318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124,930</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134,476</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77,724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(1,751)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210,449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129,421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66,081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194,338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26,945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853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(839)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26,959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24,093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24,062</w:t>
            </w:r>
          </w:p>
        </w:tc>
      </w:tr>
      <w:tr>
        <w:trPr>
          <w:trHeight w:val="540"/>
        </w:trPr>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1,944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817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20,199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20,199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18,745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18,745</w:t>
            </w:r>
          </w:p>
        </w:tc>
      </w:tr>
      <w:tr>
        <w:trPr>
          <w:trHeight w:val="280"/>
        </w:trPr>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25,652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2,202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27,854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27,593</w:t>
            </w:r>
          </w:p>
        </w:tc>
      </w:tr>
      <w:tr>
        <w:trPr>
          <w:trHeight w:val="241"/>
        </w:trPr>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54,541</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23,254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(1,752)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76,043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51,345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21,035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(1,163)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71,217</w:t>
            </w:r>
          </w:p>
        </w:tc>
      </w:tr>
      <w:tr>
        <w:trPr>
          <w:trHeight w:val="810"/>
        </w:trPr>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9,789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9,789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7,948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7,948</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44,301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44,301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35,601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35,601</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5,675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5,685</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17,830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17,939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20,804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20,911</w:t>
            </w:r>
          </w:p>
        </w:tc>
      </w:tr>
      <w:tr>
        <w:trPr>
          <w:trHeight w:val="280"/>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11,436</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12,699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11,627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12,653</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44,730</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45,672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90,403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46,064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36,735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82,798</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99,271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68,926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166,446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97,409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57,770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154,015</w:t>
            </w:r>
          </w:p>
        </w:tc>
      </w:tr>
      <w:tr>
        <w:trPr>
          <w:trHeight w:val="810"/>
        </w:trPr>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27,733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27,734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27,606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27,607</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13,950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9,835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23,785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10,870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9,415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20,285</w:t>
            </w:r>
          </w:p>
        </w:tc>
      </w:tr>
      <w:tr>
        <w:trPr>
          <w:trHeight w:val="280"/>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(6,867)</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(1,038)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(6,931)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(8,036)</w:t>
            </w:r>
          </w:p>
        </w:tc>
      </w:tr>
      <w:tr>
        <w:trPr>
          <w:trHeight w:val="241"/>
        </w:trPr>
        <w:tc>
          <w:tcPr>
            <w:tcW w:w="120" w:type="dxa"/>
            <w:vAlign w:val="bottom"/>
          </w:tcPr>
          <w:p>
            <w:pPr>
              <w:spacing w:after="0"/>
              <w:rPr>
                <w:sz w:val="20"/>
                <w:szCs w:val="20"/>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34,832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8,798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43,630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8,311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39,871</w:t>
            </w:r>
          </w:p>
        </w:tc>
      </w:tr>
      <w:tr>
        <w:trPr>
          <w:trHeight w:val="280"/>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373</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452</w:t>
            </w:r>
          </w:p>
        </w:tc>
      </w:tr>
      <w:tr>
        <w:trPr>
          <w:trHeight w:val="250"/>
        </w:trPr>
        <w:tc>
          <w:tcPr>
            <w:tcW w:w="120" w:type="dxa"/>
            <w:vAlign w:val="bottom"/>
          </w:tcPr>
          <w:p>
            <w:pPr>
              <w:spacing w:after="0"/>
              <w:rPr>
                <w:sz w:val="21"/>
                <w:szCs w:val="21"/>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35,205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8,798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44,003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32,012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40,323</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134,476</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77,724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(1,751)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210,449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129,421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66,081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194,338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-8446770</wp:posOffset>
            </wp:positionV>
            <wp:extent cx="72294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-8094980</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-7752080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-7409180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-7065645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-6722745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-6379845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-6036945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-5693410</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-5350510</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-5007610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-4664710</wp:posOffset>
            </wp:positionV>
            <wp:extent cx="72294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-4304665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-3961130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-3618230</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-3275330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-2932430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-2589530</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-2245995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-1903095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-1560195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-1217295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-874395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-530860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-187960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2880" w:space="540"/>
            <w:col w:w="8000"/>
          </w:cols>
          <w:pgMar w:left="240" w:top="580" w:right="239" w:bottom="0" w:gutter="0" w:footer="0" w:header="0"/>
          <w:type w:val="continuous"/>
        </w:sectPr>
      </w:pPr>
    </w:p>
    <w:p>
      <w:pPr>
        <w:jc w:val="both"/>
        <w:ind w:left="340" w:hanging="332"/>
        <w:spacing w:after="0" w:line="264"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Eliminations include Automotive accounts receivables of $440 million offset by GM Financial accounts payables, GM Financial accounts receivables of $391 million offset by Automotive accounts payable and GM Financial notes receivables of $588 million offset by loans to Automotive at June 30, 2016 and Automotive accounts receivables of $358 million offset by GM Financial accounts payables, GM Financial accounts receivables of $409 million offset by Automotive accounts payable and GM Financial notes receivables of $163 million offset by loans to Automotive at December 31, 2015.</w:t>
      </w: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Eliminations include GM Financial commercial loans of $321 million and $230 million offset by loans to Automotive at June 30, 2016 and December 31, 2015.</w:t>
      </w: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result of GM's adoption of Accounting Standards Update 2015-17, certain prior year amounts have been reclassified.</w:t>
      </w:r>
    </w:p>
    <w:p>
      <w:pPr>
        <w:sectPr>
          <w:pgSz w:w="11900" w:h="16838" w:orient="portrait"/>
          <w:cols w:equalWidth="0" w:num="1">
            <w:col w:w="11420"/>
          </w:cols>
          <w:pgMar w:left="240" w:top="580" w:right="23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584" w:right="1440" w:bottom="1440" w:gutter="0" w:footer="0" w:header="0"/>
        </w:sectPr>
      </w:pPr>
    </w:p>
    <w:bookmarkStart w:id="18" w:name="page19"/>
    <w:bookmarkEnd w:id="18"/>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(In millions) (Unaudited)</w:t>
      </w:r>
    </w:p>
    <w:p>
      <w:pPr>
        <w:spacing w:after="0" w:line="252" w:lineRule="exact"/>
        <w:rPr>
          <w:sz w:val="20"/>
          <w:szCs w:val="20"/>
          <w:color w:val="auto"/>
        </w:rPr>
      </w:pPr>
    </w:p>
    <w:tbl>
      <w:tblPr>
        <w:tblLayout w:type="fixed"/>
        <w:tblInd w:w="3200" w:type="dxa"/>
        <w:tblCellMar>
          <w:top w:w="0" w:type="dxa"/>
          <w:left w:w="0" w:type="dxa"/>
          <w:bottom w:w="0" w:type="dxa"/>
          <w:right w:w="0" w:type="dxa"/>
        </w:tblCellMar>
      </w:tblPr>
      <w:tr>
        <w:trPr>
          <w:trHeight w:val="140"/>
        </w:trPr>
        <w:tc>
          <w:tcPr>
            <w:tcW w:w="860" w:type="dxa"/>
            <w:vAlign w:val="bottom"/>
          </w:tcPr>
          <w:p>
            <w:pPr>
              <w:spacing w:after="0"/>
              <w:rPr>
                <w:sz w:val="12"/>
                <w:szCs w:val="12"/>
                <w:color w:val="auto"/>
              </w:rPr>
            </w:pPr>
          </w:p>
        </w:tc>
        <w:tc>
          <w:tcPr>
            <w:tcW w:w="2100" w:type="dxa"/>
            <w:vAlign w:val="bottom"/>
            <w:gridSpan w:val="2"/>
          </w:tcPr>
          <w:p>
            <w:pPr>
              <w:ind w:left="360"/>
              <w:spacing w:after="0"/>
              <w:rPr>
                <w:sz w:val="20"/>
                <w:szCs w:val="20"/>
                <w:color w:val="auto"/>
              </w:rPr>
            </w:pPr>
            <w:r>
              <w:rPr>
                <w:rFonts w:ascii="Arial" w:cs="Arial" w:eastAsia="Arial" w:hAnsi="Arial"/>
                <w:sz w:val="11"/>
                <w:szCs w:val="11"/>
                <w:b w:val="1"/>
                <w:bCs w:val="1"/>
                <w:color w:val="auto"/>
              </w:rPr>
              <w:t>Six Months Ended June 30, 2016</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40" w:type="dxa"/>
            <w:vAlign w:val="bottom"/>
            <w:gridSpan w:val="2"/>
          </w:tcPr>
          <w:p>
            <w:pPr>
              <w:ind w:left="340"/>
              <w:spacing w:after="0"/>
              <w:rPr>
                <w:sz w:val="20"/>
                <w:szCs w:val="20"/>
                <w:color w:val="auto"/>
              </w:rPr>
            </w:pPr>
            <w:r>
              <w:rPr>
                <w:rFonts w:ascii="Arial" w:cs="Arial" w:eastAsia="Arial" w:hAnsi="Arial"/>
                <w:sz w:val="11"/>
                <w:szCs w:val="11"/>
                <w:b w:val="1"/>
                <w:bCs w:val="1"/>
                <w:color w:val="auto"/>
                <w:w w:val="98"/>
              </w:rPr>
              <w:t>Six Months Ended June 30, 2015</w:t>
            </w:r>
          </w:p>
        </w:tc>
        <w:tc>
          <w:tcPr>
            <w:tcW w:w="940" w:type="dxa"/>
            <w:vAlign w:val="bottom"/>
          </w:tcPr>
          <w:p>
            <w:pPr>
              <w:spacing w:after="0"/>
              <w:rPr>
                <w:sz w:val="12"/>
                <w:szCs w:val="12"/>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8"/>
        </w:trPr>
        <w:tc>
          <w:tcPr>
            <w:tcW w:w="8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GM</w:t>
            </w: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GM</w:t>
            </w: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860" w:type="dxa"/>
            <w:vAlign w:val="bottom"/>
          </w:tcPr>
          <w:p>
            <w:pPr>
              <w:ind w:left="140"/>
              <w:spacing w:after="0"/>
              <w:rPr>
                <w:sz w:val="20"/>
                <w:szCs w:val="20"/>
                <w:color w:val="auto"/>
              </w:rPr>
            </w:pPr>
            <w:r>
              <w:rPr>
                <w:rFonts w:ascii="Arial" w:cs="Arial" w:eastAsia="Arial" w:hAnsi="Arial"/>
                <w:sz w:val="11"/>
                <w:szCs w:val="11"/>
                <w:b w:val="1"/>
                <w:bCs w:val="1"/>
                <w:color w:val="auto"/>
              </w:rPr>
              <w:t>Automotive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7"/>
              </w:rPr>
              <w:t>Financial</w:t>
            </w:r>
          </w:p>
        </w:tc>
        <w:tc>
          <w:tcPr>
            <w:tcW w:w="1260" w:type="dxa"/>
            <w:vAlign w:val="bottom"/>
          </w:tcPr>
          <w:p>
            <w:pPr>
              <w:ind w:left="220"/>
              <w:spacing w:after="0"/>
              <w:rPr>
                <w:sz w:val="20"/>
                <w:szCs w:val="20"/>
                <w:color w:val="auto"/>
              </w:rPr>
            </w:pPr>
            <w:r>
              <w:rPr>
                <w:rFonts w:ascii="Arial" w:cs="Arial" w:eastAsia="Arial" w:hAnsi="Arial"/>
                <w:sz w:val="11"/>
                <w:szCs w:val="11"/>
                <w:b w:val="1"/>
                <w:bCs w:val="1"/>
                <w:color w:val="auto"/>
              </w:rPr>
              <w:t>Reclassification(a)</w:t>
            </w:r>
          </w:p>
        </w:tc>
        <w:tc>
          <w:tcPr>
            <w:tcW w:w="1060" w:type="dxa"/>
            <w:vAlign w:val="bottom"/>
            <w:gridSpan w:val="2"/>
          </w:tcPr>
          <w:p>
            <w:pPr>
              <w:ind w:left="220"/>
              <w:spacing w:after="0"/>
              <w:rPr>
                <w:sz w:val="20"/>
                <w:szCs w:val="20"/>
                <w:color w:val="auto"/>
              </w:rPr>
            </w:pPr>
            <w:r>
              <w:rPr>
                <w:rFonts w:ascii="Arial" w:cs="Arial" w:eastAsia="Arial" w:hAnsi="Arial"/>
                <w:sz w:val="11"/>
                <w:szCs w:val="11"/>
                <w:b w:val="1"/>
                <w:bCs w:val="1"/>
                <w:color w:val="auto"/>
              </w:rPr>
              <w:t>Consolidated</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Automotive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7"/>
              </w:rPr>
              <w:t>Financial</w:t>
            </w:r>
          </w:p>
        </w:tc>
        <w:tc>
          <w:tcPr>
            <w:tcW w:w="1260" w:type="dxa"/>
            <w:vAlign w:val="bottom"/>
          </w:tcPr>
          <w:p>
            <w:pPr>
              <w:ind w:left="200"/>
              <w:spacing w:after="0"/>
              <w:rPr>
                <w:sz w:val="20"/>
                <w:szCs w:val="20"/>
                <w:color w:val="auto"/>
              </w:rPr>
            </w:pPr>
            <w:r>
              <w:rPr>
                <w:rFonts w:ascii="Arial" w:cs="Arial" w:eastAsia="Arial" w:hAnsi="Arial"/>
                <w:sz w:val="11"/>
                <w:szCs w:val="11"/>
                <w:b w:val="1"/>
                <w:bCs w:val="1"/>
                <w:color w:val="auto"/>
              </w:rPr>
              <w:t>Reclassification(a)</w:t>
            </w:r>
          </w:p>
        </w:tc>
        <w:tc>
          <w:tcPr>
            <w:tcW w:w="940" w:type="dxa"/>
            <w:vAlign w:val="bottom"/>
          </w:tcPr>
          <w:p>
            <w:pPr>
              <w:ind w:left="200"/>
              <w:spacing w:after="0"/>
              <w:rPr>
                <w:sz w:val="20"/>
                <w:szCs w:val="20"/>
                <w:color w:val="auto"/>
              </w:rPr>
            </w:pPr>
            <w:r>
              <w:rPr>
                <w:rFonts w:ascii="Arial" w:cs="Arial" w:eastAsia="Arial" w:hAnsi="Arial"/>
                <w:sz w:val="11"/>
                <w:szCs w:val="11"/>
                <w:b w:val="1"/>
                <w:bCs w:val="1"/>
                <w:color w:val="auto"/>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8944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9445" cy="18034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operating activities</w:t>
      </w:r>
    </w:p>
    <w:p>
      <w:pPr>
        <w:sectPr>
          <w:pgSz w:w="11900" w:h="16838" w:orient="portrait"/>
          <w:cols w:equalWidth="0" w:num="1">
            <w:col w:w="11020"/>
          </w:cols>
          <w:pgMar w:left="240" w:top="580" w:right="639" w:bottom="1440" w:gutter="0" w:footer="0" w:header="0"/>
        </w:sectPr>
      </w:pPr>
    </w:p>
    <w:p>
      <w:pPr>
        <w:spacing w:after="0" w:line="138" w:lineRule="exact"/>
        <w:rPr>
          <w:sz w:val="20"/>
          <w:szCs w:val="20"/>
          <w:color w:val="auto"/>
        </w:rPr>
      </w:pPr>
    </w:p>
    <w:tbl>
      <w:tblPr>
        <w:tblLayout w:type="fixed"/>
        <w:tblInd w:w="180" w:type="dxa"/>
        <w:tblCellMar>
          <w:top w:w="0" w:type="dxa"/>
          <w:left w:w="0" w:type="dxa"/>
          <w:bottom w:w="0" w:type="dxa"/>
          <w:right w:w="0" w:type="dxa"/>
        </w:tblCellMar>
      </w:tblPr>
      <w:tr>
        <w:trPr>
          <w:trHeight w:val="160"/>
        </w:trPr>
        <w:tc>
          <w:tcPr>
            <w:tcW w:w="2920" w:type="dxa"/>
            <w:vAlign w:val="bottom"/>
          </w:tcPr>
          <w:p>
            <w:pPr>
              <w:spacing w:after="0"/>
              <w:rPr>
                <w:sz w:val="20"/>
                <w:szCs w:val="20"/>
                <w:color w:val="auto"/>
              </w:rPr>
            </w:pPr>
            <w:r>
              <w:rPr>
                <w:rFonts w:ascii="Arial" w:cs="Arial" w:eastAsia="Arial" w:hAnsi="Arial"/>
                <w:sz w:val="13"/>
                <w:szCs w:val="13"/>
                <w:color w:val="auto"/>
              </w:rPr>
              <w:t>Net income</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3"/>
                <w:szCs w:val="13"/>
                <w:color w:val="auto"/>
                <w:w w:val="98"/>
              </w:rPr>
              <w:t>Depreciation, amortization and impairment charges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3"/>
                <w:szCs w:val="13"/>
                <w:color w:val="auto"/>
                <w:w w:val="89"/>
              </w:rPr>
              <w:t>Foreign currency remeasurement and transaction losses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Amortization of discount and issuance costs on debt issues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Undistributed earnings of nonconsolidated affiliates,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 contributions and OPEB payments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 and OPEB (income) expense,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Provision for deferred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Change in other operating assets and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Acquisition of companies/investments, net of cash acquired</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Increase in restricted cash</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 restricted cash</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Principal collections and recoveries on finance receivables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4,362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13"/>
                <w:szCs w:val="13"/>
                <w:color w:val="auto"/>
              </w:rPr>
            </w:pPr>
          </w:p>
        </w:tc>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4,781</w:t>
            </w:r>
          </w:p>
        </w:tc>
        <w:tc>
          <w:tcPr>
            <w:tcW w:w="1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3"/>
                <w:szCs w:val="13"/>
                <w:color w:val="auto"/>
              </w:rPr>
            </w:pPr>
          </w:p>
        </w:tc>
        <w:tc>
          <w:tcPr>
            <w:tcW w:w="48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2,048</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2,815</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2,056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4,871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3,927</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239</w:t>
            </w:r>
          </w:p>
        </w:tc>
        <w:tc>
          <w:tcPr>
            <w:tcW w:w="14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788</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87</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837</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350</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w w:val="82"/>
              </w:rPr>
              <w:t>(2,782)</w:t>
            </w:r>
          </w:p>
        </w:tc>
        <w:tc>
          <w:tcPr>
            <w:tcW w:w="14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(2,784)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(824)</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(299)</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189</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1,298</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593</w:t>
            </w:r>
          </w:p>
        </w:tc>
      </w:tr>
      <w:tr>
        <w:trPr>
          <w:trHeight w:val="280"/>
        </w:trPr>
        <w:tc>
          <w:tcPr>
            <w:tcW w:w="560" w:type="dxa"/>
            <w:vAlign w:val="bottom"/>
          </w:tcPr>
          <w:p>
            <w:pPr>
              <w:jc w:val="right"/>
              <w:ind w:right="137"/>
              <w:spacing w:after="0"/>
              <w:rPr>
                <w:sz w:val="20"/>
                <w:szCs w:val="20"/>
                <w:color w:val="auto"/>
              </w:rPr>
            </w:pPr>
            <w:r>
              <w:rPr>
                <w:rFonts w:ascii="Arial" w:cs="Arial" w:eastAsia="Arial" w:hAnsi="Arial"/>
                <w:sz w:val="13"/>
                <w:szCs w:val="13"/>
                <w:color w:val="auto"/>
                <w:w w:val="82"/>
              </w:rPr>
              <w:t>(2,235)</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(3,139)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(997)</w:t>
            </w:r>
          </w:p>
        </w:tc>
      </w:tr>
      <w:tr>
        <w:trPr>
          <w:trHeight w:val="241"/>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4,268</w:t>
            </w:r>
          </w:p>
        </w:tc>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2,618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5,961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6,161</w:t>
            </w:r>
          </w:p>
        </w:tc>
      </w:tr>
      <w:tr>
        <w:trPr>
          <w:trHeight w:val="540"/>
        </w:trPr>
        <w:tc>
          <w:tcPr>
            <w:tcW w:w="560" w:type="dxa"/>
            <w:vAlign w:val="bottom"/>
          </w:tcPr>
          <w:p>
            <w:pPr>
              <w:jc w:val="right"/>
              <w:ind w:right="137"/>
              <w:spacing w:after="0"/>
              <w:rPr>
                <w:sz w:val="20"/>
                <w:szCs w:val="20"/>
                <w:color w:val="auto"/>
              </w:rPr>
            </w:pPr>
            <w:r>
              <w:rPr>
                <w:rFonts w:ascii="Arial" w:cs="Arial" w:eastAsia="Arial" w:hAnsi="Arial"/>
                <w:sz w:val="13"/>
                <w:szCs w:val="13"/>
                <w:color w:val="auto"/>
                <w:w w:val="82"/>
              </w:rPr>
              <w:t>(4,563)</w:t>
            </w:r>
          </w:p>
        </w:tc>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(4,610)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(3,489)</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w w:val="82"/>
              </w:rPr>
              <w:t>(2,278)</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(4,836)</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(203)</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(1,028)</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5,337</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5,337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6,689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6,689</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813</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1,099</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(801)</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(928)</w:t>
            </w:r>
          </w:p>
        </w:tc>
      </w:tr>
      <w:tr>
        <w:trPr>
          <w:trHeight w:val="270"/>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(97)</w:t>
            </w:r>
          </w:p>
        </w:tc>
        <w:tc>
          <w:tcPr>
            <w:tcW w:w="14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(344)</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118</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129</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(9,279)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(8,354)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(8,601)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(8,376)</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6,641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6,641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5,716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5,716</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(10,203)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(6,504)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(6,504)</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468</w:t>
            </w:r>
          </w:p>
        </w:tc>
      </w:tr>
      <w:tr>
        <w:trPr>
          <w:trHeight w:val="28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182</w:t>
            </w:r>
          </w:p>
        </w:tc>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81</w:t>
            </w:r>
          </w:p>
        </w:tc>
      </w:tr>
      <w:tr>
        <w:trPr>
          <w:trHeight w:val="241"/>
        </w:trPr>
        <w:tc>
          <w:tcPr>
            <w:tcW w:w="560" w:type="dxa"/>
            <w:vAlign w:val="bottom"/>
          </w:tcPr>
          <w:p>
            <w:pPr>
              <w:jc w:val="right"/>
              <w:ind w:right="137"/>
              <w:spacing w:after="0"/>
              <w:rPr>
                <w:sz w:val="20"/>
                <w:szCs w:val="20"/>
                <w:color w:val="auto"/>
              </w:rPr>
            </w:pPr>
            <w:r>
              <w:rPr>
                <w:rFonts w:ascii="Arial" w:cs="Arial" w:eastAsia="Arial" w:hAnsi="Arial"/>
                <w:sz w:val="13"/>
                <w:szCs w:val="13"/>
                <w:color w:val="auto"/>
                <w:w w:val="82"/>
              </w:rPr>
              <w:t>(1,492)</w:t>
            </w: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4"/>
              </w:rPr>
              <w:t>(11,874)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(12,441)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0"/>
              </w:rPr>
              <w:t>(10,012)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-4105275</wp:posOffset>
            </wp:positionV>
            <wp:extent cx="698944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-3762375</wp:posOffset>
            </wp:positionV>
            <wp:extent cx="698944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-3419475</wp:posOffset>
            </wp:positionV>
            <wp:extent cx="698944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-3076575</wp:posOffset>
            </wp:positionV>
            <wp:extent cx="698944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-2390140</wp:posOffset>
            </wp:positionV>
            <wp:extent cx="698944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-2047240</wp:posOffset>
            </wp:positionV>
            <wp:extent cx="698944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-1704340</wp:posOffset>
            </wp:positionV>
            <wp:extent cx="698944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-1361440</wp:posOffset>
            </wp:positionV>
            <wp:extent cx="698944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-1018540</wp:posOffset>
            </wp:positionV>
            <wp:extent cx="698944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-675005</wp:posOffset>
            </wp:positionV>
            <wp:extent cx="698944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-332105</wp:posOffset>
            </wp:positionV>
            <wp:extent cx="6989445" cy="514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9445" cy="5143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-2733675</wp:posOffset>
            </wp:positionV>
            <wp:extent cx="698944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3300" w:space="260"/>
            <w:col w:w="7460"/>
          </w:cols>
          <w:pgMar w:left="240" w:top="580" w:right="639" w:bottom="1440" w:gutter="0" w:footer="0" w:header="0"/>
          <w:type w:val="continuous"/>
        </w:sect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40" w:hanging="161"/>
        <w:spacing w:after="0" w:line="237" w:lineRule="auto"/>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29" w:lineRule="exact"/>
        <w:rPr>
          <w:sz w:val="20"/>
          <w:szCs w:val="20"/>
          <w:color w:val="auto"/>
        </w:rPr>
      </w:pPr>
    </w:p>
    <w:p>
      <w:pPr>
        <w:ind w:left="340" w:right="140" w:hanging="161"/>
        <w:spacing w:after="0" w:line="237"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purchase common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Net cash provided by (used in) financing activities</w:t>
      </w:r>
    </w:p>
    <w:p>
      <w:pPr>
        <w:spacing w:after="0" w:line="55" w:lineRule="exact"/>
        <w:rPr>
          <w:sz w:val="20"/>
          <w:szCs w:val="20"/>
          <w:color w:val="auto"/>
        </w:rPr>
      </w:pPr>
    </w:p>
    <w:p>
      <w:pPr>
        <w:ind w:left="340" w:right="460" w:hanging="161"/>
        <w:spacing w:after="0" w:line="237" w:lineRule="auto"/>
        <w:rPr>
          <w:sz w:val="20"/>
          <w:szCs w:val="20"/>
          <w:color w:val="auto"/>
        </w:rPr>
      </w:pPr>
      <w:r>
        <w:rPr>
          <w:rFonts w:ascii="Arial" w:cs="Arial" w:eastAsia="Arial" w:hAnsi="Arial"/>
          <w:sz w:val="13"/>
          <w:szCs w:val="13"/>
          <w:color w:val="auto"/>
        </w:rPr>
        <w:t>Effect of exchange rate changes on cash and cash equivalents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increase (decrease) in cash and cash equivalents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beginning of period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(202)</w:t>
            </w:r>
          </w:p>
        </w:tc>
      </w:tr>
      <w:tr>
        <w:trPr>
          <w:trHeight w:val="324"/>
        </w:trPr>
        <w:tc>
          <w:tcPr>
            <w:tcW w:w="2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21,153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23,213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16,488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16,498</w:t>
            </w:r>
          </w:p>
        </w:tc>
      </w:tr>
      <w:tr>
        <w:trPr>
          <w:trHeight w:val="324"/>
        </w:trPr>
        <w:tc>
          <w:tcPr>
            <w:tcW w:w="22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(11,797)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(11,962)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(8,277)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(8,417)</w:t>
            </w:r>
          </w:p>
        </w:tc>
      </w:tr>
      <w:tr>
        <w:trPr>
          <w:trHeight w:val="270"/>
        </w:trPr>
        <w:tc>
          <w:tcPr>
            <w:tcW w:w="22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(1,999)</w:t>
            </w:r>
          </w:p>
        </w:tc>
      </w:tr>
      <w:tr>
        <w:trPr>
          <w:trHeight w:val="270"/>
        </w:trPr>
        <w:tc>
          <w:tcPr>
            <w:tcW w:w="22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(1,188)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(1,086)</w:t>
            </w:r>
          </w:p>
        </w:tc>
      </w:tr>
      <w:tr>
        <w:trPr>
          <w:trHeight w:val="280"/>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w:t>
            </w:r>
          </w:p>
        </w:tc>
      </w:tr>
      <w:tr>
        <w:trPr>
          <w:trHeight w:val="241"/>
        </w:trPr>
        <w:tc>
          <w:tcPr>
            <w:tcW w:w="220" w:type="dxa"/>
            <w:vAlign w:val="bottom"/>
          </w:tcPr>
          <w:p>
            <w:pPr>
              <w:spacing w:after="0"/>
              <w:rPr>
                <w:sz w:val="20"/>
                <w:szCs w:val="20"/>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9,678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10,085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(3,206)</w:t>
            </w:r>
          </w:p>
        </w:tc>
        <w:tc>
          <w:tcPr>
            <w:tcW w:w="10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7,960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4,754</w:t>
            </w:r>
          </w:p>
        </w:tc>
      </w:tr>
      <w:tr>
        <w:trPr>
          <w:trHeight w:val="324"/>
        </w:trPr>
        <w:tc>
          <w:tcPr>
            <w:tcW w:w="2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(919)</w:t>
            </w:r>
          </w:p>
        </w:tc>
      </w:tr>
      <w:tr>
        <w:trPr>
          <w:trHeight w:val="280"/>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r>
      <w:tr>
        <w:trPr>
          <w:trHeight w:val="241"/>
        </w:trPr>
        <w:tc>
          <w:tcPr>
            <w:tcW w:w="220" w:type="dxa"/>
            <w:vAlign w:val="bottom"/>
          </w:tcPr>
          <w:p>
            <w:pPr>
              <w:spacing w:after="0"/>
              <w:rPr>
                <w:sz w:val="20"/>
                <w:szCs w:val="20"/>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3,685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(1,327)</w:t>
            </w:r>
          </w:p>
        </w:tc>
      </w:tr>
      <w:tr>
        <w:trPr>
          <w:trHeight w:val="280"/>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12,177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3,061</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15,238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15,980</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2,974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18,954</w:t>
            </w:r>
          </w:p>
        </w:tc>
      </w:tr>
      <w:tr>
        <w:trPr>
          <w:trHeight w:val="227"/>
        </w:trPr>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15,821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3,102</w:t>
            </w:r>
          </w:p>
        </w:tc>
        <w:tc>
          <w:tcPr>
            <w:tcW w:w="120" w:type="dxa"/>
            <w:vAlign w:val="bottom"/>
          </w:tcPr>
          <w:p>
            <w:pPr>
              <w:spacing w:after="0"/>
              <w:rPr>
                <w:sz w:val="19"/>
                <w:szCs w:val="19"/>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18,923</w:t>
            </w:r>
          </w:p>
        </w:tc>
        <w:tc>
          <w:tcPr>
            <w:tcW w:w="100" w:type="dxa"/>
            <w:vAlign w:val="bottom"/>
          </w:tcPr>
          <w:p>
            <w:pPr>
              <w:spacing w:after="0"/>
              <w:rPr>
                <w:sz w:val="19"/>
                <w:szCs w:val="19"/>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15,557</w:t>
            </w:r>
          </w:p>
        </w:tc>
        <w:tc>
          <w:tcPr>
            <w:tcW w:w="100" w:type="dxa"/>
            <w:vAlign w:val="bottom"/>
          </w:tcPr>
          <w:p>
            <w:pPr>
              <w:spacing w:after="0"/>
              <w:rPr>
                <w:sz w:val="19"/>
                <w:szCs w:val="19"/>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   2,070</w:t>
            </w:r>
          </w:p>
        </w:tc>
        <w:tc>
          <w:tcPr>
            <w:tcW w:w="100" w:type="dxa"/>
            <w:vAlign w:val="bottom"/>
          </w:tcPr>
          <w:p>
            <w:pPr>
              <w:spacing w:after="0"/>
              <w:rPr>
                <w:sz w:val="19"/>
                <w:szCs w:val="19"/>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17,627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-1970405</wp:posOffset>
            </wp:positionV>
            <wp:extent cx="698944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9445" cy="2057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-1558290</wp:posOffset>
            </wp:positionV>
            <wp:extent cx="698944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-1215390</wp:posOffset>
            </wp:positionV>
            <wp:extent cx="698944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-872490</wp:posOffset>
            </wp:positionV>
            <wp:extent cx="698944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9445" cy="2057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-495300</wp:posOffset>
            </wp:positionV>
            <wp:extent cx="698944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9445"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-152400</wp:posOffset>
            </wp:positionV>
            <wp:extent cx="698944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3120" w:space="80"/>
            <w:col w:w="7820"/>
          </w:cols>
          <w:pgMar w:left="240" w:top="580" w:right="639" w:bottom="1440" w:gutter="0" w:footer="0" w:header="0"/>
          <w:type w:val="continuous"/>
        </w:sectPr>
      </w:pPr>
    </w:p>
    <w:p>
      <w:pPr>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-130175</wp:posOffset>
            </wp:positionV>
            <wp:extent cx="49568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ind w:left="340" w:hanging="332"/>
        <w:spacing w:after="0"/>
        <w:tabs>
          <w:tab w:leader="none" w:pos="3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Reclassification of purchases/collections of wholesale finance receivables resulting from vehicles sold by GM to dealers that have arranged their inventory floor plan financing through GM Financial.</w:t>
      </w:r>
    </w:p>
    <w:p>
      <w:pPr>
        <w:spacing w:after="0" w:line="22" w:lineRule="exact"/>
        <w:rPr>
          <w:rFonts w:ascii="Arial" w:cs="Arial" w:eastAsia="Arial" w:hAnsi="Arial"/>
          <w:sz w:val="11"/>
          <w:szCs w:val="11"/>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Amounts loaned from GM Financial to Automotive used to fund company vehicles and for commercial loans to dealers we consolidate.</w:t>
      </w:r>
    </w:p>
    <w:p>
      <w:pPr>
        <w:sectPr>
          <w:pgSz w:w="11900" w:h="16838" w:orient="portrait"/>
          <w:cols w:equalWidth="0" w:num="1">
            <w:col w:w="11020"/>
          </w:cols>
          <w:pgMar w:left="240" w:top="580" w:right="639" w:bottom="1440" w:gutter="0" w:footer="0" w:header="0"/>
          <w:type w:val="continuous"/>
        </w:sectPr>
      </w:pP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12</w:t>
      </w:r>
    </w:p>
    <w:sectPr>
      <w:pgSz w:w="11900" w:h="16838" w:orient="portrait"/>
      <w:cols w:equalWidth="0" w:num="1">
        <w:col w:w="11020"/>
      </w:cols>
      <w:pgMar w:left="240" w:top="580"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2019-12-08T19:17:24Z</dcterms:created>
  <dcterms:modified xsi:type="dcterms:W3CDTF">2019-12-08T19:17:24Z</dcterms:modified>
</cp:coreProperties>
</file>