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14, 2014</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0" w:lineRule="exact"/>
        <w:rPr>
          <w:sz w:val="24"/>
          <w:szCs w:val="24"/>
          <w:color w:val="auto"/>
        </w:rPr>
      </w:pPr>
    </w:p>
    <w:p>
      <w:pPr>
        <w:spacing w:after="0" w:line="376"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404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001-34960</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27-0756180</w:t>
            </w:r>
          </w:p>
        </w:tc>
        <w:tc>
          <w:tcPr>
            <w:tcW w:w="0" w:type="dxa"/>
            <w:vAlign w:val="bottom"/>
          </w:tcPr>
          <w:p>
            <w:pPr>
              <w:spacing w:after="0"/>
              <w:rPr>
                <w:sz w:val="1"/>
                <w:szCs w:val="1"/>
                <w:color w:val="auto"/>
              </w:rPr>
            </w:pPr>
          </w:p>
        </w:tc>
      </w:tr>
      <w:tr>
        <w:trPr>
          <w:trHeight w:val="216"/>
        </w:trPr>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040" w:type="dxa"/>
            <w:vAlign w:val="bottom"/>
            <w:vMerge w:val="continue"/>
          </w:tcPr>
          <w:p>
            <w:pPr>
              <w:spacing w:after="0"/>
              <w:rPr>
                <w:sz w:val="18"/>
                <w:szCs w:val="18"/>
                <w:color w:val="auto"/>
              </w:rPr>
            </w:pP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incorporation)</w:t>
            </w:r>
          </w:p>
        </w:tc>
        <w:tc>
          <w:tcPr>
            <w:tcW w:w="4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 File Number)</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68"/>
        </w:trPr>
        <w:tc>
          <w:tcPr>
            <w:tcW w:w="6320" w:type="dxa"/>
            <w:vAlign w:val="bottom"/>
            <w:gridSpan w:val="2"/>
          </w:tcPr>
          <w:p>
            <w:pPr>
              <w:jc w:val="center"/>
              <w:ind w:right="2450"/>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20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48265-3000</w:t>
            </w:r>
          </w:p>
        </w:tc>
        <w:tc>
          <w:tcPr>
            <w:tcW w:w="0" w:type="dxa"/>
            <w:vAlign w:val="bottom"/>
          </w:tcPr>
          <w:p>
            <w:pPr>
              <w:spacing w:after="0"/>
              <w:rPr>
                <w:sz w:val="1"/>
                <w:szCs w:val="1"/>
                <w:color w:val="auto"/>
              </w:rPr>
            </w:pPr>
          </w:p>
        </w:tc>
      </w:tr>
      <w:tr>
        <w:trPr>
          <w:trHeight w:val="234"/>
        </w:trPr>
        <w:tc>
          <w:tcPr>
            <w:tcW w:w="6320" w:type="dxa"/>
            <w:vAlign w:val="bottom"/>
            <w:gridSpan w:val="2"/>
          </w:tcPr>
          <w:p>
            <w:pPr>
              <w:jc w:val="center"/>
              <w:ind w:right="2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41"/>
        </w:trPr>
        <w:tc>
          <w:tcPr>
            <w:tcW w:w="2280" w:type="dxa"/>
            <w:vAlign w:val="bottom"/>
          </w:tcPr>
          <w:p>
            <w:pPr>
              <w:spacing w:after="0"/>
              <w:rPr>
                <w:sz w:val="24"/>
                <w:szCs w:val="24"/>
                <w:color w:val="auto"/>
              </w:rPr>
            </w:pPr>
          </w:p>
        </w:tc>
        <w:tc>
          <w:tcPr>
            <w:tcW w:w="4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313</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b w:val="1"/>
                <w:bCs w:val="1"/>
                <w:color w:val="auto"/>
                <w:w w:val="99"/>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4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50"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(17-CFR 240.14a-12)</w:t>
      </w:r>
    </w:p>
    <w:p>
      <w:pPr>
        <w:spacing w:after="0" w:line="350"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50"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3" w:right="359" w:bottom="1440" w:gutter="0" w:footer="0" w:header="0"/>
        </w:sectPr>
      </w:pPr>
    </w:p>
    <w:bookmarkStart w:id="1" w:name="page2"/>
    <w:bookmarkEnd w:id="1"/>
    <w:p>
      <w:pPr>
        <w:jc w:val="right"/>
        <w:ind w:right="353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Press Release</w:t>
      </w:r>
    </w:p>
    <w:p>
      <w:pPr>
        <w:sectPr>
          <w:pgSz w:w="11900" w:h="16838" w:orient="portrait"/>
          <w:cols w:equalWidth="0" w:num="1">
            <w:col w:w="10219"/>
          </w:cols>
          <w:pgMar w:left="240" w:top="57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83"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On January 14, 2014 the Board of Directors of General Motors Company (the Company) declared a quarterly dividend of 30 cents per share on its common stock payable March 28, 2014 to all common stockholders of record as of March 18, 2014. This represents the first dividend declaration on the Company's common stock. The Press Release related thereto is attached as Exhibit 99.1.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Attached as Exhibit</w:t>
            </w:r>
          </w:p>
        </w:tc>
      </w:tr>
      <w:tr>
        <w:trPr>
          <w:trHeight w:val="234"/>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January 14,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420"/>
          </w:cols>
          <w:pgMar w:left="240" w:top="79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7"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702"/>
        </w:trPr>
        <w:tc>
          <w:tcPr>
            <w:tcW w:w="3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S. TIMKO</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January 15, 2014</w:t>
            </w:r>
          </w:p>
        </w:tc>
        <w:tc>
          <w:tcPr>
            <w:tcW w:w="216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40" w:type="dxa"/>
            <w:vAlign w:val="bottom"/>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 Timko</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Release: Tuesday, Jan. 14, 2014, 4:30 p.m. EST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GM Declares 30 Cents Per Share Quarterly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 Dividend</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Fortress balance sheet, consistent business results support dividend</w:t>
      </w:r>
    </w:p>
    <w:p>
      <w:pPr>
        <w:spacing w:after="0" w:line="324"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DETROIT </w:t>
      </w:r>
      <w:r>
        <w:rPr>
          <w:rFonts w:ascii="Times New Roman" w:cs="Times New Roman" w:eastAsia="Times New Roman" w:hAnsi="Times New Roman"/>
          <w:sz w:val="20"/>
          <w:szCs w:val="20"/>
          <w:color w:val="auto"/>
        </w:rPr>
        <w:t>- General Motors Co. (NYSE: GM) Board of Directors today declared a quarterly dividend of 30 cents per share on its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The dividend is payable March 28, 2014 to all common stockholders of record as of March 18, 2014.</w:t>
      </w:r>
    </w:p>
    <w:p>
      <w:pPr>
        <w:spacing w:after="0" w:line="1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“Today’s General Motors is designing high-quality, world-class vehicles for our customers and delivering consistently solid financial results,” said Dan Akerson, GM chairman and CEO. “The board understands that our investors should share in this success and is pleased to announce a quarterly dividend for our common stockholders.”</w:t>
      </w:r>
    </w:p>
    <w:p>
      <w:pPr>
        <w:spacing w:after="0" w:line="17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According to Dan Ammann, GM executive vice president and chief financial officer: “Our fortress balance sheet, substantial liquidity, consistent earnings and strong cash flow provide the foundation for an ongoing payout. This return to shareholders is consistent with our capital priorities and is an important signal of confidence in our plans for a continuing profitable future.” Ammann will become GM President effective Wednesday (Jan. 15, 2014).</w:t>
      </w:r>
    </w:p>
    <w:p>
      <w:pPr>
        <w:spacing w:after="0" w:line="18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Through the third quarter of 2013, GM achieved 15 straight profitable quarters in which it generated $16.3 billion in adjusted automotive free cash flow. As of Sept. 30, 2013, the company had total automotive liquidity of $37.3 billion and $8.4 billion of automotive debt.</w:t>
      </w:r>
    </w:p>
    <w:p>
      <w:pPr>
        <w:spacing w:after="0" w:line="16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Co. </w:t>
      </w:r>
      <w:r>
        <w:rPr>
          <w:rFonts w:ascii="Times New Roman" w:cs="Times New Roman" w:eastAsia="Times New Roman" w:hAnsi="Times New Roman"/>
          <w:sz w:val="18"/>
          <w:szCs w:val="18"/>
          <w:color w:val="auto"/>
        </w:rPr>
        <w:t>(NYSE:GM, TSX: GMM) and its partners produce vehicles in 30 countries, and the company has leadership positions in the world's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Times New Roman" w:cs="Times New Roman" w:eastAsia="Times New Roman" w:hAnsi="Times New Roman"/>
          <w:sz w:val="18"/>
          <w:szCs w:val="18"/>
          <w:u w:val="single" w:color="auto"/>
          <w:color w:val="0000FF"/>
        </w:rPr>
        <w:t>http://www.gm.com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Henderson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313-410-2704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tom.e.henderson@gm.com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Roman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313-498-1735</w:t>
      </w:r>
      <w:r>
        <w:rPr>
          <w:rFonts w:ascii="Times New Roman" w:cs="Times New Roman" w:eastAsia="Times New Roman" w:hAnsi="Times New Roman"/>
          <w:sz w:val="18"/>
          <w:szCs w:val="18"/>
          <w:u w:val="single" w:color="auto"/>
          <w:color w:val="0000FF"/>
        </w:rPr>
        <w:t>dave.roman@gm.com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w:t>
      </w:r>
    </w:p>
    <w:p>
      <w:pPr>
        <w:sectPr>
          <w:pgSz w:w="11900" w:h="16838" w:orient="portrait"/>
          <w:cols w:equalWidth="0" w:num="1">
            <w:col w:w="11420"/>
          </w:cols>
          <w:pgMar w:left="240" w:top="1440" w:right="2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6"/>
          <w:szCs w:val="16"/>
          <w:color w:val="auto"/>
        </w:rPr>
        <w:t>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Europe; and our ability to continue to attract new customers, particularly for our new products. GM's most recent annual report on Form 10-K and quarterly reports on Form 10-Q provide information about these and other factors, which we may revise or supplement in future reports to the SEC.</w:t>
      </w:r>
    </w:p>
    <w:sectPr>
      <w:pgSz w:w="11900" w:h="16838" w:orient="portrait"/>
      <w:cols w:equalWidth="0" w:num="1">
        <w:col w:w="11340"/>
      </w:cols>
      <w:pgMar w:left="240" w:top="58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2019-12-07T21:04:32Z</dcterms:created>
  <dcterms:modified xsi:type="dcterms:W3CDTF">2019-12-07T21:04:32Z</dcterms:modified>
</cp:coreProperties>
</file>