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RULES 13d-1(b),(c),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300" w:hanging="183"/>
        <w:spacing w:after="0"/>
        <w:tabs>
          <w:tab w:leader="none" w:pos="5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Times New Roman" w:cs="Times New Roman" w:eastAsia="Times New Roman" w:hAnsi="Times New Roman"/>
          <w:sz w:val="18"/>
          <w:szCs w:val="18"/>
          <w:color w:val="auto"/>
        </w:rPr>
      </w:pPr>
    </w:p>
    <w:p>
      <w:pPr>
        <w:ind w:left="5300" w:hanging="178"/>
        <w:spacing w:after="0"/>
        <w:tabs>
          <w:tab w:leader="none" w:pos="5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5340" w:hanging="259"/>
        <w:spacing w:after="0"/>
        <w:tabs>
          <w:tab w:leader="none" w:pos="53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0" w:lineRule="exact"/>
        <w:rPr>
          <w:rFonts w:ascii="MS PGothic" w:cs="MS PGothic" w:eastAsia="MS PGothic" w:hAnsi="MS PGothic"/>
          <w:sz w:val="18"/>
          <w:szCs w:val="18"/>
          <w:color w:val="auto"/>
        </w:rPr>
      </w:pPr>
    </w:p>
    <w:p>
      <w:pPr>
        <w:ind w:right="1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4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1006475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49" w:right="259" w:bottom="1440" w:gutter="0" w:footer="0" w:header="0"/>
        </w:sectPr>
      </w:pPr>
    </w:p>
    <w:bookmarkStart w:id="1" w:name="page2"/>
    <w:bookmarkEnd w:id="1"/>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CUSIP No. 37045V100</w:t>
      </w:r>
      <w:r>
        <w:rPr>
          <w:sz w:val="20"/>
          <w:szCs w:val="20"/>
          <w:color w:val="auto"/>
        </w:rPr>
        <w:tab/>
      </w:r>
      <w:r>
        <w:rPr>
          <w:rFonts w:ascii="Times New Roman" w:cs="Times New Roman" w:eastAsia="Times New Roman" w:hAnsi="Times New Roman"/>
          <w:sz w:val="17"/>
          <w:szCs w:val="17"/>
          <w:color w:val="auto"/>
        </w:rPr>
        <w:t>Page 2 of 7 Pages</w:t>
      </w:r>
    </w:p>
    <w:p>
      <w:pPr>
        <w:spacing w:after="0" w:line="25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Canada Development Investment Corporation (see Item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(a) o</w:t>
      </w:r>
    </w:p>
    <w:p>
      <w:pPr>
        <w:spacing w:after="0" w:line="9"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240" w:hanging="452"/>
        <w:spacing w:after="0" w:line="514" w:lineRule="auto"/>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200" w:hanging="450"/>
        <w:spacing w:after="0"/>
        <w:tabs>
          <w:tab w:leader="none" w:pos="3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21" w:lineRule="exact"/>
        <w:rPr>
          <w:rFonts w:ascii="Times New Roman" w:cs="Times New Roman" w:eastAsia="Times New Roman" w:hAnsi="Times New Roman"/>
          <w:sz w:val="18"/>
          <w:szCs w:val="18"/>
          <w:b w:val="1"/>
          <w:bCs w:val="1"/>
          <w:color w:val="auto"/>
        </w:rPr>
      </w:pPr>
    </w:p>
    <w:p>
      <w:pPr>
        <w:ind w:left="3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19685</wp:posOffset>
            </wp:positionV>
            <wp:extent cx="55054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00" w:type="dxa"/>
            <w:vAlign w:val="bottom"/>
          </w:tcPr>
          <w:p>
            <w:pPr>
              <w:spacing w:after="0"/>
              <w:rPr>
                <w:sz w:val="20"/>
                <w:szCs w:val="20"/>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0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52139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550545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5450" cy="342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55054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342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SHARED DISPOSITIVE POWER:</w:t>
      </w:r>
    </w:p>
    <w:p>
      <w:pPr>
        <w:spacing w:after="0" w:line="225" w:lineRule="exact"/>
        <w:rPr>
          <w:sz w:val="20"/>
          <w:szCs w:val="20"/>
          <w:color w:val="auto"/>
        </w:rPr>
      </w:pPr>
    </w:p>
    <w:p>
      <w:pPr>
        <w:sectPr>
          <w:pgSz w:w="11900" w:h="16838" w:orient="portrait"/>
          <w:cols w:equalWidth="0" w:num="2">
            <w:col w:w="2840" w:space="360"/>
            <w:col w:w="8220"/>
          </w:cols>
          <w:pgMar w:left="240" w:top="904" w:right="239" w:bottom="1440" w:gutter="0" w:footer="0" w:header="0"/>
          <w:type w:val="continuous"/>
        </w:sectPr>
      </w:pP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5"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6.9%</w:t>
      </w:r>
    </w:p>
    <w:p>
      <w:pPr>
        <w:spacing w:after="0" w:line="4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 w:name="page3"/>
    <w:bookmarkEnd w:id="2"/>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CUSIP No. 37045V100</w:t>
      </w:r>
      <w:r>
        <w:rPr>
          <w:sz w:val="20"/>
          <w:szCs w:val="20"/>
          <w:color w:val="auto"/>
        </w:rPr>
        <w:tab/>
      </w:r>
      <w:r>
        <w:rPr>
          <w:rFonts w:ascii="Times New Roman" w:cs="Times New Roman" w:eastAsia="Times New Roman" w:hAnsi="Times New Roman"/>
          <w:sz w:val="17"/>
          <w:szCs w:val="17"/>
          <w:color w:val="auto"/>
        </w:rPr>
        <w:t>Page 3 of 7 Pages</w:t>
      </w:r>
    </w:p>
    <w:p>
      <w:pPr>
        <w:spacing w:after="0" w:line="25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Canada GEN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(a) o</w:t>
      </w:r>
    </w:p>
    <w:p>
      <w:pPr>
        <w:spacing w:after="0" w:line="9"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240" w:hanging="452"/>
        <w:spacing w:after="0" w:line="514" w:lineRule="auto"/>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200" w:hanging="450"/>
        <w:spacing w:after="0"/>
        <w:tabs>
          <w:tab w:leader="none" w:pos="3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21" w:lineRule="exact"/>
        <w:rPr>
          <w:rFonts w:ascii="Times New Roman" w:cs="Times New Roman" w:eastAsia="Times New Roman" w:hAnsi="Times New Roman"/>
          <w:sz w:val="18"/>
          <w:szCs w:val="18"/>
          <w:b w:val="1"/>
          <w:bCs w:val="1"/>
          <w:color w:val="auto"/>
        </w:rPr>
      </w:pPr>
    </w:p>
    <w:p>
      <w:pPr>
        <w:ind w:left="3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19685</wp:posOffset>
            </wp:positionV>
            <wp:extent cx="55054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545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00" w:type="dxa"/>
            <w:vAlign w:val="bottom"/>
          </w:tcPr>
          <w:p>
            <w:pPr>
              <w:spacing w:after="0"/>
              <w:rPr>
                <w:sz w:val="20"/>
                <w:szCs w:val="20"/>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0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52139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55054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5450" cy="342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550545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342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SHARED DISPOSITIVE POWER:</w:t>
      </w:r>
    </w:p>
    <w:p>
      <w:pPr>
        <w:spacing w:after="0" w:line="225" w:lineRule="exact"/>
        <w:rPr>
          <w:sz w:val="20"/>
          <w:szCs w:val="20"/>
          <w:color w:val="auto"/>
        </w:rPr>
      </w:pPr>
    </w:p>
    <w:p>
      <w:pPr>
        <w:sectPr>
          <w:pgSz w:w="11900" w:h="16838" w:orient="portrait"/>
          <w:cols w:equalWidth="0" w:num="2">
            <w:col w:w="2840" w:space="360"/>
            <w:col w:w="8220"/>
          </w:cols>
          <w:pgMar w:left="240" w:top="904" w:right="239" w:bottom="1440" w:gutter="0" w:footer="0" w:header="0"/>
          <w:type w:val="continuous"/>
        </w:sectPr>
      </w:pP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110,084,746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5"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6.9%</w:t>
      </w:r>
    </w:p>
    <w:p>
      <w:pPr>
        <w:spacing w:after="0" w:line="4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37045V100</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w w:val="98"/>
              </w:rPr>
              <w:t>Page 4 of 7 Pages</w:t>
            </w: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Name of Issuer</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1160" w:type="dxa"/>
            <w:vAlign w:val="bottom"/>
          </w:tcPr>
          <w:p>
            <w:pPr>
              <w:spacing w:after="0"/>
              <w:rPr>
                <w:sz w:val="24"/>
                <w:szCs w:val="24"/>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General Motors Company (the “Company”)</w:t>
            </w:r>
          </w:p>
        </w:tc>
      </w:tr>
      <w:tr>
        <w:trPr>
          <w:trHeight w:val="20"/>
        </w:trPr>
        <w:tc>
          <w:tcPr>
            <w:tcW w:w="1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Address of Issuer’s Principal Executive Offices</w:t>
            </w:r>
          </w:p>
        </w:tc>
        <w:tc>
          <w:tcPr>
            <w:tcW w:w="6840" w:type="dxa"/>
            <w:vAlign w:val="bottom"/>
            <w:gridSpan w:val="7"/>
          </w:tcPr>
          <w:p>
            <w:pPr>
              <w:spacing w:after="0"/>
              <w:rPr>
                <w:sz w:val="24"/>
                <w:szCs w:val="24"/>
                <w:color w:val="auto"/>
              </w:rPr>
            </w:pPr>
          </w:p>
        </w:tc>
      </w:tr>
      <w:tr>
        <w:trPr>
          <w:trHeight w:val="434"/>
        </w:trPr>
        <w:tc>
          <w:tcPr>
            <w:tcW w:w="1160" w:type="dxa"/>
            <w:vAlign w:val="bottom"/>
          </w:tcPr>
          <w:p>
            <w:pPr>
              <w:spacing w:after="0"/>
              <w:rPr>
                <w:sz w:val="24"/>
                <w:szCs w:val="24"/>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300 Renaissance Center</w:t>
            </w:r>
          </w:p>
        </w:tc>
      </w:tr>
      <w:tr>
        <w:trPr>
          <w:trHeight w:val="234"/>
        </w:trPr>
        <w:tc>
          <w:tcPr>
            <w:tcW w:w="116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Detroit, Michigan</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48265-3000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Name of Person Filing</w:t>
            </w:r>
          </w:p>
        </w:tc>
        <w:tc>
          <w:tcPr>
            <w:tcW w:w="8620" w:type="dxa"/>
            <w:vAlign w:val="bottom"/>
            <w:gridSpan w:val="11"/>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Canada Development Investment Corporation (“CDEV”)</w:t>
            </w:r>
          </w:p>
        </w:tc>
      </w:tr>
      <w:tr>
        <w:trPr>
          <w:trHeight w:val="20"/>
        </w:trPr>
        <w:tc>
          <w:tcPr>
            <w:tcW w:w="1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Canada GEN Investment Corporation (“Canada GEN”)</w:t>
            </w:r>
          </w:p>
        </w:tc>
      </w:tr>
      <w:tr>
        <w:trPr>
          <w:trHeight w:val="20"/>
        </w:trPr>
        <w:tc>
          <w:tcPr>
            <w:tcW w:w="1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34"/>
        </w:trPr>
        <w:tc>
          <w:tcPr>
            <w:tcW w:w="1160" w:type="dxa"/>
            <w:vAlign w:val="bottom"/>
          </w:tcPr>
          <w:p>
            <w:pPr>
              <w:spacing w:after="0"/>
              <w:rPr>
                <w:sz w:val="24"/>
                <w:szCs w:val="24"/>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Canada GEN is a wholly-owned subsidiary of CDEV and the direct owner and record holder of the reported securities. CDEV is an indirect</w:t>
            </w:r>
          </w:p>
        </w:tc>
      </w:tr>
      <w:tr>
        <w:trPr>
          <w:trHeight w:val="216"/>
        </w:trPr>
        <w:tc>
          <w:tcPr>
            <w:tcW w:w="1160" w:type="dxa"/>
            <w:vAlign w:val="bottom"/>
          </w:tcPr>
          <w:p>
            <w:pPr>
              <w:spacing w:after="0"/>
              <w:rPr>
                <w:sz w:val="18"/>
                <w:szCs w:val="18"/>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beneficial owner of the reported securities. CDEV is a Canadian federal Crown corporation, meaning that it is a business corporation</w:t>
            </w:r>
          </w:p>
        </w:tc>
      </w:tr>
      <w:tr>
        <w:trPr>
          <w:trHeight w:val="194"/>
        </w:trPr>
        <w:tc>
          <w:tcPr>
            <w:tcW w:w="1160" w:type="dxa"/>
            <w:vAlign w:val="bottom"/>
          </w:tcPr>
          <w:p>
            <w:pPr>
              <w:spacing w:after="0"/>
              <w:rPr>
                <w:sz w:val="16"/>
                <w:szCs w:val="16"/>
                <w:color w:val="auto"/>
              </w:rPr>
            </w:pPr>
          </w:p>
        </w:tc>
        <w:tc>
          <w:tcPr>
            <w:tcW w:w="102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auto"/>
              </w:rPr>
              <w:t>established under the Canada Business Corporations Act, owned by the federal Government of Canada (“Government of Canada”).</w:t>
            </w: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2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Address of Principal Business Office or, if none, Residence</w:t>
            </w:r>
          </w:p>
        </w:tc>
        <w:tc>
          <w:tcPr>
            <w:tcW w:w="33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677"/>
        </w:trPr>
        <w:tc>
          <w:tcPr>
            <w:tcW w:w="11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994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Canada Development Investment Corporation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4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1240 Bay Street, Suite 302</w:t>
            </w:r>
          </w:p>
        </w:tc>
      </w:tr>
      <w:tr>
        <w:trPr>
          <w:trHeight w:val="234"/>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Toronto, Ontario M5R 2A7</w:t>
            </w:r>
          </w:p>
        </w:tc>
      </w:tr>
      <w:tr>
        <w:trPr>
          <w:trHeight w:val="414"/>
        </w:trPr>
        <w:tc>
          <w:tcPr>
            <w:tcW w:w="1160" w:type="dxa"/>
            <w:vAlign w:val="bottom"/>
          </w:tcPr>
          <w:p>
            <w:pPr>
              <w:spacing w:after="0"/>
              <w:rPr>
                <w:sz w:val="24"/>
                <w:szCs w:val="24"/>
                <w:color w:val="auto"/>
              </w:rPr>
            </w:pP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(ii)   Canada GEN Investment Corporation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4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1240 Bay Street, Suite 302</w:t>
            </w:r>
          </w:p>
        </w:tc>
      </w:tr>
      <w:tr>
        <w:trPr>
          <w:trHeight w:val="234"/>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Toronto, Ontario M5R 2A7</w:t>
            </w:r>
          </w:p>
        </w:tc>
      </w:tr>
      <w:tr>
        <w:trPr>
          <w:trHeight w:val="4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Citizenship</w:t>
            </w:r>
          </w:p>
        </w:tc>
        <w:tc>
          <w:tcPr>
            <w:tcW w:w="5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Canada</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u w:val="single" w:color="auto"/>
          <w:color w:val="auto"/>
        </w:rPr>
        <w:t>Title of Class of Securities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Number</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37045V100</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auto"/>
        </w:rPr>
        <w:t>If this statement is filed pursuant to Rules 13d-1(b), or 13d-2(b) or (c), check whether the person filing is 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auto"/>
        </w:rPr>
        <w:t>Ownership</w:t>
      </w:r>
    </w:p>
    <w:p>
      <w:pPr>
        <w:spacing w:after="0" w:line="252" w:lineRule="exact"/>
        <w:rPr>
          <w:sz w:val="20"/>
          <w:szCs w:val="20"/>
          <w:color w:val="auto"/>
        </w:rPr>
      </w:pPr>
    </w:p>
    <w:p>
      <w:pPr>
        <w:ind w:left="1620" w:hanging="464"/>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6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GEN is the direct owner and record holder of 110,084,746 shares of Common Stock. CDEV is the sole shareholder of Canada GEN and may be deemed to have beneficial ownership of the Common Stock owned by Canada 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CUSIP No. 37045V100</w:t>
      </w:r>
      <w:r>
        <w:rPr>
          <w:sz w:val="20"/>
          <w:szCs w:val="20"/>
          <w:color w:val="auto"/>
        </w:rPr>
        <w:tab/>
      </w:r>
      <w:r>
        <w:rPr>
          <w:rFonts w:ascii="Times New Roman" w:cs="Times New Roman" w:eastAsia="Times New Roman" w:hAnsi="Times New Roman"/>
          <w:sz w:val="17"/>
          <w:szCs w:val="17"/>
          <w:color w:val="auto"/>
        </w:rPr>
        <w:t>Page 5 of 7 Pages</w:t>
      </w:r>
    </w:p>
    <w:p>
      <w:pPr>
        <w:spacing w:after="0" w:line="225" w:lineRule="exact"/>
        <w:rPr>
          <w:sz w:val="20"/>
          <w:szCs w:val="20"/>
          <w:color w:val="auto"/>
        </w:rPr>
      </w:pPr>
    </w:p>
    <w:p>
      <w:pPr>
        <w:ind w:left="1620" w:hanging="464"/>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11 on pages 2 and 3.</w:t>
      </w:r>
    </w:p>
    <w:p>
      <w:pPr>
        <w:spacing w:after="0" w:line="225" w:lineRule="exact"/>
        <w:rPr>
          <w:rFonts w:ascii="Times New Roman" w:cs="Times New Roman" w:eastAsia="Times New Roman" w:hAnsi="Times New Roman"/>
          <w:sz w:val="18"/>
          <w:szCs w:val="18"/>
          <w:color w:val="auto"/>
        </w:rPr>
      </w:pPr>
    </w:p>
    <w:p>
      <w:pPr>
        <w:ind w:left="1620" w:hanging="464"/>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080" w:right="6520" w:hanging="465"/>
        <w:spacing w:after="0" w:line="501" w:lineRule="auto"/>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pages 2 and 3.</w:t>
      </w:r>
    </w:p>
    <w:p>
      <w:pPr>
        <w:ind w:left="2080" w:right="6340" w:hanging="465"/>
        <w:spacing w:after="0" w:line="501" w:lineRule="auto"/>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on pages 2 and 3.</w:t>
      </w:r>
    </w:p>
    <w:p>
      <w:pPr>
        <w:ind w:left="2080" w:right="5620" w:hanging="465"/>
        <w:spacing w:after="0" w:line="501" w:lineRule="auto"/>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on pages 2 and 3.</w:t>
      </w:r>
    </w:p>
    <w:p>
      <w:pPr>
        <w:ind w:left="2080" w:right="5440" w:hanging="465"/>
        <w:spacing w:after="0" w:line="501" w:lineRule="auto"/>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on pages 2 and 3.</w:t>
      </w: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p>
    <w:p>
      <w:pPr>
        <w:spacing w:after="0" w:line="225" w:lineRule="exact"/>
        <w:rPr>
          <w:sz w:val="20"/>
          <w:szCs w:val="20"/>
          <w:color w:val="auto"/>
        </w:rPr>
      </w:pPr>
    </w:p>
    <w:p>
      <w:pPr>
        <w:ind w:left="1160" w:right="60"/>
        <w:spacing w:after="0" w:line="266" w:lineRule="auto"/>
        <w:rPr>
          <w:sz w:val="20"/>
          <w:szCs w:val="20"/>
          <w:color w:val="auto"/>
        </w:rPr>
      </w:pPr>
      <w:r>
        <w:rPr>
          <w:rFonts w:ascii="Times New Roman" w:cs="Times New Roman" w:eastAsia="Times New Roman" w:hAnsi="Times New Roman"/>
          <w:sz w:val="18"/>
          <w:szCs w:val="18"/>
          <w:color w:val="auto"/>
        </w:rPr>
        <w:t>Pursuant to an arrangement between the Government of Canada and the Province of Ontario, the Government of Canada has committed to provide the Province of Ontario with one-third of the net proceeds from the sale of any Common Stock held by Canada GEN and one-third of any dividends received by Canada GEN, less certain costs.</w:t>
      </w:r>
    </w:p>
    <w:p>
      <w:pPr>
        <w:spacing w:after="0" w:line="17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p>
    <w:p>
      <w:pPr>
        <w:spacing w:after="0" w:line="225" w:lineRule="exact"/>
        <w:rPr>
          <w:sz w:val="20"/>
          <w:szCs w:val="20"/>
          <w:color w:val="auto"/>
        </w:rPr>
      </w:pPr>
    </w:p>
    <w:p>
      <w:pPr>
        <w:ind w:left="1160" w:right="20"/>
        <w:spacing w:after="0" w:line="258" w:lineRule="auto"/>
        <w:rPr>
          <w:sz w:val="20"/>
          <w:szCs w:val="20"/>
          <w:color w:val="auto"/>
        </w:rPr>
      </w:pPr>
      <w:r>
        <w:rPr>
          <w:rFonts w:ascii="Times New Roman" w:cs="Times New Roman" w:eastAsia="Times New Roman" w:hAnsi="Times New Roman"/>
          <w:sz w:val="18"/>
          <w:szCs w:val="18"/>
          <w:color w:val="auto"/>
        </w:rPr>
        <w:t>Canada GEN is a party 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dated as of October 15, 2009, by and among the Company, the United States Department of the Treasury (“</w:t>
      </w:r>
      <w:r>
        <w:rPr>
          <w:rFonts w:ascii="Times New Roman" w:cs="Times New Roman" w:eastAsia="Times New Roman" w:hAnsi="Times New Roman"/>
          <w:sz w:val="18"/>
          <w:szCs w:val="18"/>
          <w:u w:val="single" w:color="auto"/>
          <w:color w:val="auto"/>
        </w:rPr>
        <w:t>UST</w:t>
      </w:r>
      <w:r>
        <w:rPr>
          <w:rFonts w:ascii="Times New Roman" w:cs="Times New Roman" w:eastAsia="Times New Roman" w:hAnsi="Times New Roman"/>
          <w:sz w:val="18"/>
          <w:szCs w:val="18"/>
          <w:color w:val="auto"/>
        </w:rPr>
        <w:t>”), 7176384 Canada Inc. (now known as Canada GEN), UAW Retiree Medical Benefits Trust (“</w:t>
      </w:r>
      <w:r>
        <w:rPr>
          <w:rFonts w:ascii="Times New Roman" w:cs="Times New Roman" w:eastAsia="Times New Roman" w:hAnsi="Times New Roman"/>
          <w:sz w:val="18"/>
          <w:szCs w:val="18"/>
          <w:u w:val="single" w:color="auto"/>
          <w:color w:val="auto"/>
        </w:rPr>
        <w:t>VEBA</w:t>
      </w:r>
      <w:r>
        <w:rPr>
          <w:rFonts w:ascii="Times New Roman" w:cs="Times New Roman" w:eastAsia="Times New Roman" w:hAnsi="Times New Roman"/>
          <w:sz w:val="18"/>
          <w:szCs w:val="18"/>
          <w:color w:val="auto"/>
        </w:rPr>
        <w:t>”) and, solely for the purposes of Section 6.20 thereof, General Motors LLC. The Stockholders Agreement is filed as Exhibit 10.8 to the Company’s current Report on Form 8-K (File No. 333-160471)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16, 2009.</w:t>
      </w:r>
    </w:p>
    <w:p>
      <w:pPr>
        <w:spacing w:after="0" w:line="184" w:lineRule="exact"/>
        <w:rPr>
          <w:sz w:val="20"/>
          <w:szCs w:val="20"/>
          <w:color w:val="auto"/>
        </w:rPr>
      </w:pPr>
    </w:p>
    <w:p>
      <w:pPr>
        <w:ind w:left="1160" w:right="20"/>
        <w:spacing w:after="0" w:line="282" w:lineRule="auto"/>
        <w:rPr>
          <w:sz w:val="20"/>
          <w:szCs w:val="20"/>
          <w:color w:val="auto"/>
        </w:rPr>
      </w:pPr>
      <w:r>
        <w:rPr>
          <w:rFonts w:ascii="Times New Roman" w:cs="Times New Roman" w:eastAsia="Times New Roman" w:hAnsi="Times New Roman"/>
          <w:sz w:val="18"/>
          <w:szCs w:val="18"/>
          <w:color w:val="auto"/>
        </w:rPr>
        <w:t>The Stockholders Agreement obligates Canada GEN to vote in favor of VEBA’s nominee to the board of directors of the Company for so long as VEBA holds at least 50% of the shares of Common Stock it held in its initial investment in the Company.</w:t>
      </w:r>
    </w:p>
    <w:p>
      <w:pPr>
        <w:spacing w:after="0" w:line="162" w:lineRule="exact"/>
        <w:rPr>
          <w:sz w:val="20"/>
          <w:szCs w:val="20"/>
          <w:color w:val="auto"/>
        </w:rPr>
      </w:pPr>
    </w:p>
    <w:p>
      <w:pPr>
        <w:ind w:left="1160" w:right="120"/>
        <w:spacing w:after="0" w:line="266" w:lineRule="auto"/>
        <w:rPr>
          <w:sz w:val="20"/>
          <w:szCs w:val="20"/>
          <w:color w:val="auto"/>
        </w:rPr>
      </w:pPr>
      <w:r>
        <w:rPr>
          <w:rFonts w:ascii="Times New Roman" w:cs="Times New Roman" w:eastAsia="Times New Roman" w:hAnsi="Times New Roman"/>
          <w:sz w:val="18"/>
          <w:szCs w:val="18"/>
          <w:color w:val="auto"/>
        </w:rPr>
        <w:t>The Stockholders Agreement also prohibits Canada GEN and VEBA from transferring all or any portion of their Common Stock without the consent of the Company’s board of directors to either (i) any person or group who would thereafter beneficially own more than 10% of the Common Stock, or (ii) any automotive vehicle manufacturer or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CUSIP No. 37045V100</w:t>
      </w:r>
      <w:r>
        <w:rPr>
          <w:sz w:val="20"/>
          <w:szCs w:val="20"/>
          <w:color w:val="auto"/>
        </w:rPr>
        <w:tab/>
      </w:r>
      <w:r>
        <w:rPr>
          <w:rFonts w:ascii="Times New Roman" w:cs="Times New Roman" w:eastAsia="Times New Roman" w:hAnsi="Times New Roman"/>
          <w:sz w:val="17"/>
          <w:szCs w:val="17"/>
          <w:color w:val="auto"/>
        </w:rPr>
        <w:t>Page 6 of 7 Pages</w:t>
      </w:r>
    </w:p>
    <w:p>
      <w:pPr>
        <w:spacing w:after="0" w:line="200" w:lineRule="exact"/>
        <w:rPr>
          <w:sz w:val="20"/>
          <w:szCs w:val="20"/>
          <w:color w:val="auto"/>
        </w:rPr>
      </w:pPr>
    </w:p>
    <w:p>
      <w:pPr>
        <w:spacing w:after="0" w:line="241" w:lineRule="exact"/>
        <w:rPr>
          <w:sz w:val="20"/>
          <w:szCs w:val="20"/>
          <w:color w:val="auto"/>
        </w:rPr>
      </w:pPr>
    </w:p>
    <w:p>
      <w:pPr>
        <w:ind w:left="1160" w:right="80"/>
        <w:spacing w:after="0" w:line="261" w:lineRule="auto"/>
        <w:rPr>
          <w:sz w:val="20"/>
          <w:szCs w:val="20"/>
          <w:color w:val="auto"/>
        </w:rPr>
      </w:pPr>
      <w:r>
        <w:rPr>
          <w:rFonts w:ascii="Times New Roman" w:cs="Times New Roman" w:eastAsia="Times New Roman" w:hAnsi="Times New Roman"/>
          <w:sz w:val="18"/>
          <w:szCs w:val="18"/>
          <w:color w:val="auto"/>
        </w:rPr>
        <w:t>Canada GEN and VEBA (based on VEBA’s Form 4 filings with the SEC) collectively have beneficial ownership of 250,234,746 shares of Common Stock. This represents 15.7% of the outstanding Common Stock based on a total of 1,589,788,282 shares of Common Stock outstanding. The Common Stock ownership reported by Canada GEN does not include any Common Stock owned by the other parties to the Stockholders Agreement, except to the extent already disclosed in this Schedule 13G.</w:t>
      </w:r>
    </w:p>
    <w:p>
      <w:pPr>
        <w:spacing w:after="0" w:line="1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CUSIP No. 37045V100</w:t>
      </w:r>
      <w:r>
        <w:rPr>
          <w:sz w:val="20"/>
          <w:szCs w:val="20"/>
          <w:color w:val="auto"/>
        </w:rPr>
        <w:tab/>
      </w:r>
      <w:r>
        <w:rPr>
          <w:rFonts w:ascii="Times New Roman" w:cs="Times New Roman" w:eastAsia="Times New Roman" w:hAnsi="Times New Roman"/>
          <w:sz w:val="17"/>
          <w:szCs w:val="17"/>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correct.</w:t>
            </w: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6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2014</w:t>
            </w:r>
          </w:p>
        </w:tc>
        <w:tc>
          <w:tcPr>
            <w:tcW w:w="74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CANADA GEN INVESTMENT CORPORATION</w:t>
            </w:r>
          </w:p>
        </w:tc>
      </w:tr>
      <w:tr>
        <w:trPr>
          <w:trHeight w:val="648"/>
        </w:trPr>
        <w:tc>
          <w:tcPr>
            <w:tcW w:w="4000" w:type="dxa"/>
            <w:vAlign w:val="bottom"/>
          </w:tcPr>
          <w:p>
            <w:pPr>
              <w:spacing w:after="0"/>
              <w:rPr>
                <w:sz w:val="24"/>
                <w:szCs w:val="24"/>
                <w:color w:val="auto"/>
              </w:rPr>
            </w:pPr>
          </w:p>
        </w:tc>
        <w:tc>
          <w:tcPr>
            <w:tcW w:w="74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Michael Carter</w:t>
            </w:r>
          </w:p>
        </w:tc>
      </w:tr>
      <w:tr>
        <w:trPr>
          <w:trHeight w:val="191"/>
        </w:trPr>
        <w:tc>
          <w:tcPr>
            <w:tcW w:w="4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Carter</w:t>
            </w:r>
          </w:p>
        </w:tc>
      </w:tr>
      <w:tr>
        <w:trPr>
          <w:trHeight w:val="234"/>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432"/>
        </w:trPr>
        <w:tc>
          <w:tcPr>
            <w:tcW w:w="4000" w:type="dxa"/>
            <w:vAlign w:val="bottom"/>
          </w:tcPr>
          <w:p>
            <w:pPr>
              <w:spacing w:after="0"/>
              <w:rPr>
                <w:sz w:val="24"/>
                <w:szCs w:val="24"/>
                <w:color w:val="auto"/>
              </w:rPr>
            </w:pPr>
          </w:p>
        </w:tc>
        <w:tc>
          <w:tcPr>
            <w:tcW w:w="74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CANADA DEVELOPMENT INVESTMENT CORPORATION</w:t>
            </w:r>
          </w:p>
        </w:tc>
      </w:tr>
      <w:tr>
        <w:trPr>
          <w:trHeight w:val="648"/>
        </w:trPr>
        <w:tc>
          <w:tcPr>
            <w:tcW w:w="4000" w:type="dxa"/>
            <w:vAlign w:val="bottom"/>
          </w:tcPr>
          <w:p>
            <w:pPr>
              <w:spacing w:after="0"/>
              <w:rPr>
                <w:sz w:val="24"/>
                <w:szCs w:val="24"/>
                <w:color w:val="auto"/>
              </w:rPr>
            </w:pPr>
          </w:p>
        </w:tc>
        <w:tc>
          <w:tcPr>
            <w:tcW w:w="74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Michael Carter</w:t>
            </w:r>
          </w:p>
        </w:tc>
      </w:tr>
      <w:tr>
        <w:trPr>
          <w:trHeight w:val="191"/>
        </w:trPr>
        <w:tc>
          <w:tcPr>
            <w:tcW w:w="4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Carter</w:t>
            </w:r>
          </w:p>
        </w:tc>
      </w:tr>
      <w:tr>
        <w:trPr>
          <w:trHeight w:val="234"/>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Vice-President</w:t>
            </w:r>
          </w:p>
        </w:tc>
      </w:tr>
      <w:tr>
        <w:trPr>
          <w:trHeight w:val="648"/>
        </w:trPr>
        <w:tc>
          <w:tcPr>
            <w:tcW w:w="4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5"/>
      <w:numFmt w:val="bullet"/>
      <w:start w:val="1"/>
    </w:lvl>
  </w:abstractNum>
  <w:abstractNum w:abstractNumId="7">
    <w:nsid w:val="DED7263"/>
    <w:multiLevelType w:val="hybridMultilevel"/>
    <w:lvl w:ilvl="0">
      <w:lvlJc w:val="left"/>
      <w:lvlText w:val="9"/>
      <w:numFmt w:val="bullet"/>
      <w:start w:val="1"/>
    </w:lvl>
  </w:abstractNum>
  <w:abstractNum w:abstractNumId="8">
    <w:nsid w:val="7FDCC233"/>
    <w:multiLevelType w:val="hybridMultilevel"/>
    <w:lvl w:ilvl="0">
      <w:lvlJc w:val="left"/>
      <w:lvlText w:val="%1"/>
      <w:numFmt w:val="decimal"/>
      <w:start w:val="10"/>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4"/>
      <w:numFmt w:val="bullet"/>
      <w:start w:val="1"/>
    </w:lvl>
  </w:abstractNum>
  <w:abstractNum w:abstractNumId="14">
    <w:nsid w:val="519B500D"/>
    <w:multiLevelType w:val="hybridMultilevel"/>
    <w:lvl w:ilvl="0">
      <w:lvlJc w:val="left"/>
      <w:lvlText w:val="5"/>
      <w:numFmt w:val="bullet"/>
      <w:start w:val="1"/>
    </w:lvl>
  </w:abstractNum>
  <w:abstractNum w:abstractNumId="15">
    <w:nsid w:val="431BD7B7"/>
    <w:multiLevelType w:val="hybridMultilevel"/>
    <w:lvl w:ilvl="0">
      <w:lvlJc w:val="left"/>
      <w:lvlText w:val="9"/>
      <w:numFmt w:val="bullet"/>
      <w:start w:val="1"/>
    </w:lvl>
  </w:abstractNum>
  <w:abstractNum w:abstractNumId="16">
    <w:nsid w:val="3F2DBA31"/>
    <w:multiLevelType w:val="hybridMultilevel"/>
    <w:lvl w:ilvl="0">
      <w:lvlJc w:val="left"/>
      <w:lvlText w:val="%1"/>
      <w:numFmt w:val="decimal"/>
      <w:start w:val="10"/>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2019-12-07T21:02:29Z</dcterms:created>
  <dcterms:modified xsi:type="dcterms:W3CDTF">2019-12-07T21:02:29Z</dcterms:modified>
</cp:coreProperties>
</file>