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30, 2024</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ectPr>
          <w:pgSz w:w="11900" w:h="16838" w:orient="portrait"/>
          <w:cols w:equalWidth="0" w:num="1">
            <w:col w:w="11100"/>
          </w:cols>
          <w:pgMar w:left="320" w:top="1440" w:right="479" w:bottom="1440" w:gutter="0" w:footer="0" w:header="0"/>
        </w:sectPr>
      </w:pPr>
    </w:p>
    <w:p>
      <w:pPr>
        <w:spacing w:after="0" w:line="1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7" w:lineRule="exact"/>
        <w:rPr>
          <w:sz w:val="24"/>
          <w:szCs w:val="24"/>
          <w:color w:val="auto"/>
        </w:rPr>
      </w:pPr>
    </w:p>
    <w:p>
      <w:pPr>
        <w:sectPr>
          <w:pgSz w:w="11900" w:h="16838" w:orient="portrait"/>
          <w:cols w:equalWidth="0" w:num="3">
            <w:col w:w="4660" w:space="720"/>
            <w:col w:w="2820" w:space="720"/>
            <w:col w:w="2180"/>
          </w:cols>
          <w:pgMar w:left="320" w:top="1440"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9" w:lineRule="exact"/>
        <w:rPr>
          <w:sz w:val="24"/>
          <w:szCs w:val="24"/>
          <w:color w:val="auto"/>
        </w:rPr>
      </w:pPr>
    </w:p>
    <w:p>
      <w:pPr>
        <w:sectPr>
          <w:pgSz w:w="11900" w:h="16838" w:orient="portrait"/>
          <w:cols w:equalWidth="0" w:num="3">
            <w:col w:w="4060" w:space="720"/>
            <w:col w:w="2560" w:space="720"/>
            <w:col w:w="3040"/>
          </w:cols>
          <w:pgMar w:left="320" w:top="1440" w:right="479" w:bottom="1440" w:gutter="0" w:footer="0" w:header="0"/>
          <w:type w:val="continuous"/>
        </w:sectPr>
      </w:pPr>
    </w:p>
    <w:p>
      <w:pPr>
        <w:ind w:left="780"/>
        <w:spacing w:after="0"/>
        <w:tabs>
          <w:tab w:leader="none" w:pos="2800" w:val="left"/>
          <w:tab w:leader="none" w:pos="3580" w:val="left"/>
        </w:tabs>
        <w:rPr>
          <w:sz w:val="20"/>
          <w:szCs w:val="20"/>
          <w:color w:val="auto"/>
        </w:rPr>
      </w:pPr>
      <w:r>
        <w:rPr>
          <w:rFonts w:ascii="Times New Roman" w:cs="Times New Roman" w:eastAsia="Times New Roman" w:hAnsi="Times New Roman"/>
          <w:sz w:val="18"/>
          <w:szCs w:val="18"/>
          <w:b w:val="1"/>
          <w:bCs w:val="1"/>
          <w:color w:val="auto"/>
        </w:rPr>
        <w:t>300 Renaissance Center,</w:t>
        <w:tab/>
        <w:t>Detroit,</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60"/>
        <w:spacing w:after="0"/>
        <w:rPr>
          <w:sz w:val="20"/>
          <w:szCs w:val="20"/>
          <w:color w:val="auto"/>
        </w:rPr>
      </w:pPr>
      <w:r>
        <w:rPr>
          <w:rFonts w:ascii="Times New Roman" w:cs="Times New Roman" w:eastAsia="Times New Roman" w:hAnsi="Times New Roman"/>
          <w:sz w:val="17"/>
          <w:szCs w:val="17"/>
          <w:b w:val="1"/>
          <w:bCs w:val="1"/>
          <w:color w:val="auto"/>
        </w:rPr>
        <w:t>48265 -3000</w:t>
      </w:r>
    </w:p>
    <w:p>
      <w:pPr>
        <w:spacing w:after="0" w:line="43"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20" w:space="720"/>
            <w:col w:w="2860"/>
          </w:cols>
          <w:pgMar w:left="320" w:top="1440" w:right="479" w:bottom="1440" w:gutter="0" w:footer="0" w:header="0"/>
          <w:type w:val="continuous"/>
        </w:sectPr>
      </w:pPr>
    </w:p>
    <w:p>
      <w:pPr>
        <w:spacing w:after="0" w:line="1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9" w:lineRule="exact"/>
        <w:rPr>
          <w:rFonts w:ascii="MS PGothic" w:cs="MS PGothic" w:eastAsia="MS PGothic" w:hAnsi="MS PGothic"/>
          <w:sz w:val="18"/>
          <w:szCs w:val="18"/>
          <w:color w:val="auto"/>
        </w:rPr>
      </w:pPr>
    </w:p>
    <w:p>
      <w:pPr>
        <w:ind w:left="3760" w:right="3240" w:hanging="3714"/>
        <w:spacing w:after="0" w:line="414"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3"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40" w:type="dxa"/>
            <w:vAlign w:val="bottom"/>
          </w:tcPr>
          <w:p>
            <w:pPr>
              <w:spacing w:after="0"/>
              <w:rPr>
                <w:sz w:val="16"/>
                <w:szCs w:val="16"/>
                <w:color w:val="auto"/>
              </w:rPr>
            </w:pP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3680" w:type="dxa"/>
            <w:vAlign w:val="bottom"/>
            <w:gridSpan w:val="3"/>
          </w:tcPr>
          <w:p>
            <w:pPr>
              <w:jc w:val="center"/>
              <w:ind w:right="15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On January 30, 2024, General Motors Company (GM) issued a news release and supplemental materials on the subject of its 2023 fourth quarter and full year consolidated earnings. The news release and supplemental materials are attached as Exhibit 99.1.</w:t>
      </w:r>
    </w:p>
    <w:p>
      <w:pPr>
        <w:spacing w:after="0" w:line="189"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Charts furnished to securities analysts in connection with GM's 2023 fourth quarter and full year consolidated earnings release are available on GM's website at www.gm.com/investors/earnings-releases.html.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560" w:type="dxa"/>
            <w:vAlign w:val="bottom"/>
            <w:gridSpan w:val="4"/>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6"/>
        </w:trPr>
        <w:tc>
          <w:tcPr>
            <w:tcW w:w="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60" w:type="dxa"/>
            <w:vAlign w:val="bottom"/>
            <w:tcBorders>
              <w:top w:val="single" w:sz="8" w:color="auto"/>
            </w:tcBorders>
          </w:tcPr>
          <w:p>
            <w:pPr>
              <w:spacing w:after="0"/>
              <w:rPr>
                <w:sz w:val="20"/>
                <w:szCs w:val="20"/>
                <w:color w:val="auto"/>
              </w:rPr>
            </w:pPr>
          </w:p>
        </w:tc>
        <w:tc>
          <w:tcPr>
            <w:tcW w:w="5240" w:type="dxa"/>
            <w:vAlign w:val="bottom"/>
            <w:gridSpan w:val="2"/>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News Release and Financial Highlights Dated January 30, 2024</w:t>
            </w:r>
          </w:p>
        </w:tc>
      </w:tr>
      <w:tr>
        <w:trPr>
          <w:trHeight w:val="20"/>
        </w:trPr>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8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743"/>
        </w:trPr>
        <w:tc>
          <w:tcPr>
            <w:tcW w:w="6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169"/>
        </w:trPr>
        <w:tc>
          <w:tcPr>
            <w:tcW w:w="60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 January 30, 2024</w:t>
            </w:r>
          </w:p>
        </w:tc>
        <w:tc>
          <w:tcPr>
            <w:tcW w:w="5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tc>
      </w:t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1450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640"/>
        <w:spacing w:after="0"/>
        <w:rPr>
          <w:sz w:val="20"/>
          <w:szCs w:val="20"/>
          <w:color w:val="auto"/>
        </w:rPr>
      </w:pPr>
      <w:r>
        <w:rPr>
          <w:rFonts w:ascii="Arial" w:cs="Arial" w:eastAsia="Arial" w:hAnsi="Arial"/>
          <w:sz w:val="52"/>
          <w:szCs w:val="52"/>
          <w:color w:val="6D6D6D"/>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219075</wp:posOffset>
            </wp:positionV>
            <wp:extent cx="6934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Tuesday, Jan. 30, 2024, at 6:30 a.m. ET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 Releases 2023 Fourth-Quarter and Full-Year Results, and 2024 Guidance</w:t>
      </w:r>
    </w:p>
    <w:p>
      <w:pPr>
        <w:spacing w:after="0" w:line="229"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reported fourth-quarter 2023 revenue of $43.0 billion, net income attributable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$2.1 billion and EBIT-adjusted of $1.8 billion.</w:t>
      </w:r>
    </w:p>
    <w:p>
      <w:pPr>
        <w:spacing w:after="0" w:line="18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GM reported full-year 2023 revenue of $171.8 billion, net income attributable to stockholders of $10.1 billion and EBIT-adjusted of $12.4 billion.</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chart below summarizes GM's 2023 financial guidance and 2023 results, as well as the company's 2024 guidance, which is for a year of strong financial performance.</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Final 2023 Guidance</w:t>
            </w:r>
          </w:p>
        </w:tc>
        <w:tc>
          <w:tcPr>
            <w:tcW w:w="17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2023 Results</w:t>
            </w:r>
          </w:p>
        </w:tc>
        <w:tc>
          <w:tcPr>
            <w:tcW w:w="30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2024 Guidance</w:t>
            </w:r>
          </w:p>
        </w:tc>
      </w:tr>
      <w:tr>
        <w:trPr>
          <w:trHeight w:val="210"/>
        </w:trPr>
        <w:tc>
          <w:tcPr>
            <w:tcW w:w="406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340" w:type="dxa"/>
            <w:vAlign w:val="bottom"/>
          </w:tcPr>
          <w:p>
            <w:pPr>
              <w:spacing w:after="0"/>
              <w:rPr>
                <w:sz w:val="20"/>
                <w:szCs w:val="20"/>
                <w:color w:val="auto"/>
              </w:rPr>
            </w:pPr>
            <w:r>
              <w:rPr>
                <w:rFonts w:ascii="Arial" w:cs="Arial" w:eastAsia="Arial" w:hAnsi="Arial"/>
                <w:sz w:val="16"/>
                <w:szCs w:val="16"/>
                <w:color w:val="auto"/>
              </w:rPr>
              <w:t>$9.1 billion - $9.7 billion</w:t>
            </w:r>
          </w:p>
        </w:tc>
        <w:tc>
          <w:tcPr>
            <w:tcW w:w="1720" w:type="dxa"/>
            <w:vAlign w:val="bottom"/>
          </w:tcPr>
          <w:p>
            <w:pPr>
              <w:ind w:left="460"/>
              <w:spacing w:after="0"/>
              <w:rPr>
                <w:sz w:val="20"/>
                <w:szCs w:val="20"/>
                <w:color w:val="auto"/>
              </w:rPr>
            </w:pPr>
            <w:r>
              <w:rPr>
                <w:rFonts w:ascii="Arial" w:cs="Arial" w:eastAsia="Arial" w:hAnsi="Arial"/>
                <w:sz w:val="16"/>
                <w:szCs w:val="16"/>
                <w:color w:val="auto"/>
              </w:rPr>
              <w:t>$10.1 billion</w:t>
            </w:r>
          </w:p>
        </w:tc>
        <w:tc>
          <w:tcPr>
            <w:tcW w:w="3080" w:type="dxa"/>
            <w:vAlign w:val="bottom"/>
          </w:tcPr>
          <w:p>
            <w:pPr>
              <w:ind w:left="320"/>
              <w:spacing w:after="0"/>
              <w:rPr>
                <w:sz w:val="20"/>
                <w:szCs w:val="20"/>
                <w:color w:val="auto"/>
              </w:rPr>
            </w:pPr>
            <w:r>
              <w:rPr>
                <w:rFonts w:ascii="Arial" w:cs="Arial" w:eastAsia="Arial" w:hAnsi="Arial"/>
                <w:sz w:val="16"/>
                <w:szCs w:val="16"/>
                <w:color w:val="auto"/>
              </w:rPr>
              <w:t>$9.8 billion - $11.2 billion</w:t>
            </w:r>
          </w:p>
        </w:tc>
      </w:tr>
      <w:tr>
        <w:trPr>
          <w:trHeight w:val="215"/>
        </w:trPr>
        <w:tc>
          <w:tcPr>
            <w:tcW w:w="4060" w:type="dxa"/>
            <w:vAlign w:val="bottom"/>
          </w:tcPr>
          <w:p>
            <w:pPr>
              <w:spacing w:after="0"/>
              <w:rPr>
                <w:sz w:val="20"/>
                <w:szCs w:val="20"/>
                <w:color w:val="auto"/>
              </w:rPr>
            </w:pPr>
            <w:r>
              <w:rPr>
                <w:rFonts w:ascii="Arial" w:cs="Arial" w:eastAsia="Arial" w:hAnsi="Arial"/>
                <w:sz w:val="16"/>
                <w:szCs w:val="16"/>
                <w:color w:val="auto"/>
              </w:rPr>
              <w:t>EBIT-adjusted</w:t>
            </w:r>
          </w:p>
        </w:tc>
        <w:tc>
          <w:tcPr>
            <w:tcW w:w="2340" w:type="dxa"/>
            <w:vAlign w:val="bottom"/>
          </w:tcPr>
          <w:p>
            <w:pPr>
              <w:spacing w:after="0"/>
              <w:rPr>
                <w:sz w:val="20"/>
                <w:szCs w:val="20"/>
                <w:color w:val="auto"/>
              </w:rPr>
            </w:pPr>
            <w:r>
              <w:rPr>
                <w:rFonts w:ascii="Arial" w:cs="Arial" w:eastAsia="Arial" w:hAnsi="Arial"/>
                <w:sz w:val="16"/>
                <w:szCs w:val="16"/>
                <w:color w:val="auto"/>
              </w:rPr>
              <w:t>$11.7 billion - $12.7 billion</w:t>
            </w:r>
          </w:p>
        </w:tc>
        <w:tc>
          <w:tcPr>
            <w:tcW w:w="1720" w:type="dxa"/>
            <w:vAlign w:val="bottom"/>
          </w:tcPr>
          <w:p>
            <w:pPr>
              <w:ind w:left="460"/>
              <w:spacing w:after="0"/>
              <w:rPr>
                <w:sz w:val="20"/>
                <w:szCs w:val="20"/>
                <w:color w:val="auto"/>
              </w:rPr>
            </w:pPr>
            <w:r>
              <w:rPr>
                <w:rFonts w:ascii="Arial" w:cs="Arial" w:eastAsia="Arial" w:hAnsi="Arial"/>
                <w:sz w:val="16"/>
                <w:szCs w:val="16"/>
                <w:color w:val="auto"/>
              </w:rPr>
              <w:t>$12.4 billion</w:t>
            </w:r>
          </w:p>
        </w:tc>
        <w:tc>
          <w:tcPr>
            <w:tcW w:w="3080" w:type="dxa"/>
            <w:vAlign w:val="bottom"/>
          </w:tcPr>
          <w:p>
            <w:pPr>
              <w:ind w:left="320"/>
              <w:spacing w:after="0"/>
              <w:rPr>
                <w:sz w:val="20"/>
                <w:szCs w:val="20"/>
                <w:color w:val="auto"/>
              </w:rPr>
            </w:pPr>
            <w:r>
              <w:rPr>
                <w:rFonts w:ascii="Arial" w:cs="Arial" w:eastAsia="Arial" w:hAnsi="Arial"/>
                <w:sz w:val="16"/>
                <w:szCs w:val="16"/>
                <w:color w:val="auto"/>
              </w:rPr>
              <w:t>$12.0 billion - $14.0 billion</w:t>
            </w:r>
          </w:p>
        </w:tc>
      </w:tr>
      <w:tr>
        <w:trPr>
          <w:trHeight w:val="216"/>
        </w:trPr>
        <w:tc>
          <w:tcPr>
            <w:tcW w:w="406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340" w:type="dxa"/>
            <w:vAlign w:val="bottom"/>
          </w:tcPr>
          <w:p>
            <w:pPr>
              <w:spacing w:after="0"/>
              <w:rPr>
                <w:sz w:val="20"/>
                <w:szCs w:val="20"/>
                <w:color w:val="auto"/>
              </w:rPr>
            </w:pPr>
            <w:r>
              <w:rPr>
                <w:rFonts w:ascii="Arial" w:cs="Arial" w:eastAsia="Arial" w:hAnsi="Arial"/>
                <w:sz w:val="16"/>
                <w:szCs w:val="16"/>
                <w:color w:val="auto"/>
              </w:rPr>
              <w:t>$19.5 billion - $21.0 billion</w:t>
            </w:r>
          </w:p>
        </w:tc>
        <w:tc>
          <w:tcPr>
            <w:tcW w:w="1720" w:type="dxa"/>
            <w:vAlign w:val="bottom"/>
          </w:tcPr>
          <w:p>
            <w:pPr>
              <w:ind w:left="460"/>
              <w:spacing w:after="0"/>
              <w:rPr>
                <w:sz w:val="20"/>
                <w:szCs w:val="20"/>
                <w:color w:val="auto"/>
              </w:rPr>
            </w:pPr>
            <w:r>
              <w:rPr>
                <w:rFonts w:ascii="Arial" w:cs="Arial" w:eastAsia="Arial" w:hAnsi="Arial"/>
                <w:sz w:val="16"/>
                <w:szCs w:val="16"/>
                <w:color w:val="auto"/>
              </w:rPr>
              <w:t>$20.8 billion</w:t>
            </w:r>
          </w:p>
        </w:tc>
        <w:tc>
          <w:tcPr>
            <w:tcW w:w="3080" w:type="dxa"/>
            <w:vAlign w:val="bottom"/>
          </w:tcPr>
          <w:p>
            <w:pPr>
              <w:ind w:left="320"/>
              <w:spacing w:after="0"/>
              <w:rPr>
                <w:sz w:val="20"/>
                <w:szCs w:val="20"/>
                <w:color w:val="auto"/>
              </w:rPr>
            </w:pPr>
            <w:r>
              <w:rPr>
                <w:rFonts w:ascii="Arial" w:cs="Arial" w:eastAsia="Arial" w:hAnsi="Arial"/>
                <w:sz w:val="16"/>
                <w:szCs w:val="16"/>
                <w:color w:val="auto"/>
              </w:rPr>
              <w:t>$18.0 billion - $21.0 billion</w:t>
            </w:r>
          </w:p>
        </w:tc>
      </w:tr>
      <w:tr>
        <w:trPr>
          <w:trHeight w:val="216"/>
        </w:trPr>
        <w:tc>
          <w:tcPr>
            <w:tcW w:w="406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340" w:type="dxa"/>
            <w:vAlign w:val="bottom"/>
          </w:tcPr>
          <w:p>
            <w:pPr>
              <w:spacing w:after="0"/>
              <w:rPr>
                <w:sz w:val="20"/>
                <w:szCs w:val="20"/>
                <w:color w:val="auto"/>
              </w:rPr>
            </w:pPr>
            <w:r>
              <w:rPr>
                <w:rFonts w:ascii="Arial" w:cs="Arial" w:eastAsia="Arial" w:hAnsi="Arial"/>
                <w:sz w:val="16"/>
                <w:szCs w:val="16"/>
                <w:color w:val="auto"/>
              </w:rPr>
              <w:t>$10.5 billion - $11.5 billion</w:t>
            </w:r>
          </w:p>
        </w:tc>
        <w:tc>
          <w:tcPr>
            <w:tcW w:w="1720" w:type="dxa"/>
            <w:vAlign w:val="bottom"/>
          </w:tcPr>
          <w:p>
            <w:pPr>
              <w:ind w:left="460"/>
              <w:spacing w:after="0"/>
              <w:rPr>
                <w:sz w:val="20"/>
                <w:szCs w:val="20"/>
                <w:color w:val="auto"/>
              </w:rPr>
            </w:pPr>
            <w:r>
              <w:rPr>
                <w:rFonts w:ascii="Arial" w:cs="Arial" w:eastAsia="Arial" w:hAnsi="Arial"/>
                <w:sz w:val="16"/>
                <w:szCs w:val="16"/>
                <w:color w:val="auto"/>
              </w:rPr>
              <w:t>$11.7 billion</w:t>
            </w:r>
          </w:p>
        </w:tc>
        <w:tc>
          <w:tcPr>
            <w:tcW w:w="3080" w:type="dxa"/>
            <w:vAlign w:val="bottom"/>
          </w:tcPr>
          <w:p>
            <w:pPr>
              <w:ind w:left="320"/>
              <w:spacing w:after="0"/>
              <w:rPr>
                <w:sz w:val="20"/>
                <w:szCs w:val="20"/>
                <w:color w:val="auto"/>
              </w:rPr>
            </w:pPr>
            <w:r>
              <w:rPr>
                <w:rFonts w:ascii="Arial" w:cs="Arial" w:eastAsia="Arial" w:hAnsi="Arial"/>
                <w:sz w:val="16"/>
                <w:szCs w:val="16"/>
                <w:color w:val="auto"/>
              </w:rPr>
              <w:t>$8.0 billion - $10.0 billion</w:t>
            </w:r>
          </w:p>
        </w:tc>
      </w:tr>
      <w:tr>
        <w:trPr>
          <w:trHeight w:val="216"/>
        </w:trPr>
        <w:tc>
          <w:tcPr>
            <w:tcW w:w="4060" w:type="dxa"/>
            <w:vAlign w:val="bottom"/>
          </w:tcPr>
          <w:p>
            <w:pPr>
              <w:spacing w:after="0"/>
              <w:rPr>
                <w:sz w:val="20"/>
                <w:szCs w:val="20"/>
                <w:color w:val="auto"/>
              </w:rPr>
            </w:pPr>
            <w:r>
              <w:rPr>
                <w:rFonts w:ascii="Arial" w:cs="Arial" w:eastAsia="Arial" w:hAnsi="Arial"/>
                <w:sz w:val="16"/>
                <w:szCs w:val="16"/>
                <w:color w:val="auto"/>
              </w:rPr>
              <w:t>EPS-diluted*</w:t>
            </w:r>
          </w:p>
        </w:tc>
        <w:tc>
          <w:tcPr>
            <w:tcW w:w="2340" w:type="dxa"/>
            <w:vAlign w:val="bottom"/>
          </w:tcPr>
          <w:p>
            <w:pPr>
              <w:spacing w:after="0"/>
              <w:rPr>
                <w:sz w:val="20"/>
                <w:szCs w:val="20"/>
                <w:color w:val="auto"/>
              </w:rPr>
            </w:pPr>
            <w:r>
              <w:rPr>
                <w:rFonts w:ascii="Arial" w:cs="Arial" w:eastAsia="Arial" w:hAnsi="Arial"/>
                <w:sz w:val="16"/>
                <w:szCs w:val="16"/>
                <w:color w:val="auto"/>
              </w:rPr>
              <w:t>$6.52 - $7.02</w:t>
            </w:r>
          </w:p>
        </w:tc>
        <w:tc>
          <w:tcPr>
            <w:tcW w:w="1720" w:type="dxa"/>
            <w:vAlign w:val="bottom"/>
          </w:tcPr>
          <w:p>
            <w:pPr>
              <w:ind w:left="460"/>
              <w:spacing w:after="0"/>
              <w:rPr>
                <w:sz w:val="20"/>
                <w:szCs w:val="20"/>
                <w:color w:val="auto"/>
              </w:rPr>
            </w:pPr>
            <w:r>
              <w:rPr>
                <w:rFonts w:ascii="Arial" w:cs="Arial" w:eastAsia="Arial" w:hAnsi="Arial"/>
                <w:sz w:val="16"/>
                <w:szCs w:val="16"/>
                <w:color w:val="auto"/>
              </w:rPr>
              <w:t>$7.32</w:t>
            </w:r>
          </w:p>
        </w:tc>
        <w:tc>
          <w:tcPr>
            <w:tcW w:w="3080" w:type="dxa"/>
            <w:vAlign w:val="bottom"/>
          </w:tcPr>
          <w:p>
            <w:pPr>
              <w:ind w:left="320"/>
              <w:spacing w:after="0"/>
              <w:rPr>
                <w:sz w:val="20"/>
                <w:szCs w:val="20"/>
                <w:color w:val="auto"/>
              </w:rPr>
            </w:pPr>
            <w:r>
              <w:rPr>
                <w:rFonts w:ascii="Arial" w:cs="Arial" w:eastAsia="Arial" w:hAnsi="Arial"/>
                <w:sz w:val="16"/>
                <w:szCs w:val="16"/>
                <w:color w:val="auto"/>
              </w:rPr>
              <w:t>$8.50 - $9.50</w:t>
            </w:r>
          </w:p>
        </w:tc>
      </w:tr>
      <w:tr>
        <w:trPr>
          <w:trHeight w:val="216"/>
        </w:trPr>
        <w:tc>
          <w:tcPr>
            <w:tcW w:w="4060" w:type="dxa"/>
            <w:vAlign w:val="bottom"/>
          </w:tcPr>
          <w:p>
            <w:pPr>
              <w:spacing w:after="0"/>
              <w:rPr>
                <w:sz w:val="20"/>
                <w:szCs w:val="20"/>
                <w:color w:val="auto"/>
              </w:rPr>
            </w:pPr>
            <w:r>
              <w:rPr>
                <w:rFonts w:ascii="Arial" w:cs="Arial" w:eastAsia="Arial" w:hAnsi="Arial"/>
                <w:sz w:val="16"/>
                <w:szCs w:val="16"/>
                <w:color w:val="auto"/>
              </w:rPr>
              <w:t>EPS-diluted-adjusted*</w:t>
            </w:r>
          </w:p>
        </w:tc>
        <w:tc>
          <w:tcPr>
            <w:tcW w:w="2340" w:type="dxa"/>
            <w:vAlign w:val="bottom"/>
          </w:tcPr>
          <w:p>
            <w:pPr>
              <w:spacing w:after="0"/>
              <w:rPr>
                <w:sz w:val="20"/>
                <w:szCs w:val="20"/>
                <w:color w:val="auto"/>
              </w:rPr>
            </w:pPr>
            <w:r>
              <w:rPr>
                <w:rFonts w:ascii="Arial" w:cs="Arial" w:eastAsia="Arial" w:hAnsi="Arial"/>
                <w:sz w:val="16"/>
                <w:szCs w:val="16"/>
                <w:color w:val="auto"/>
              </w:rPr>
              <w:t>$7.20 - $7.70</w:t>
            </w:r>
          </w:p>
        </w:tc>
        <w:tc>
          <w:tcPr>
            <w:tcW w:w="1720" w:type="dxa"/>
            <w:vAlign w:val="bottom"/>
          </w:tcPr>
          <w:p>
            <w:pPr>
              <w:ind w:left="460"/>
              <w:spacing w:after="0"/>
              <w:rPr>
                <w:sz w:val="20"/>
                <w:szCs w:val="20"/>
                <w:color w:val="auto"/>
              </w:rPr>
            </w:pPr>
            <w:r>
              <w:rPr>
                <w:rFonts w:ascii="Arial" w:cs="Arial" w:eastAsia="Arial" w:hAnsi="Arial"/>
                <w:sz w:val="16"/>
                <w:szCs w:val="16"/>
                <w:color w:val="auto"/>
              </w:rPr>
              <w:t>$7.68</w:t>
            </w:r>
          </w:p>
        </w:tc>
        <w:tc>
          <w:tcPr>
            <w:tcW w:w="3080" w:type="dxa"/>
            <w:vAlign w:val="bottom"/>
          </w:tcPr>
          <w:p>
            <w:pPr>
              <w:ind w:left="320"/>
              <w:spacing w:after="0"/>
              <w:rPr>
                <w:sz w:val="20"/>
                <w:szCs w:val="20"/>
                <w:color w:val="auto"/>
              </w:rPr>
            </w:pPr>
            <w:r>
              <w:rPr>
                <w:rFonts w:ascii="Arial" w:cs="Arial" w:eastAsia="Arial" w:hAnsi="Arial"/>
                <w:sz w:val="16"/>
                <w:szCs w:val="16"/>
                <w:color w:val="auto"/>
              </w:rPr>
              <w:t>$8.50 - $9.50</w:t>
            </w:r>
          </w:p>
        </w:tc>
      </w:tr>
    </w:tbl>
    <w:p>
      <w:pPr>
        <w:spacing w:after="0" w:line="298" w:lineRule="exact"/>
        <w:rPr>
          <w:sz w:val="20"/>
          <w:szCs w:val="20"/>
          <w:color w:val="auto"/>
        </w:rPr>
      </w:pPr>
    </w:p>
    <w:p>
      <w:pPr>
        <w:jc w:val="both"/>
        <w:ind w:right="340"/>
        <w:spacing w:after="0" w:line="257" w:lineRule="auto"/>
        <w:rPr>
          <w:sz w:val="20"/>
          <w:szCs w:val="20"/>
          <w:color w:val="auto"/>
        </w:rPr>
      </w:pPr>
      <w:r>
        <w:rPr>
          <w:rFonts w:ascii="Arial" w:cs="Arial" w:eastAsia="Arial" w:hAnsi="Arial"/>
          <w:sz w:val="16"/>
          <w:szCs w:val="16"/>
          <w:color w:val="auto"/>
        </w:rPr>
        <w:t>*2024 guidance includes an estimated $1.45 per share impact from the company's accelerated share repurchase program (initiated in November 2023) based on current share price and offset by $0.50 from a higher tax rate and lower interest income. It assumes a full-year weighted-average diluted share count slightly below 1.15 billion shares.</w:t>
      </w:r>
    </w:p>
    <w:p>
      <w:pPr>
        <w:spacing w:after="0" w:line="20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GM's 2024 financial guidance includes anticipated capital spending of $10.5 billion - $11.5 billion, inclusive of investments in the company's battery cell manufacturing joint ventures.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for Investors and Analysts</w:t>
      </w:r>
    </w:p>
    <w:p>
      <w:pPr>
        <w:spacing w:after="0" w:line="22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GM Chair and CEO Mary Barra and GM Chief Financial Officer Paul Jacobson will host a conference call for the investment community at 8:30 a.m. ET today to discuss these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details are as follows:</w:t>
      </w:r>
    </w:p>
    <w:p>
      <w:pPr>
        <w:spacing w:after="0" w:line="22"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1-800-857-9821 (U.S.)</w:t>
      </w:r>
    </w:p>
    <w:p>
      <w:pPr>
        <w:spacing w:after="0" w:line="10" w:lineRule="exact"/>
        <w:rPr>
          <w:rFonts w:ascii="Arial" w:cs="Arial" w:eastAsia="Arial" w:hAnsi="Arial"/>
          <w:sz w:val="22"/>
          <w:szCs w:val="22"/>
          <w:color w:val="auto"/>
        </w:rPr>
      </w:pPr>
    </w:p>
    <w:p>
      <w:pPr>
        <w:ind w:left="640" w:hanging="308"/>
        <w:spacing w:after="0" w:line="221"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1-517-308-9481 (international/caller-paid)</w:t>
      </w:r>
    </w:p>
    <w:p>
      <w:pPr>
        <w:spacing w:after="0" w:line="10" w:lineRule="exact"/>
        <w:rPr>
          <w:rFonts w:ascii="Arial" w:cs="Arial" w:eastAsia="Arial" w:hAnsi="Arial"/>
          <w:sz w:val="22"/>
          <w:szCs w:val="22"/>
          <w:color w:val="auto"/>
        </w:rPr>
      </w:pPr>
    </w:p>
    <w:p>
      <w:pPr>
        <w:ind w:left="640" w:hanging="308"/>
        <w:spacing w:after="0" w:line="228"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Conference call passcode: </w:t>
      </w:r>
      <w:r>
        <w:rPr>
          <w:rFonts w:ascii="Arial" w:cs="Arial" w:eastAsia="Arial" w:hAnsi="Arial"/>
          <w:sz w:val="18"/>
          <w:szCs w:val="18"/>
          <w:color w:val="auto"/>
        </w:rPr>
        <w:t>General Motors</w:t>
      </w:r>
    </w:p>
    <w:p>
      <w:pPr>
        <w:spacing w:after="0" w:line="2" w:lineRule="exact"/>
        <w:rPr>
          <w:rFonts w:ascii="Arial" w:cs="Arial" w:eastAsia="Arial" w:hAnsi="Arial"/>
          <w:sz w:val="22"/>
          <w:szCs w:val="22"/>
          <w:color w:val="auto"/>
        </w:rPr>
      </w:pPr>
    </w:p>
    <w:p>
      <w:pPr>
        <w:ind w:left="640" w:hanging="308"/>
        <w:spacing w:after="0" w:line="221"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An audio replay will be available on the GM Investor Relations website in the Events section.</w:t>
      </w:r>
    </w:p>
    <w:p>
      <w:pPr>
        <w:spacing w:after="0" w:line="207" w:lineRule="exact"/>
        <w:rPr>
          <w:sz w:val="20"/>
          <w:szCs w:val="20"/>
          <w:color w:val="auto"/>
        </w:rPr>
      </w:pPr>
    </w:p>
    <w:p>
      <w:pPr>
        <w:ind w:right="1040"/>
        <w:spacing w:after="0" w:line="271" w:lineRule="auto"/>
        <w:rPr>
          <w:sz w:val="20"/>
          <w:szCs w:val="20"/>
          <w:color w:val="auto"/>
        </w:rPr>
      </w:pPr>
      <w:r>
        <w:rPr>
          <w:rFonts w:ascii="Arial" w:cs="Arial" w:eastAsia="Arial" w:hAnsi="Arial"/>
          <w:sz w:val="18"/>
          <w:szCs w:val="18"/>
          <w:color w:val="auto"/>
        </w:rPr>
        <w:t>Visit the GM Investor Relations website to download the company’s earnings deck and GM Chair and CEO Mary Barra’s letter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6"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Results Overview</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80" w:type="dxa"/>
            <w:vAlign w:val="bottom"/>
            <w:vMerge w:val="restart"/>
          </w:tcPr>
          <w:p>
            <w:pPr>
              <w:spacing w:after="0"/>
              <w:rPr>
                <w:sz w:val="20"/>
                <w:szCs w:val="20"/>
                <w:color w:val="auto"/>
              </w:rPr>
            </w:pPr>
            <w:r>
              <w:rPr>
                <w:rFonts w:ascii="Arial" w:cs="Arial" w:eastAsia="Arial" w:hAnsi="Arial"/>
                <w:sz w:val="16"/>
                <w:szCs w:val="16"/>
                <w:i w:val="1"/>
                <w:iCs w:val="1"/>
                <w:color w:val="auto"/>
              </w:rPr>
              <w:t>$M except per share amounts</w:t>
            </w:r>
          </w:p>
        </w:tc>
        <w:tc>
          <w:tcPr>
            <w:tcW w:w="1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52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15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6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2023</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2022</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80" w:type="dxa"/>
            <w:vAlign w:val="bottom"/>
          </w:tcPr>
          <w:p>
            <w:pPr>
              <w:spacing w:after="0"/>
              <w:rPr>
                <w:sz w:val="20"/>
                <w:szCs w:val="20"/>
                <w:color w:val="auto"/>
              </w:rPr>
            </w:pPr>
            <w:r>
              <w:rPr>
                <w:rFonts w:ascii="Arial" w:cs="Arial" w:eastAsia="Arial" w:hAnsi="Arial"/>
                <w:sz w:val="16"/>
                <w:szCs w:val="16"/>
                <w:color w:val="auto"/>
              </w:rPr>
              <w:t>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42,980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43,108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(128)</w:t>
            </w: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2,102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1,999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103</w:t>
            </w:r>
          </w:p>
        </w:tc>
        <w:tc>
          <w:tcPr>
            <w:tcW w:w="1500" w:type="dxa"/>
            <w:vAlign w:val="bottom"/>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1,757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3,799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(2,042)</w:t>
            </w:r>
          </w:p>
        </w:tc>
        <w:tc>
          <w:tcPr>
            <w:tcW w:w="1500" w:type="dxa"/>
            <w:vAlign w:val="bottom"/>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Net income margin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4.9 %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4.6 %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0.3 ppts</w:t>
            </w:r>
          </w:p>
        </w:tc>
        <w:tc>
          <w:tcPr>
            <w:tcW w:w="1500" w:type="dxa"/>
            <w:vAlign w:val="bottom"/>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 margin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8.8 %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(4.7) ppts</w:t>
            </w:r>
          </w:p>
        </w:tc>
        <w:tc>
          <w:tcPr>
            <w:tcW w:w="150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4,688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7,488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(2,800)</w:t>
            </w:r>
          </w:p>
        </w:tc>
        <w:tc>
          <w:tcPr>
            <w:tcW w:w="150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1,341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4,460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(3,119)</w:t>
            </w:r>
          </w:p>
        </w:tc>
        <w:tc>
          <w:tcPr>
            <w:tcW w:w="1500" w:type="dxa"/>
            <w:vAlign w:val="bottom"/>
          </w:tcPr>
          <w:p>
            <w:pPr>
              <w:jc w:val="right"/>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1.59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1.39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0.20</w:t>
            </w:r>
          </w:p>
        </w:tc>
        <w:tc>
          <w:tcPr>
            <w:tcW w:w="1500" w:type="dxa"/>
            <w:vAlign w:val="bottom"/>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EPS-diluted-adjusted(a)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1.24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2.12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(0.88)</w:t>
            </w:r>
          </w:p>
        </w:tc>
        <w:tc>
          <w:tcPr>
            <w:tcW w:w="1500" w:type="dxa"/>
            <w:vAlign w:val="bottom"/>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2,011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3,654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(1,643)</w:t>
            </w:r>
          </w:p>
        </w:tc>
        <w:tc>
          <w:tcPr>
            <w:tcW w:w="150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10.3 %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(4.6) ppts</w:t>
            </w:r>
          </w:p>
        </w:tc>
        <w:tc>
          <w:tcPr>
            <w:tcW w:w="1500" w:type="dxa"/>
            <w:vAlign w:val="bottom"/>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GMI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269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272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15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China equity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93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201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(108)</w:t>
            </w:r>
          </w:p>
        </w:tc>
        <w:tc>
          <w:tcPr>
            <w:tcW w:w="1500" w:type="dxa"/>
            <w:vAlign w:val="bottom"/>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707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775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(68)</w:t>
            </w:r>
          </w:p>
        </w:tc>
        <w:tc>
          <w:tcPr>
            <w:tcW w:w="150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EPS-diluted and EPS-diluted-adjusted include a $(0.05) impact from revaluation on equity investments in the three months ended December 31, 2023.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680" w:type="dxa"/>
            <w:vAlign w:val="bottom"/>
            <w:vMerge w:val="restart"/>
          </w:tcPr>
          <w:p>
            <w:pPr>
              <w:spacing w:after="0"/>
              <w:rPr>
                <w:sz w:val="20"/>
                <w:szCs w:val="20"/>
                <w:color w:val="auto"/>
              </w:rPr>
            </w:pPr>
            <w:r>
              <w:rPr>
                <w:rFonts w:ascii="Arial" w:cs="Arial" w:eastAsia="Arial" w:hAnsi="Arial"/>
                <w:sz w:val="16"/>
                <w:szCs w:val="16"/>
                <w:i w:val="1"/>
                <w:iCs w:val="1"/>
                <w:color w:val="auto"/>
              </w:rPr>
              <w:t>$M except per share amounts</w:t>
            </w:r>
          </w:p>
        </w:tc>
        <w:tc>
          <w:tcPr>
            <w:tcW w:w="1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right"/>
              <w:ind w:right="1179"/>
              <w:spacing w:after="0"/>
              <w:rPr>
                <w:sz w:val="20"/>
                <w:szCs w:val="20"/>
                <w:color w:val="auto"/>
              </w:rPr>
            </w:pPr>
            <w:r>
              <w:rPr>
                <w:rFonts w:ascii="Arial" w:cs="Arial" w:eastAsia="Arial" w:hAnsi="Arial"/>
                <w:sz w:val="16"/>
                <w:szCs w:val="16"/>
                <w:b w:val="1"/>
                <w:bCs w:val="1"/>
                <w:color w:val="auto"/>
              </w:rPr>
              <w:t>Years Ended</w:t>
            </w:r>
          </w:p>
        </w:tc>
        <w:tc>
          <w:tcPr>
            <w:tcW w:w="300" w:type="dxa"/>
            <w:vAlign w:val="bottom"/>
          </w:tcPr>
          <w:p>
            <w:pPr>
              <w:spacing w:after="0"/>
              <w:rPr>
                <w:sz w:val="18"/>
                <w:szCs w:val="18"/>
                <w:color w:val="auto"/>
              </w:rPr>
            </w:pPr>
          </w:p>
        </w:tc>
        <w:tc>
          <w:tcPr>
            <w:tcW w:w="152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15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6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2023</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2022</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80" w:type="dxa"/>
            <w:vAlign w:val="bottom"/>
          </w:tcPr>
          <w:p>
            <w:pPr>
              <w:spacing w:after="0"/>
              <w:rPr>
                <w:sz w:val="20"/>
                <w:szCs w:val="20"/>
                <w:color w:val="auto"/>
              </w:rPr>
            </w:pPr>
            <w:r>
              <w:rPr>
                <w:rFonts w:ascii="Arial" w:cs="Arial" w:eastAsia="Arial" w:hAnsi="Arial"/>
                <w:sz w:val="16"/>
                <w:szCs w:val="16"/>
                <w:color w:val="auto"/>
              </w:rPr>
              <w:t>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171,842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156,735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15,107</w:t>
            </w:r>
          </w:p>
        </w:tc>
        <w:tc>
          <w:tcPr>
            <w:tcW w:w="1500" w:type="dxa"/>
            <w:vAlign w:val="bottom"/>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10,127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9,934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193</w:t>
            </w:r>
          </w:p>
        </w:tc>
        <w:tc>
          <w:tcPr>
            <w:tcW w:w="150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12,357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14,474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(2,117)</w:t>
            </w:r>
          </w:p>
        </w:tc>
        <w:tc>
          <w:tcPr>
            <w:tcW w:w="150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Net income margin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6.3 %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(0.4) ppts</w:t>
            </w:r>
          </w:p>
        </w:tc>
        <w:tc>
          <w:tcPr>
            <w:tcW w:w="150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EBIT-adjusted margin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9.2 %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(2.0) ppts</w:t>
            </w:r>
          </w:p>
        </w:tc>
        <w:tc>
          <w:tcPr>
            <w:tcW w:w="150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20,828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19,094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1,734</w:t>
            </w:r>
          </w:p>
        </w:tc>
        <w:tc>
          <w:tcPr>
            <w:tcW w:w="1500" w:type="dxa"/>
            <w:vAlign w:val="bottom"/>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11,666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10,466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1,200</w:t>
            </w:r>
          </w:p>
        </w:tc>
        <w:tc>
          <w:tcPr>
            <w:tcW w:w="1500" w:type="dxa"/>
            <w:vAlign w:val="bottom"/>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7.32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6.13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1.19</w:t>
            </w:r>
          </w:p>
        </w:tc>
        <w:tc>
          <w:tcPr>
            <w:tcW w:w="1500" w:type="dxa"/>
            <w:vAlign w:val="bottom"/>
          </w:tcPr>
          <w:p>
            <w:pPr>
              <w:jc w:val="right"/>
              <w:spacing w:after="0"/>
              <w:rPr>
                <w:sz w:val="20"/>
                <w:szCs w:val="20"/>
                <w:color w:val="auto"/>
              </w:rPr>
            </w:pPr>
            <w:r>
              <w:rPr>
                <w:rFonts w:ascii="Arial" w:cs="Arial" w:eastAsia="Arial" w:hAnsi="Arial"/>
                <w:sz w:val="16"/>
                <w:szCs w:val="16"/>
                <w:color w:val="auto"/>
              </w:rPr>
              <w:t>19.4 %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EPS-diluted-adjusted(a)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7.68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7.59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0.09</w:t>
            </w:r>
          </w:p>
        </w:tc>
        <w:tc>
          <w:tcPr>
            <w:tcW w:w="150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12,306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12,988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(682)</w:t>
            </w:r>
          </w:p>
        </w:tc>
        <w:tc>
          <w:tcPr>
            <w:tcW w:w="15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10.1 %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(1.4) ppts</w:t>
            </w:r>
          </w:p>
        </w:tc>
        <w:tc>
          <w:tcPr>
            <w:tcW w:w="150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GMI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1,210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1,143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67</w:t>
            </w:r>
          </w:p>
        </w:tc>
        <w:tc>
          <w:tcPr>
            <w:tcW w:w="1500" w:type="dxa"/>
            <w:vAlign w:val="bottom"/>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China equity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446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677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(231)</w:t>
            </w:r>
          </w:p>
        </w:tc>
        <w:tc>
          <w:tcPr>
            <w:tcW w:w="1500" w:type="dxa"/>
            <w:vAlign w:val="bottom"/>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2,985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4,076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(1,091)</w:t>
            </w:r>
          </w:p>
        </w:tc>
        <w:tc>
          <w:tcPr>
            <w:tcW w:w="150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EPS-diluted and EPS-diluted-adjusted include a $(0.10) and $(0.13) impact from revaluation on equity investments in the years ended December 31, 2023 and 2022.</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0" w:lineRule="exact"/>
        <w:rPr>
          <w:rFonts w:ascii="Arial" w:cs="Arial" w:eastAsia="Arial" w:hAnsi="Arial"/>
          <w:sz w:val="14"/>
          <w:szCs w:val="14"/>
          <w:color w:val="auto"/>
        </w:rPr>
      </w:pPr>
    </w:p>
    <w:p>
      <w:pPr>
        <w:ind w:left="5900"/>
        <w:spacing w:after="0"/>
        <w:rPr>
          <w:rFonts w:ascii="Arial" w:cs="Arial" w:eastAsia="Arial" w:hAnsi="Arial"/>
          <w:sz w:val="14"/>
          <w:szCs w:val="14"/>
          <w:color w:val="auto"/>
        </w:rPr>
      </w:pPr>
      <w:r>
        <w:rPr>
          <w:rFonts w:ascii="Arial" w:cs="Arial" w:eastAsia="Arial" w:hAnsi="Arial"/>
          <w:sz w:val="16"/>
          <w:szCs w:val="16"/>
          <w:color w:val="auto"/>
        </w:rPr>
        <w:t>2</w:t>
      </w:r>
    </w:p>
    <w:p>
      <w:pPr>
        <w:sectPr>
          <w:pgSz w:w="11900" w:h="16838" w:orient="portrait"/>
          <w:cols w:equalWidth="0" w:num="1">
            <w:col w:w="10820"/>
          </w:cols>
          <w:pgMar w:left="320" w:top="1440" w:right="759" w:bottom="1440" w:gutter="0" w:footer="0" w:header="0"/>
        </w:sectPr>
      </w:pPr>
    </w:p>
    <w:bookmarkStart w:id="5" w:name="page6"/>
    <w:bookmarkEnd w:id="5"/>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General Motors </w:t>
      </w:r>
      <w:r>
        <w:rPr>
          <w:rFonts w:ascii="Arial" w:cs="Arial" w:eastAsia="Arial" w:hAnsi="Arial"/>
          <w:sz w:val="18"/>
          <w:szCs w:val="18"/>
          <w:color w:val="auto"/>
        </w:rPr>
        <w:t>(NYSE:GM) is a global company focused on advancing an all-electric future that is inclusive and accessible to all. At the</w:t>
      </w:r>
      <w:r>
        <w:rPr>
          <w:rFonts w:ascii="Arial" w:cs="Arial" w:eastAsia="Arial" w:hAnsi="Arial"/>
          <w:sz w:val="18"/>
          <w:szCs w:val="18"/>
          <w:b w:val="1"/>
          <w:bCs w:val="1"/>
          <w:color w:val="auto"/>
        </w:rPr>
        <w:t xml:space="preserve"> </w:t>
      </w:r>
      <w:r>
        <w:rPr>
          <w:rFonts w:ascii="Arial" w:cs="Arial" w:eastAsia="Arial" w:hAnsi="Arial"/>
          <w:sz w:val="18"/>
          <w:szCs w:val="18"/>
          <w:color w:val="auto"/>
        </w:rPr>
        <w:t>heart of this strategy is the Ultium battery platform, which will power everything from mass-market to high-performance vehicles. General Motors, its subsidiaries and its joint venture entities sell vehicles under the Chevrolet, Buick, GMC, Cadillac, Baojun and Wuling brands. More information on the company and its subsidiaries, including OnStar, a global leader in safety services and connected vehicle technology, can be found at https://www.gm.com</w:t>
      </w:r>
      <w:r>
        <w:rPr>
          <w:rFonts w:ascii="Arial" w:cs="Arial" w:eastAsia="Arial" w:hAnsi="Arial"/>
          <w:sz w:val="18"/>
          <w:szCs w:val="18"/>
          <w:color w:val="373F42"/>
        </w:rPr>
        <w:t>.</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780" w:type="dxa"/>
            <w:vAlign w:val="bottom"/>
          </w:tcPr>
          <w:p>
            <w:pPr>
              <w:ind w:left="440"/>
              <w:spacing w:after="0"/>
              <w:rPr>
                <w:sz w:val="20"/>
                <w:szCs w:val="20"/>
                <w:color w:val="auto"/>
              </w:rPr>
            </w:pPr>
            <w:r>
              <w:rPr>
                <w:rFonts w:ascii="Arial" w:cs="Arial" w:eastAsia="Arial" w:hAnsi="Arial"/>
                <w:sz w:val="18"/>
                <w:szCs w:val="18"/>
                <w:b w:val="1"/>
                <w:bCs w:val="1"/>
                <w:color w:val="auto"/>
              </w:rPr>
              <w:t>###</w:t>
            </w:r>
          </w:p>
        </w:tc>
      </w:tr>
      <w:tr>
        <w:trPr>
          <w:trHeight w:val="513"/>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4"/>
                <w:szCs w:val="24"/>
                <w:color w:val="auto"/>
              </w:rPr>
            </w:pPr>
          </w:p>
        </w:tc>
      </w:tr>
      <w:tr>
        <w:trPr>
          <w:trHeight w:val="239"/>
        </w:trPr>
        <w:tc>
          <w:tcPr>
            <w:tcW w:w="5020" w:type="dxa"/>
            <w:vAlign w:val="bottom"/>
            <w:gridSpan w:val="3"/>
          </w:tcPr>
          <w:p>
            <w:pPr>
              <w:spacing w:after="0"/>
              <w:rPr>
                <w:sz w:val="20"/>
                <w:szCs w:val="20"/>
                <w:color w:val="auto"/>
              </w:rPr>
            </w:pPr>
            <w:r>
              <w:rPr>
                <w:rFonts w:ascii="Arial" w:cs="Arial" w:eastAsia="Arial" w:hAnsi="Arial"/>
                <w:sz w:val="18"/>
                <w:szCs w:val="18"/>
                <w:color w:val="auto"/>
              </w:rPr>
              <w:t>Jim Cain</w:t>
            </w:r>
          </w:p>
        </w:tc>
        <w:tc>
          <w:tcPr>
            <w:tcW w:w="1780" w:type="dxa"/>
            <w:vAlign w:val="bottom"/>
          </w:tcPr>
          <w:p>
            <w:pPr>
              <w:spacing w:after="0"/>
              <w:rPr>
                <w:sz w:val="20"/>
                <w:szCs w:val="20"/>
                <w:color w:val="auto"/>
              </w:rPr>
            </w:pPr>
            <w:r>
              <w:rPr>
                <w:rFonts w:ascii="Arial" w:cs="Arial" w:eastAsia="Arial" w:hAnsi="Arial"/>
                <w:sz w:val="18"/>
                <w:szCs w:val="18"/>
                <w:color w:val="auto"/>
              </w:rPr>
              <w:t>Ashish Kohli</w:t>
            </w: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313-407-2843</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847-964-3459</w:t>
            </w: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james.cain@chevrolet.com</w:t>
            </w:r>
          </w:p>
        </w:tc>
        <w:tc>
          <w:tcPr>
            <w:tcW w:w="1780" w:type="dxa"/>
            <w:vAlign w:val="bottom"/>
          </w:tcPr>
          <w:p>
            <w:pPr>
              <w:spacing w:after="0" w:line="195" w:lineRule="exact"/>
              <w:rPr>
                <w:sz w:val="20"/>
                <w:szCs w:val="20"/>
                <w:color w:val="auto"/>
              </w:rPr>
            </w:pPr>
            <w:r>
              <w:rPr>
                <w:rFonts w:ascii="Arial" w:cs="Arial" w:eastAsia="Arial" w:hAnsi="Arial"/>
                <w:sz w:val="18"/>
                <w:szCs w:val="18"/>
                <w:color w:val="0563C1"/>
                <w:w w:val="99"/>
              </w:rPr>
              <w:t>ashish.kohli@gm.com</w:t>
            </w:r>
          </w:p>
        </w:tc>
      </w:tr>
      <w:tr>
        <w:trPr>
          <w:trHeight w:val="515"/>
        </w:trPr>
        <w:tc>
          <w:tcPr>
            <w:tcW w:w="2160" w:type="dxa"/>
            <w:vAlign w:val="bottom"/>
            <w:tcBorders>
              <w:top w:val="single" w:sz="8" w:color="0563C1"/>
            </w:tcBorders>
            <w:gridSpan w:val="2"/>
          </w:tcPr>
          <w:p>
            <w:pPr>
              <w:spacing w:after="0"/>
              <w:rPr>
                <w:sz w:val="20"/>
                <w:szCs w:val="20"/>
                <w:color w:val="auto"/>
              </w:rPr>
            </w:pPr>
            <w:r>
              <w:rPr>
                <w:rFonts w:ascii="Arial" w:cs="Arial" w:eastAsia="Arial" w:hAnsi="Arial"/>
                <w:sz w:val="18"/>
                <w:szCs w:val="18"/>
                <w:color w:val="auto"/>
              </w:rPr>
              <w:t>David Caldwell</w:t>
            </w:r>
          </w:p>
        </w:tc>
        <w:tc>
          <w:tcPr>
            <w:tcW w:w="2860" w:type="dxa"/>
            <w:vAlign w:val="bottom"/>
          </w:tcPr>
          <w:p>
            <w:pPr>
              <w:spacing w:after="0"/>
              <w:rPr>
                <w:sz w:val="24"/>
                <w:szCs w:val="24"/>
                <w:color w:val="auto"/>
              </w:rPr>
            </w:pPr>
          </w:p>
        </w:tc>
        <w:tc>
          <w:tcPr>
            <w:tcW w:w="1780" w:type="dxa"/>
            <w:vAlign w:val="bottom"/>
            <w:tcBorders>
              <w:top w:val="single" w:sz="8" w:color="0563C1"/>
            </w:tcBorders>
          </w:tcPr>
          <w:p>
            <w:pPr>
              <w:spacing w:after="0"/>
              <w:rPr>
                <w:sz w:val="24"/>
                <w:szCs w:val="24"/>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586-899-7861</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david.caldwell@gm.com</w:t>
            </w:r>
          </w:p>
        </w:tc>
        <w:tc>
          <w:tcPr>
            <w:tcW w:w="1780" w:type="dxa"/>
            <w:vAlign w:val="bottom"/>
          </w:tcPr>
          <w:p>
            <w:pPr>
              <w:spacing w:after="0"/>
              <w:rPr>
                <w:sz w:val="16"/>
                <w:szCs w:val="16"/>
                <w:color w:val="auto"/>
              </w:rPr>
            </w:pPr>
          </w:p>
        </w:tc>
      </w:tr>
      <w:tr>
        <w:trPr>
          <w:trHeight w:val="20"/>
        </w:trPr>
        <w:tc>
          <w:tcPr>
            <w:tcW w:w="19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on Forward-Looking Statements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press release and related comments by management may include “forward-</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looking statements” within the meaning of the U.S. federal securities laws. Forward-looking statements are any statements other than statements of historical fact and represent our current judgment about possible future events. In making these statements, we rely upon</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2023 Guidance Reconciliations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Net income attributable to stockholders under U.S. GAAP to expected EBIT-adjusted (dollars in billions):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200" w:type="dxa"/>
            <w:vAlign w:val="bottom"/>
          </w:tcPr>
          <w:p>
            <w:pPr>
              <w:jc w:val="right"/>
              <w:ind w:right="105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40" w:type="dxa"/>
            <w:vAlign w:val="bottom"/>
          </w:tcPr>
          <w:p>
            <w:pPr>
              <w:spacing w:after="0"/>
              <w:rPr>
                <w:sz w:val="18"/>
                <w:szCs w:val="18"/>
                <w:color w:val="auto"/>
              </w:rPr>
            </w:pPr>
          </w:p>
        </w:tc>
        <w:tc>
          <w:tcPr>
            <w:tcW w:w="32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December 31, 2023</w:t>
            </w: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3200" w:type="dxa"/>
            <w:vAlign w:val="bottom"/>
          </w:tcPr>
          <w:p>
            <w:pPr>
              <w:jc w:val="right"/>
              <w:spacing w:after="0"/>
              <w:rPr>
                <w:sz w:val="20"/>
                <w:szCs w:val="20"/>
                <w:color w:val="auto"/>
              </w:rPr>
            </w:pPr>
            <w:r>
              <w:rPr>
                <w:rFonts w:ascii="Arial" w:cs="Arial" w:eastAsia="Arial" w:hAnsi="Arial"/>
                <w:sz w:val="16"/>
                <w:szCs w:val="16"/>
                <w:color w:val="auto"/>
              </w:rPr>
              <w:t>$ 9.1-9.7</w:t>
            </w: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Income tax expense</w:t>
            </w:r>
          </w:p>
        </w:tc>
        <w:tc>
          <w:tcPr>
            <w:tcW w:w="3200" w:type="dxa"/>
            <w:vAlign w:val="bottom"/>
          </w:tcPr>
          <w:p>
            <w:pPr>
              <w:jc w:val="right"/>
              <w:spacing w:after="0"/>
              <w:rPr>
                <w:sz w:val="20"/>
                <w:szCs w:val="20"/>
                <w:color w:val="auto"/>
              </w:rPr>
            </w:pPr>
            <w:r>
              <w:rPr>
                <w:rFonts w:ascii="Arial" w:cs="Arial" w:eastAsia="Arial" w:hAnsi="Arial"/>
                <w:sz w:val="16"/>
                <w:szCs w:val="16"/>
                <w:color w:val="auto"/>
              </w:rPr>
              <w:t>1.4-1.8</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Automotive interest income, net</w:t>
            </w:r>
          </w:p>
        </w:tc>
        <w:tc>
          <w:tcPr>
            <w:tcW w:w="32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Adjustments(a)</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EBIT-adjusted</w:t>
            </w:r>
          </w:p>
        </w:tc>
        <w:tc>
          <w:tcPr>
            <w:tcW w:w="3200" w:type="dxa"/>
            <w:vAlign w:val="bottom"/>
          </w:tcPr>
          <w:p>
            <w:pPr>
              <w:jc w:val="right"/>
              <w:spacing w:after="0"/>
              <w:rPr>
                <w:sz w:val="20"/>
                <w:szCs w:val="20"/>
                <w:color w:val="auto"/>
              </w:rPr>
            </w:pPr>
            <w:r>
              <w:rPr>
                <w:rFonts w:ascii="Arial" w:cs="Arial" w:eastAsia="Arial" w:hAnsi="Arial"/>
                <w:sz w:val="16"/>
                <w:szCs w:val="16"/>
                <w:color w:val="auto"/>
              </w:rPr>
              <w:t>$ 11.7-12.7</w:t>
            </w:r>
          </w:p>
        </w:tc>
      </w:tr>
    </w:tbl>
    <w:p>
      <w:pPr>
        <w:spacing w:after="0" w:line="200" w:lineRule="exact"/>
        <w:rPr>
          <w:sz w:val="20"/>
          <w:szCs w:val="20"/>
          <w:color w:val="auto"/>
        </w:rPr>
      </w:pPr>
    </w:p>
    <w:p>
      <w:pPr>
        <w:spacing w:after="0" w:line="35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reconciles expected automotive net cash provided by operating activities under U.S. GAAP to expected adjusted automotive free cash flow (dollars in billions):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200" w:type="dxa"/>
            <w:vAlign w:val="bottom"/>
          </w:tcPr>
          <w:p>
            <w:pPr>
              <w:jc w:val="right"/>
              <w:ind w:right="105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40" w:type="dxa"/>
            <w:vAlign w:val="bottom"/>
          </w:tcPr>
          <w:p>
            <w:pPr>
              <w:spacing w:after="0"/>
              <w:rPr>
                <w:sz w:val="18"/>
                <w:szCs w:val="18"/>
                <w:color w:val="auto"/>
              </w:rPr>
            </w:pPr>
          </w:p>
        </w:tc>
        <w:tc>
          <w:tcPr>
            <w:tcW w:w="32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December 31, 2023</w:t>
            </w: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Net automotive cash provided by operating activities</w:t>
            </w:r>
          </w:p>
        </w:tc>
        <w:tc>
          <w:tcPr>
            <w:tcW w:w="3200" w:type="dxa"/>
            <w:vAlign w:val="bottom"/>
          </w:tcPr>
          <w:p>
            <w:pPr>
              <w:jc w:val="right"/>
              <w:spacing w:after="0"/>
              <w:rPr>
                <w:sz w:val="20"/>
                <w:szCs w:val="20"/>
                <w:color w:val="auto"/>
              </w:rPr>
            </w:pPr>
            <w:r>
              <w:rPr>
                <w:rFonts w:ascii="Arial" w:cs="Arial" w:eastAsia="Arial" w:hAnsi="Arial"/>
                <w:sz w:val="16"/>
                <w:szCs w:val="16"/>
                <w:color w:val="auto"/>
              </w:rPr>
              <w:t>$ 19.5-21.0</w:t>
            </w: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Less: Capital expenditures</w:t>
            </w:r>
          </w:p>
        </w:tc>
        <w:tc>
          <w:tcPr>
            <w:tcW w:w="3200" w:type="dxa"/>
            <w:vAlign w:val="bottom"/>
          </w:tcPr>
          <w:p>
            <w:pPr>
              <w:jc w:val="right"/>
              <w:spacing w:after="0"/>
              <w:rPr>
                <w:sz w:val="20"/>
                <w:szCs w:val="20"/>
                <w:color w:val="auto"/>
              </w:rPr>
            </w:pPr>
            <w:r>
              <w:rPr>
                <w:rFonts w:ascii="Arial" w:cs="Arial" w:eastAsia="Arial" w:hAnsi="Arial"/>
                <w:sz w:val="16"/>
                <w:szCs w:val="16"/>
                <w:color w:val="auto"/>
              </w:rPr>
              <w:t>10.3-10.8</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Adjustments(a)</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3200" w:type="dxa"/>
            <w:vAlign w:val="bottom"/>
          </w:tcPr>
          <w:p>
            <w:pPr>
              <w:jc w:val="right"/>
              <w:spacing w:after="0"/>
              <w:rPr>
                <w:sz w:val="20"/>
                <w:szCs w:val="20"/>
                <w:color w:val="auto"/>
              </w:rPr>
            </w:pPr>
            <w:r>
              <w:rPr>
                <w:rFonts w:ascii="Arial" w:cs="Arial" w:eastAsia="Arial" w:hAnsi="Arial"/>
                <w:sz w:val="16"/>
                <w:szCs w:val="16"/>
                <w:color w:val="auto"/>
              </w:rPr>
              <w:t>$ 10.5-11.5</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EPS-diluted under U.S. GAAP to expected EPS-diluted-adjusted: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200" w:type="dxa"/>
            <w:vAlign w:val="bottom"/>
          </w:tcPr>
          <w:p>
            <w:pPr>
              <w:jc w:val="right"/>
              <w:ind w:right="103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40" w:type="dxa"/>
            <w:vAlign w:val="bottom"/>
          </w:tcPr>
          <w:p>
            <w:pPr>
              <w:spacing w:after="0"/>
              <w:rPr>
                <w:sz w:val="18"/>
                <w:szCs w:val="18"/>
                <w:color w:val="auto"/>
              </w:rPr>
            </w:pPr>
          </w:p>
        </w:tc>
        <w:tc>
          <w:tcPr>
            <w:tcW w:w="32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December 31, 2023</w:t>
            </w: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3200" w:type="dxa"/>
            <w:vAlign w:val="bottom"/>
          </w:tcPr>
          <w:p>
            <w:pPr>
              <w:jc w:val="right"/>
              <w:spacing w:after="0"/>
              <w:rPr>
                <w:sz w:val="20"/>
                <w:szCs w:val="20"/>
                <w:color w:val="auto"/>
              </w:rPr>
            </w:pPr>
            <w:r>
              <w:rPr>
                <w:rFonts w:ascii="Arial" w:cs="Arial" w:eastAsia="Arial" w:hAnsi="Arial"/>
                <w:sz w:val="16"/>
                <w:szCs w:val="16"/>
                <w:color w:val="auto"/>
              </w:rPr>
              <w:t>$ 6.52-7.02</w:t>
            </w: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Adjustments(a)</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0.68</w:t>
            </w: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EPS-diluted-adjusted</w:t>
            </w:r>
          </w:p>
        </w:tc>
        <w:tc>
          <w:tcPr>
            <w:tcW w:w="3200" w:type="dxa"/>
            <w:vAlign w:val="bottom"/>
          </w:tcPr>
          <w:p>
            <w:pPr>
              <w:jc w:val="right"/>
              <w:spacing w:after="0"/>
              <w:rPr>
                <w:sz w:val="20"/>
                <w:szCs w:val="20"/>
                <w:color w:val="auto"/>
              </w:rPr>
            </w:pPr>
            <w:r>
              <w:rPr>
                <w:rFonts w:ascii="Arial" w:cs="Arial" w:eastAsia="Arial" w:hAnsi="Arial"/>
                <w:sz w:val="16"/>
                <w:szCs w:val="16"/>
                <w:color w:val="auto"/>
              </w:rPr>
              <w:t>$ 7.20-7.70</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21" w:lineRule="exact"/>
        <w:rPr>
          <w:sz w:val="20"/>
          <w:szCs w:val="20"/>
          <w:color w:val="auto"/>
        </w:rPr>
      </w:pPr>
    </w:p>
    <w:p>
      <w:pPr>
        <w:jc w:val="both"/>
        <w:ind w:left="340" w:right="20" w:hanging="332"/>
        <w:spacing w:after="0" w:line="264"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Adjustments as of September 30, 2023. Includes adjustments related to our Buick dealer strategy, voluntary separation program and GM Korea wage litigation. See our Quarterly Report on Form 10-Q for the quarter ended September 30, 2023, for full details. We do not consider the potential future impact of adjustments on our expected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2024 Guidance Reconciliations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Net income attributable to stockholders under U.S. GAAP to expected EBIT-adjusted (dollars in billions):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200" w:type="dxa"/>
            <w:vAlign w:val="bottom"/>
          </w:tcPr>
          <w:p>
            <w:pPr>
              <w:jc w:val="right"/>
              <w:ind w:right="1058"/>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40" w:type="dxa"/>
            <w:vAlign w:val="bottom"/>
          </w:tcPr>
          <w:p>
            <w:pPr>
              <w:spacing w:after="0"/>
              <w:rPr>
                <w:sz w:val="18"/>
                <w:szCs w:val="18"/>
                <w:color w:val="auto"/>
              </w:rPr>
            </w:pPr>
          </w:p>
        </w:tc>
        <w:tc>
          <w:tcPr>
            <w:tcW w:w="3200" w:type="dxa"/>
            <w:vAlign w:val="bottom"/>
            <w:tcBorders>
              <w:bottom w:val="single" w:sz="8" w:color="auto"/>
            </w:tcBorders>
          </w:tcPr>
          <w:p>
            <w:pPr>
              <w:jc w:val="right"/>
              <w:ind w:right="778"/>
              <w:spacing w:after="0"/>
              <w:rPr>
                <w:sz w:val="20"/>
                <w:szCs w:val="20"/>
                <w:color w:val="auto"/>
              </w:rPr>
            </w:pPr>
            <w:r>
              <w:rPr>
                <w:rFonts w:ascii="Arial" w:cs="Arial" w:eastAsia="Arial" w:hAnsi="Arial"/>
                <w:sz w:val="16"/>
                <w:szCs w:val="16"/>
                <w:b w:val="1"/>
                <w:bCs w:val="1"/>
                <w:color w:val="auto"/>
              </w:rPr>
              <w:t>December 31, 2024</w:t>
            </w: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3200" w:type="dxa"/>
            <w:vAlign w:val="bottom"/>
          </w:tcPr>
          <w:p>
            <w:pPr>
              <w:jc w:val="right"/>
              <w:spacing w:after="0"/>
              <w:rPr>
                <w:sz w:val="20"/>
                <w:szCs w:val="20"/>
                <w:color w:val="auto"/>
              </w:rPr>
            </w:pPr>
            <w:r>
              <w:rPr>
                <w:rFonts w:ascii="Arial" w:cs="Arial" w:eastAsia="Arial" w:hAnsi="Arial"/>
                <w:sz w:val="16"/>
                <w:szCs w:val="16"/>
                <w:color w:val="auto"/>
              </w:rPr>
              <w:t>$ 9.8-11.2</w:t>
            </w:r>
          </w:p>
        </w:tc>
      </w:tr>
      <w:tr>
        <w:trPr>
          <w:trHeight w:val="212"/>
        </w:trPr>
        <w:tc>
          <w:tcPr>
            <w:tcW w:w="5540" w:type="dxa"/>
            <w:vAlign w:val="bottom"/>
          </w:tcPr>
          <w:p>
            <w:pPr>
              <w:spacing w:after="0"/>
              <w:rPr>
                <w:sz w:val="20"/>
                <w:szCs w:val="20"/>
                <w:color w:val="auto"/>
              </w:rPr>
            </w:pPr>
            <w:r>
              <w:rPr>
                <w:rFonts w:ascii="Arial" w:cs="Arial" w:eastAsia="Arial" w:hAnsi="Arial"/>
                <w:sz w:val="16"/>
                <w:szCs w:val="16"/>
                <w:color w:val="auto"/>
              </w:rPr>
              <w:t>Income tax expense</w:t>
            </w:r>
          </w:p>
        </w:tc>
        <w:tc>
          <w:tcPr>
            <w:tcW w:w="3200" w:type="dxa"/>
            <w:vAlign w:val="bottom"/>
          </w:tcPr>
          <w:p>
            <w:pPr>
              <w:jc w:val="right"/>
              <w:spacing w:after="0"/>
              <w:rPr>
                <w:sz w:val="20"/>
                <w:szCs w:val="20"/>
                <w:color w:val="auto"/>
              </w:rPr>
            </w:pPr>
            <w:r>
              <w:rPr>
                <w:rFonts w:ascii="Arial" w:cs="Arial" w:eastAsia="Arial" w:hAnsi="Arial"/>
                <w:sz w:val="16"/>
                <w:szCs w:val="16"/>
                <w:color w:val="auto"/>
              </w:rPr>
              <w:t>2.1-2.7</w:t>
            </w:r>
          </w:p>
        </w:tc>
      </w:tr>
      <w:tr>
        <w:trPr>
          <w:trHeight w:val="235"/>
        </w:trPr>
        <w:tc>
          <w:tcPr>
            <w:tcW w:w="5540" w:type="dxa"/>
            <w:vAlign w:val="bottom"/>
          </w:tcPr>
          <w:p>
            <w:pPr>
              <w:spacing w:after="0"/>
              <w:rPr>
                <w:sz w:val="20"/>
                <w:szCs w:val="20"/>
                <w:color w:val="auto"/>
              </w:rPr>
            </w:pPr>
            <w:r>
              <w:rPr>
                <w:rFonts w:ascii="Arial" w:cs="Arial" w:eastAsia="Arial" w:hAnsi="Arial"/>
                <w:sz w:val="16"/>
                <w:szCs w:val="16"/>
                <w:color w:val="auto"/>
              </w:rPr>
              <w:t>Automotive interest expense, net</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EBIT-adjusted(a)</w:t>
            </w:r>
          </w:p>
        </w:tc>
        <w:tc>
          <w:tcPr>
            <w:tcW w:w="3200" w:type="dxa"/>
            <w:vAlign w:val="bottom"/>
          </w:tcPr>
          <w:p>
            <w:pPr>
              <w:jc w:val="right"/>
              <w:spacing w:after="0"/>
              <w:rPr>
                <w:sz w:val="20"/>
                <w:szCs w:val="20"/>
                <w:color w:val="auto"/>
              </w:rPr>
            </w:pPr>
            <w:r>
              <w:rPr>
                <w:rFonts w:ascii="Arial" w:cs="Arial" w:eastAsia="Arial" w:hAnsi="Arial"/>
                <w:sz w:val="16"/>
                <w:szCs w:val="16"/>
                <w:color w:val="auto"/>
              </w:rPr>
              <w:t>$ 12.0-14.0</w:t>
            </w:r>
          </w:p>
        </w:tc>
      </w:tr>
    </w:tbl>
    <w:p>
      <w:pPr>
        <w:spacing w:after="0" w:line="200" w:lineRule="exact"/>
        <w:rPr>
          <w:sz w:val="20"/>
          <w:szCs w:val="20"/>
          <w:color w:val="auto"/>
        </w:rPr>
      </w:pPr>
    </w:p>
    <w:p>
      <w:pPr>
        <w:spacing w:after="0" w:line="35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reconciles expected automotive net cash provided by operating activities under U.S. GAAP to expected adjusted automotive free cash flow (dollars in billions):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200" w:type="dxa"/>
            <w:vAlign w:val="bottom"/>
          </w:tcPr>
          <w:p>
            <w:pPr>
              <w:jc w:val="right"/>
              <w:ind w:right="1059"/>
              <w:spacing w:after="0"/>
              <w:rPr>
                <w:sz w:val="20"/>
                <w:szCs w:val="20"/>
                <w:color w:val="auto"/>
              </w:rPr>
            </w:pPr>
            <w:r>
              <w:rPr>
                <w:rFonts w:ascii="Arial" w:cs="Arial" w:eastAsia="Arial" w:hAnsi="Arial"/>
                <w:sz w:val="16"/>
                <w:szCs w:val="16"/>
                <w:b w:val="1"/>
                <w:bCs w:val="1"/>
                <w:color w:val="auto"/>
              </w:rPr>
              <w:t>Year Ending</w:t>
            </w:r>
          </w:p>
        </w:tc>
      </w:tr>
      <w:tr>
        <w:trPr>
          <w:trHeight w:val="216"/>
        </w:trPr>
        <w:tc>
          <w:tcPr>
            <w:tcW w:w="5540" w:type="dxa"/>
            <w:vAlign w:val="bottom"/>
          </w:tcPr>
          <w:p>
            <w:pPr>
              <w:spacing w:after="0"/>
              <w:rPr>
                <w:sz w:val="18"/>
                <w:szCs w:val="18"/>
                <w:color w:val="auto"/>
              </w:rPr>
            </w:pPr>
          </w:p>
        </w:tc>
        <w:tc>
          <w:tcPr>
            <w:tcW w:w="32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December 31, 2024</w:t>
            </w:r>
          </w:p>
        </w:tc>
      </w:tr>
      <w:tr>
        <w:trPr>
          <w:trHeight w:val="208"/>
        </w:trPr>
        <w:tc>
          <w:tcPr>
            <w:tcW w:w="5540" w:type="dxa"/>
            <w:vAlign w:val="bottom"/>
          </w:tcPr>
          <w:p>
            <w:pPr>
              <w:spacing w:after="0"/>
              <w:rPr>
                <w:sz w:val="20"/>
                <w:szCs w:val="20"/>
                <w:color w:val="auto"/>
              </w:rPr>
            </w:pPr>
            <w:r>
              <w:rPr>
                <w:rFonts w:ascii="Arial" w:cs="Arial" w:eastAsia="Arial" w:hAnsi="Arial"/>
                <w:sz w:val="16"/>
                <w:szCs w:val="16"/>
                <w:color w:val="auto"/>
              </w:rPr>
              <w:t>Net automotive cash provided by operating activities</w:t>
            </w:r>
          </w:p>
        </w:tc>
        <w:tc>
          <w:tcPr>
            <w:tcW w:w="3200" w:type="dxa"/>
            <w:vAlign w:val="bottom"/>
          </w:tcPr>
          <w:p>
            <w:pPr>
              <w:jc w:val="right"/>
              <w:spacing w:after="0"/>
              <w:rPr>
                <w:sz w:val="20"/>
                <w:szCs w:val="20"/>
                <w:color w:val="auto"/>
              </w:rPr>
            </w:pPr>
            <w:r>
              <w:rPr>
                <w:rFonts w:ascii="Arial" w:cs="Arial" w:eastAsia="Arial" w:hAnsi="Arial"/>
                <w:sz w:val="16"/>
                <w:szCs w:val="16"/>
                <w:color w:val="auto"/>
              </w:rPr>
              <w:t>$ 18.0-21.0</w:t>
            </w: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Less: Capital expenditures</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10.0-11.0</w:t>
            </w: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Adjusted automotive free cash flow(a)</w:t>
            </w:r>
          </w:p>
        </w:tc>
        <w:tc>
          <w:tcPr>
            <w:tcW w:w="3200" w:type="dxa"/>
            <w:vAlign w:val="bottom"/>
          </w:tcPr>
          <w:p>
            <w:pPr>
              <w:jc w:val="right"/>
              <w:spacing w:after="0"/>
              <w:rPr>
                <w:sz w:val="20"/>
                <w:szCs w:val="20"/>
                <w:color w:val="auto"/>
              </w:rPr>
            </w:pPr>
            <w:r>
              <w:rPr>
                <w:rFonts w:ascii="Arial" w:cs="Arial" w:eastAsia="Arial" w:hAnsi="Arial"/>
                <w:sz w:val="16"/>
                <w:szCs w:val="16"/>
                <w:color w:val="auto"/>
              </w:rPr>
              <w:t>$ 8.0-10.0</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do not consider the potential future impact of adjustments on our expected financial results.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5900"/>
        <w:spacing w:after="0"/>
        <w:rPr>
          <w:rFonts w:ascii="Arial" w:cs="Arial" w:eastAsia="Arial" w:hAnsi="Arial"/>
          <w:sz w:val="16"/>
          <w:szCs w:val="16"/>
          <w:color w:val="auto"/>
        </w:rPr>
      </w:pP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(In millions) (Unaudited)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Year Ended December 31, 2023</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Year Ended December 31, 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86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Automotive</w:t>
            </w:r>
          </w:p>
        </w:tc>
        <w:tc>
          <w:tcPr>
            <w:tcW w:w="6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Cruise</w:t>
            </w:r>
          </w:p>
        </w:tc>
        <w:tc>
          <w:tcPr>
            <w:tcW w:w="140" w:type="dxa"/>
            <w:vAlign w:val="bottom"/>
          </w:tcPr>
          <w:p>
            <w:pPr>
              <w:spacing w:after="0"/>
              <w:rPr>
                <w:sz w:val="9"/>
                <w:szCs w:val="9"/>
                <w:color w:val="auto"/>
              </w:rPr>
            </w:pPr>
          </w:p>
        </w:tc>
        <w:tc>
          <w:tcPr>
            <w:tcW w:w="58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20" w:type="dxa"/>
            <w:vAlign w:val="bottom"/>
            <w:vMerge w:val="restart"/>
          </w:tcPr>
          <w:p>
            <w:pPr>
              <w:jc w:val="right"/>
              <w:ind w:right="18"/>
              <w:spacing w:after="0"/>
              <w:rPr>
                <w:sz w:val="20"/>
                <w:szCs w:val="20"/>
                <w:color w:val="auto"/>
              </w:rPr>
            </w:pPr>
            <w:r>
              <w:rPr>
                <w:rFonts w:ascii="Arial" w:cs="Arial" w:eastAsia="Arial" w:hAnsi="Arial"/>
                <w:sz w:val="11"/>
                <w:szCs w:val="11"/>
                <w:b w:val="1"/>
                <w:bCs w:val="1"/>
                <w:color w:val="auto"/>
                <w:w w:val="96"/>
              </w:rPr>
              <w:t>Combined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660" w:type="dxa"/>
            <w:vAlign w:val="bottom"/>
            <w:gridSpan w:val="2"/>
          </w:tcPr>
          <w:p>
            <w:pPr>
              <w:jc w:val="center"/>
              <w:ind w:right="200"/>
              <w:spacing w:after="0" w:line="109"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40" w:type="dxa"/>
            <w:vAlign w:val="bottom"/>
            <w:vMerge w:val="restart"/>
          </w:tcPr>
          <w:p>
            <w:pPr>
              <w:jc w:val="right"/>
              <w:ind w:right="38"/>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143,974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143,975</w:t>
            </w:r>
          </w:p>
        </w:tc>
        <w:tc>
          <w:tcPr>
            <w:tcW w:w="0" w:type="dxa"/>
            <w:vAlign w:val="bottom"/>
          </w:tcPr>
          <w:p>
            <w:pPr>
              <w:spacing w:after="0"/>
              <w:rPr>
                <w:sz w:val="1"/>
                <w:szCs w:val="1"/>
                <w:color w:val="auto"/>
              </w:rPr>
            </w:pPr>
          </w:p>
        </w:tc>
      </w:tr>
      <w:tr>
        <w:trPr>
          <w:trHeight w:val="171"/>
        </w:trPr>
        <w:tc>
          <w:tcPr>
            <w:tcW w:w="1700" w:type="dxa"/>
            <w:vAlign w:val="bottom"/>
          </w:tcPr>
          <w:p>
            <w:pPr>
              <w:ind w:left="140"/>
              <w:spacing w:after="0"/>
              <w:rPr>
                <w:sz w:val="20"/>
                <w:szCs w:val="20"/>
                <w:color w:val="auto"/>
              </w:rPr>
            </w:pPr>
            <w:r>
              <w:rPr>
                <w:rFonts w:ascii="Arial" w:cs="Arial" w:eastAsia="Arial" w:hAnsi="Arial"/>
                <w:sz w:val="13"/>
                <w:szCs w:val="13"/>
                <w:color w:val="auto"/>
              </w:rPr>
              <w:t>GM Financial</w:t>
            </w: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14,225</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14,184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12,766</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12,760</w:t>
            </w:r>
          </w:p>
        </w:tc>
        <w:tc>
          <w:tcPr>
            <w:tcW w:w="0" w:type="dxa"/>
            <w:vAlign w:val="bottom"/>
          </w:tcPr>
          <w:p>
            <w:pPr>
              <w:spacing w:after="0"/>
              <w:rPr>
                <w:sz w:val="1"/>
                <w:szCs w:val="1"/>
                <w:color w:val="auto"/>
              </w:rPr>
            </w:pPr>
          </w:p>
        </w:tc>
      </w:tr>
      <w:tr>
        <w:trPr>
          <w:trHeight w:val="174"/>
        </w:trPr>
        <w:tc>
          <w:tcPr>
            <w:tcW w:w="1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w w:val="95"/>
              </w:rPr>
              <w:t>Total net sales and revenue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157,667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14,225</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171,842</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143,974</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12,766</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156,735</w:t>
            </w:r>
          </w:p>
        </w:tc>
        <w:tc>
          <w:tcPr>
            <w:tcW w:w="0" w:type="dxa"/>
            <w:vAlign w:val="bottom"/>
          </w:tcPr>
          <w:p>
            <w:pPr>
              <w:spacing w:after="0"/>
              <w:rPr>
                <w:sz w:val="1"/>
                <w:szCs w:val="1"/>
                <w:color w:val="auto"/>
              </w:rPr>
            </w:pPr>
          </w:p>
        </w:tc>
      </w:tr>
      <w:tr>
        <w:trPr>
          <w:trHeight w:val="154"/>
        </w:trPr>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700" w:type="dxa"/>
            <w:vAlign w:val="bottom"/>
            <w:shd w:val="clear" w:color="auto" w:fill="CCEEFF"/>
          </w:tcPr>
          <w:p>
            <w:pPr>
              <w:ind w:left="140"/>
              <w:spacing w:after="0" w:line="133" w:lineRule="exact"/>
              <w:rPr>
                <w:sz w:val="20"/>
                <w:szCs w:val="20"/>
                <w:color w:val="auto"/>
              </w:rPr>
            </w:pPr>
            <w:r>
              <w:rPr>
                <w:rFonts w:ascii="Arial" w:cs="Arial" w:eastAsia="Arial" w:hAnsi="Arial"/>
                <w:sz w:val="13"/>
                <w:szCs w:val="13"/>
                <w:color w:val="auto"/>
              </w:rPr>
              <w:t>Automotive and other cost</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of sales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3,088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141,330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124,317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126,892</w:t>
            </w:r>
          </w:p>
        </w:tc>
        <w:tc>
          <w:tcPr>
            <w:tcW w:w="0" w:type="dxa"/>
            <w:vAlign w:val="bottom"/>
          </w:tcPr>
          <w:p>
            <w:pPr>
              <w:spacing w:after="0"/>
              <w:rPr>
                <w:sz w:val="1"/>
                <w:szCs w:val="1"/>
                <w:color w:val="auto"/>
              </w:rPr>
            </w:pPr>
          </w:p>
        </w:tc>
      </w:tr>
      <w:tr>
        <w:trPr>
          <w:trHeight w:val="131"/>
        </w:trPr>
        <w:tc>
          <w:tcPr>
            <w:tcW w:w="1700" w:type="dxa"/>
            <w:vAlign w:val="bottom"/>
          </w:tcPr>
          <w:p>
            <w:pPr>
              <w:ind w:left="140"/>
              <w:spacing w:after="0" w:line="131" w:lineRule="exact"/>
              <w:rPr>
                <w:sz w:val="20"/>
                <w:szCs w:val="20"/>
                <w:color w:val="auto"/>
              </w:rPr>
            </w:pPr>
            <w:r>
              <w:rPr>
                <w:rFonts w:ascii="Arial" w:cs="Arial" w:eastAsia="Arial" w:hAnsi="Arial"/>
                <w:sz w:val="13"/>
                <w:szCs w:val="13"/>
                <w:color w:val="auto"/>
              </w:rPr>
              <w:t>GM Financial interest,</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00" w:type="dxa"/>
            <w:vAlign w:val="bottom"/>
          </w:tcPr>
          <w:p>
            <w:pPr>
              <w:ind w:left="300"/>
              <w:spacing w:after="0" w:line="126" w:lineRule="exact"/>
              <w:rPr>
                <w:sz w:val="20"/>
                <w:szCs w:val="20"/>
                <w:color w:val="auto"/>
              </w:rPr>
            </w:pPr>
            <w:r>
              <w:rPr>
                <w:rFonts w:ascii="Arial" w:cs="Arial" w:eastAsia="Arial" w:hAnsi="Arial"/>
                <w:sz w:val="13"/>
                <w:szCs w:val="13"/>
                <w:color w:val="auto"/>
              </w:rPr>
              <w:t>operating and other</w:t>
            </w:r>
          </w:p>
        </w:tc>
        <w:tc>
          <w:tcPr>
            <w:tcW w:w="18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11,376</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11,374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8,864</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8,862</w:t>
            </w:r>
          </w:p>
        </w:tc>
        <w:tc>
          <w:tcPr>
            <w:tcW w:w="0" w:type="dxa"/>
            <w:vAlign w:val="bottom"/>
          </w:tcPr>
          <w:p>
            <w:pPr>
              <w:spacing w:after="0"/>
              <w:rPr>
                <w:sz w:val="1"/>
                <w:szCs w:val="1"/>
                <w:color w:val="auto"/>
              </w:rPr>
            </w:pPr>
          </w:p>
        </w:tc>
      </w:tr>
      <w:tr>
        <w:trPr>
          <w:trHeight w:val="171"/>
        </w:trPr>
        <w:tc>
          <w:tcPr>
            <w:tcW w:w="1700" w:type="dxa"/>
            <w:vAlign w:val="bottom"/>
          </w:tcPr>
          <w:p>
            <w:pPr>
              <w:ind w:left="300"/>
              <w:spacing w:after="0"/>
              <w:rPr>
                <w:sz w:val="20"/>
                <w:szCs w:val="20"/>
                <w:color w:val="auto"/>
              </w:rPr>
            </w:pPr>
            <w:r>
              <w:rPr>
                <w:rFonts w:ascii="Arial" w:cs="Arial" w:eastAsia="Arial" w:hAnsi="Arial"/>
                <w:sz w:val="13"/>
                <w:szCs w:val="13"/>
                <w:color w:val="auto"/>
              </w:rPr>
              <w:t>expenses</w:t>
            </w: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Automotive and other</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ind w:left="300"/>
              <w:spacing w:after="0" w:line="126" w:lineRule="exact"/>
              <w:rPr>
                <w:sz w:val="20"/>
                <w:szCs w:val="20"/>
                <w:color w:val="auto"/>
              </w:rPr>
            </w:pPr>
            <w:r>
              <w:rPr>
                <w:rFonts w:ascii="Arial" w:cs="Arial" w:eastAsia="Arial" w:hAnsi="Arial"/>
                <w:sz w:val="13"/>
                <w:szCs w:val="13"/>
                <w:color w:val="auto"/>
              </w:rPr>
              <w:t>selling, general and</w:t>
            </w:r>
          </w:p>
        </w:tc>
        <w:tc>
          <w:tcPr>
            <w:tcW w:w="1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9,349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9,840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9,902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766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10,667</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administrative expense</w:t>
            </w:r>
          </w:p>
        </w:tc>
        <w:tc>
          <w:tcPr>
            <w:tcW w:w="1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7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costs and expenses</w:t>
            </w:r>
          </w:p>
        </w:tc>
        <w:tc>
          <w:tcPr>
            <w:tcW w:w="1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147,603</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3,581</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11,376</w:t>
            </w:r>
          </w:p>
        </w:tc>
        <w:tc>
          <w:tcPr>
            <w:tcW w:w="1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162,544</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134,219</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3,342</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8,864</w:t>
            </w:r>
          </w:p>
        </w:tc>
        <w:tc>
          <w:tcPr>
            <w:tcW w:w="10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146,421</w:t>
            </w: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income (loss)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10,064</w:t>
            </w: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3"/>
                <w:szCs w:val="13"/>
                <w:color w:val="auto"/>
                <w:w w:val="97"/>
              </w:rPr>
              <w:t>(3,240)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10,315</w:t>
            </w:r>
          </w:p>
        </w:tc>
        <w:tc>
          <w:tcPr>
            <w:tcW w:w="0" w:type="dxa"/>
            <w:vAlign w:val="bottom"/>
          </w:tcPr>
          <w:p>
            <w:pPr>
              <w:spacing w:after="0"/>
              <w:rPr>
                <w:sz w:val="1"/>
                <w:szCs w:val="1"/>
                <w:color w:val="auto"/>
              </w:rPr>
            </w:pPr>
          </w:p>
        </w:tc>
      </w:tr>
      <w:tr>
        <w:trPr>
          <w:trHeight w:val="171"/>
        </w:trPr>
        <w:tc>
          <w:tcPr>
            <w:tcW w:w="1700" w:type="dxa"/>
            <w:vAlign w:val="bottom"/>
          </w:tcPr>
          <w:p>
            <w:pPr>
              <w:ind w:left="20"/>
              <w:spacing w:after="0"/>
              <w:rPr>
                <w:sz w:val="20"/>
                <w:szCs w:val="20"/>
                <w:color w:val="auto"/>
              </w:rPr>
            </w:pPr>
            <w:r>
              <w:rPr>
                <w:rFonts w:ascii="Arial" w:cs="Arial" w:eastAsia="Arial" w:hAnsi="Arial"/>
                <w:sz w:val="13"/>
                <w:szCs w:val="13"/>
                <w:color w:val="auto"/>
              </w:rPr>
              <w:t>Automotive interest expense</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987</w:t>
            </w: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Interest income and other</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non-operating income, net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w:t>
            </w:r>
          </w:p>
        </w:tc>
        <w:tc>
          <w:tcPr>
            <w:tcW w:w="0" w:type="dxa"/>
            <w:vAlign w:val="bottom"/>
          </w:tcPr>
          <w:p>
            <w:pPr>
              <w:spacing w:after="0"/>
              <w:rPr>
                <w:sz w:val="1"/>
                <w:szCs w:val="1"/>
                <w:color w:val="auto"/>
              </w:rPr>
            </w:pPr>
          </w:p>
        </w:tc>
      </w:tr>
      <w:tr>
        <w:trPr>
          <w:trHeight w:val="171"/>
        </w:trPr>
        <w:tc>
          <w:tcPr>
            <w:tcW w:w="1700" w:type="dxa"/>
            <w:vAlign w:val="bottom"/>
          </w:tcPr>
          <w:p>
            <w:pPr>
              <w:ind w:left="20"/>
              <w:spacing w:after="0"/>
              <w:rPr>
                <w:sz w:val="20"/>
                <w:szCs w:val="20"/>
                <w:color w:val="auto"/>
              </w:rPr>
            </w:pPr>
            <w:r>
              <w:rPr>
                <w:rFonts w:ascii="Arial" w:cs="Arial" w:eastAsia="Arial" w:hAnsi="Arial"/>
                <w:sz w:val="13"/>
                <w:szCs w:val="13"/>
                <w:color w:val="auto"/>
              </w:rPr>
              <w:t>Equity income (loss)</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837</w:t>
            </w:r>
          </w:p>
        </w:tc>
        <w:tc>
          <w:tcPr>
            <w:tcW w:w="0" w:type="dxa"/>
            <w:vAlign w:val="bottom"/>
          </w:tcPr>
          <w:p>
            <w:pPr>
              <w:spacing w:after="0"/>
              <w:rPr>
                <w:sz w:val="1"/>
                <w:szCs w:val="1"/>
                <w:color w:val="auto"/>
              </w:rPr>
            </w:pPr>
          </w:p>
        </w:tc>
      </w:tr>
      <w:tr>
        <w:trPr>
          <w:trHeight w:val="115"/>
        </w:trPr>
        <w:tc>
          <w:tcPr>
            <w:tcW w:w="170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Income (loss) before income</w:t>
            </w:r>
          </w:p>
        </w:tc>
        <w:tc>
          <w:tcPr>
            <w:tcW w:w="1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taxes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10,823</w:t>
            </w: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3"/>
                <w:szCs w:val="13"/>
                <w:color w:val="auto"/>
                <w:w w:val="97"/>
              </w:rPr>
              <w:t>(3,197)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11,597</w:t>
            </w:r>
          </w:p>
        </w:tc>
        <w:tc>
          <w:tcPr>
            <w:tcW w:w="0" w:type="dxa"/>
            <w:vAlign w:val="bottom"/>
          </w:tcPr>
          <w:p>
            <w:pPr>
              <w:spacing w:after="0"/>
              <w:rPr>
                <w:sz w:val="1"/>
                <w:szCs w:val="1"/>
                <w:color w:val="auto"/>
              </w:rPr>
            </w:pPr>
          </w:p>
        </w:tc>
      </w:tr>
      <w:tr>
        <w:trPr>
          <w:trHeight w:val="171"/>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8"/>
              </w:rPr>
              <w:t>Income tax expense (benefit)</w:t>
            </w: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1,888</w:t>
            </w:r>
          </w:p>
        </w:tc>
        <w:tc>
          <w:tcPr>
            <w:tcW w:w="0" w:type="dxa"/>
            <w:vAlign w:val="bottom"/>
          </w:tcPr>
          <w:p>
            <w:pPr>
              <w:spacing w:after="0"/>
              <w:rPr>
                <w:sz w:val="1"/>
                <w:szCs w:val="1"/>
                <w:color w:val="auto"/>
              </w:rPr>
            </w:pPr>
          </w:p>
        </w:tc>
      </w:tr>
      <w:tr>
        <w:trPr>
          <w:trHeight w:val="174"/>
        </w:trPr>
        <w:tc>
          <w:tcPr>
            <w:tcW w:w="1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9,708</w:t>
            </w:r>
          </w:p>
        </w:tc>
        <w:tc>
          <w:tcPr>
            <w:tcW w:w="0" w:type="dxa"/>
            <w:vAlign w:val="bottom"/>
          </w:tcPr>
          <w:p>
            <w:pPr>
              <w:spacing w:after="0"/>
              <w:rPr>
                <w:sz w:val="1"/>
                <w:szCs w:val="1"/>
                <w:color w:val="auto"/>
              </w:rPr>
            </w:pPr>
          </w:p>
        </w:tc>
      </w:tr>
      <w:tr>
        <w:trPr>
          <w:trHeight w:val="131"/>
        </w:trPr>
        <w:tc>
          <w:tcPr>
            <w:tcW w:w="1700" w:type="dxa"/>
            <w:vAlign w:val="bottom"/>
          </w:tcPr>
          <w:p>
            <w:pPr>
              <w:ind w:left="20"/>
              <w:spacing w:after="0" w:line="131" w:lineRule="exact"/>
              <w:rPr>
                <w:sz w:val="20"/>
                <w:szCs w:val="20"/>
                <w:color w:val="auto"/>
              </w:rPr>
            </w:pPr>
            <w:r>
              <w:rPr>
                <w:rFonts w:ascii="Arial" w:cs="Arial" w:eastAsia="Arial" w:hAnsi="Arial"/>
                <w:sz w:val="13"/>
                <w:szCs w:val="13"/>
                <w:color w:val="auto"/>
                <w:w w:val="98"/>
              </w:rPr>
              <w:t>Net loss (income) attributable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7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 noncontrolling interests</w:t>
            </w:r>
          </w:p>
        </w:tc>
        <w:tc>
          <w:tcPr>
            <w:tcW w:w="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17"/>
        </w:trPr>
        <w:tc>
          <w:tcPr>
            <w:tcW w:w="170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b w:val="1"/>
                <w:bCs w:val="1"/>
                <w:color w:val="auto"/>
              </w:rPr>
              <w:t>Net income (loss)</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b w:val="1"/>
                <w:bCs w:val="1"/>
                <w:color w:val="auto"/>
              </w:rPr>
              <w:t>attributable to</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10,127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9,934</w:t>
            </w:r>
          </w:p>
        </w:tc>
        <w:tc>
          <w:tcPr>
            <w:tcW w:w="0" w:type="dxa"/>
            <w:vAlign w:val="bottom"/>
          </w:tcPr>
          <w:p>
            <w:pPr>
              <w:spacing w:after="0"/>
              <w:rPr>
                <w:sz w:val="1"/>
                <w:szCs w:val="1"/>
                <w:color w:val="auto"/>
              </w:rPr>
            </w:pPr>
          </w:p>
        </w:tc>
      </w:tr>
      <w:tr>
        <w:trPr>
          <w:trHeight w:val="16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Net income (loss)</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b w:val="1"/>
                <w:bCs w:val="1"/>
                <w:color w:val="auto"/>
              </w:rPr>
              <w:t>attributable to common</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10,022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8,915</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235"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Certain columns and rows may not add due to rounding.</w:t>
      </w:r>
    </w:p>
    <w:p>
      <w:pPr>
        <w:sectPr>
          <w:pgSz w:w="11900" w:h="16838" w:orient="portrait"/>
          <w:cols w:equalWidth="0" w:num="1">
            <w:col w:w="11080"/>
          </w:cols>
          <w:pgMar w:left="320" w:top="368" w:right="49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80"/>
          </w:cols>
          <w:pgMar w:left="320" w:top="368" w:right="49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5"/>
          </w:tcPr>
          <w:p>
            <w:pPr>
              <w:ind w:left="68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2760" w:type="dxa"/>
            <w:vAlign w:val="bottom"/>
            <w:gridSpan w:val="4"/>
          </w:tcPr>
          <w:p>
            <w:pPr>
              <w:jc w:val="right"/>
              <w:ind w:right="981"/>
              <w:spacing w:after="0"/>
              <w:rPr>
                <w:sz w:val="20"/>
                <w:szCs w:val="20"/>
                <w:color w:val="auto"/>
              </w:rPr>
            </w:pPr>
            <w:r>
              <w:rPr>
                <w:rFonts w:ascii="Arial" w:cs="Arial" w:eastAsia="Arial" w:hAnsi="Arial"/>
                <w:sz w:val="13"/>
                <w:szCs w:val="13"/>
                <w:b w:val="1"/>
                <w:bCs w:val="1"/>
                <w:color w:val="auto"/>
              </w:rPr>
              <w:t>Years Ended</w:t>
            </w:r>
          </w:p>
        </w:tc>
      </w:tr>
      <w:tr>
        <w:trPr>
          <w:trHeight w:val="169"/>
        </w:trPr>
        <w:tc>
          <w:tcPr>
            <w:tcW w:w="53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95"/>
              </w:rPr>
              <w:t>December 31, 2022</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95"/>
              </w:rPr>
              <w:t>December 31, 2022</w:t>
            </w:r>
          </w:p>
        </w:tc>
      </w:tr>
      <w:tr>
        <w:trPr>
          <w:trHeight w:val="185"/>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217"/>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9,934</w:t>
            </w:r>
          </w:p>
        </w:tc>
      </w:tr>
      <w:tr>
        <w:trPr>
          <w:trHeight w:val="215"/>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cumulative dividends on subsidiary preferred stock(a)</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r>
      <w:tr>
        <w:trPr>
          <w:trHeight w:val="235"/>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5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108"/>
        </w:trPr>
        <w:tc>
          <w:tcPr>
            <w:tcW w:w="5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r>
      <w:tr>
        <w:trPr>
          <w:trHeight w:val="201"/>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7"/>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common stockholders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8,915</w:t>
            </w:r>
          </w:p>
        </w:tc>
      </w:tr>
      <w:tr>
        <w:trPr>
          <w:trHeight w:val="108"/>
        </w:trPr>
        <w:tc>
          <w:tcPr>
            <w:tcW w:w="5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 – diluted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w:t>
            </w:r>
          </w:p>
        </w:tc>
      </w:tr>
      <w:tr>
        <w:trPr>
          <w:trHeight w:val="94"/>
        </w:trPr>
        <w:tc>
          <w:tcPr>
            <w:tcW w:w="5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r>
      <w:tr>
        <w:trPr>
          <w:trHeight w:val="215"/>
        </w:trPr>
        <w:tc>
          <w:tcPr>
            <w:tcW w:w="5360" w:type="dxa"/>
            <w:vAlign w:val="bottom"/>
          </w:tcPr>
          <w:p>
            <w:pPr>
              <w:ind w:left="180"/>
              <w:spacing w:after="0"/>
              <w:rPr>
                <w:sz w:val="20"/>
                <w:szCs w:val="20"/>
                <w:color w:val="auto"/>
              </w:rPr>
            </w:pPr>
            <w:r>
              <w:rPr>
                <w:rFonts w:ascii="Arial" w:cs="Arial" w:eastAsia="Arial" w:hAnsi="Arial"/>
                <w:sz w:val="14"/>
                <w:szCs w:val="14"/>
                <w:color w:val="auto"/>
              </w:rPr>
              <w:t>Potentially dilutive securities(b)</w:t>
            </w:r>
          </w:p>
        </w:tc>
        <w:tc>
          <w:tcPr>
            <w:tcW w:w="12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420" w:hanging="331"/>
        <w:spacing w:after="0" w:line="261" w:lineRule="auto"/>
        <w:tabs>
          <w:tab w:leader="none" w:pos="407"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 $909 million deemed dividend related to the redemption of Cruise preferred shares from SoftBank for the year ended December 31, 2022 and an insignificant amount in participating securities income from a subsidiary in the year ended December 31, 2022 and in the three months ended December 31, 2022.</w:t>
      </w:r>
    </w:p>
    <w:p>
      <w:pPr>
        <w:ind w:left="420" w:right="20" w:hanging="331"/>
        <w:spacing w:after="0" w:line="284" w:lineRule="auto"/>
        <w:tabs>
          <w:tab w:leader="none" w:pos="407" w:val="left"/>
        </w:tabs>
        <w:numPr>
          <w:ilvl w:val="0"/>
          <w:numId w:val="7"/>
        </w:numPr>
        <w:rPr>
          <w:rFonts w:ascii="Arial" w:cs="Arial" w:eastAsia="Arial" w:hAnsi="Arial"/>
          <w:sz w:val="14"/>
          <w:szCs w:val="14"/>
          <w:color w:val="auto"/>
        </w:rPr>
      </w:pPr>
      <w:r>
        <w:rPr>
          <w:rFonts w:ascii="Arial" w:cs="Arial" w:eastAsia="Arial" w:hAnsi="Arial"/>
          <w:sz w:val="14"/>
          <w:szCs w:val="14"/>
          <w:color w:val="auto"/>
        </w:rPr>
        <w:t>Potentially dilutive securities attributable to outstanding stock options and restricted stock units (RSUs) at December 31, 2023 and 2022, were excluded from the computation of diluted EPS because the securities would have had an antidilutive effect.</w:t>
      </w:r>
    </w:p>
    <w:p>
      <w:pPr>
        <w:spacing w:after="0" w:line="200" w:lineRule="exact"/>
        <w:rPr>
          <w:sz w:val="20"/>
          <w:szCs w:val="20"/>
          <w:color w:val="auto"/>
        </w:rPr>
      </w:pPr>
    </w:p>
    <w:p>
      <w:pPr>
        <w:spacing w:after="0" w:line="35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36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December 31, 2023</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December 31, 2022</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Cruise</w:t>
            </w:r>
          </w:p>
        </w:tc>
        <w:tc>
          <w:tcPr>
            <w:tcW w:w="10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9"/>
                <w:szCs w:val="9"/>
                <w:b w:val="1"/>
                <w:bCs w:val="1"/>
                <w:color w:val="auto"/>
              </w:rPr>
              <w:t>GM Financial</w:t>
            </w:r>
          </w:p>
        </w:tc>
        <w:tc>
          <w:tcPr>
            <w:tcW w:w="1440" w:type="dxa"/>
            <w:vAlign w:val="bottom"/>
            <w:gridSpan w:val="3"/>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1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Combined</w:t>
            </w:r>
          </w:p>
        </w:tc>
        <w:tc>
          <w:tcPr>
            <w:tcW w:w="8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Cruise</w:t>
            </w:r>
          </w:p>
        </w:tc>
        <w:tc>
          <w:tcPr>
            <w:tcW w:w="10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9"/>
                <w:szCs w:val="9"/>
                <w:b w:val="1"/>
                <w:bCs w:val="1"/>
                <w:color w:val="auto"/>
              </w:rPr>
              <w:t>GM Financial</w:t>
            </w:r>
          </w:p>
        </w:tc>
        <w:tc>
          <w:tcPr>
            <w:tcW w:w="1440" w:type="dxa"/>
            <w:vAlign w:val="bottom"/>
            <w:gridSpan w:val="3"/>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120" w:type="dxa"/>
            <w:vAlign w:val="bottom"/>
          </w:tcPr>
          <w:p>
            <w:pPr>
              <w:spacing w:after="0"/>
              <w:rPr>
                <w:sz w:val="11"/>
                <w:szCs w:val="11"/>
                <w:color w:val="auto"/>
              </w:rPr>
            </w:pPr>
          </w:p>
        </w:tc>
        <w:tc>
          <w:tcPr>
            <w:tcW w:w="600" w:type="dxa"/>
            <w:vAlign w:val="bottom"/>
          </w:tcPr>
          <w:p>
            <w:pPr>
              <w:jc w:val="right"/>
              <w:ind w:right="77"/>
              <w:spacing w:after="0"/>
              <w:rPr>
                <w:sz w:val="20"/>
                <w:szCs w:val="20"/>
                <w:color w:val="auto"/>
              </w:rPr>
            </w:pPr>
            <w:r>
              <w:rPr>
                <w:rFonts w:ascii="Arial" w:cs="Arial" w:eastAsia="Arial" w:hAnsi="Arial"/>
                <w:sz w:val="9"/>
                <w:szCs w:val="9"/>
                <w:b w:val="1"/>
                <w:bCs w:val="1"/>
                <w:color w:val="auto"/>
                <w:w w:val="99"/>
              </w:rPr>
              <w:t>Combined</w:t>
            </w:r>
          </w:p>
        </w:tc>
        <w:tc>
          <w:tcPr>
            <w:tcW w:w="0" w:type="dxa"/>
            <w:vAlign w:val="bottom"/>
          </w:tcPr>
          <w:p>
            <w:pPr>
              <w:spacing w:after="0"/>
              <w:rPr>
                <w:sz w:val="1"/>
                <w:szCs w:val="1"/>
                <w:color w:val="auto"/>
              </w:rPr>
            </w:pPr>
          </w:p>
        </w:tc>
      </w:tr>
      <w:tr>
        <w:trPr>
          <w:trHeight w:val="22"/>
        </w:trPr>
        <w:tc>
          <w:tcPr>
            <w:tcW w:w="2220" w:type="dxa"/>
            <w:vAlign w:val="bottom"/>
            <w:vMerge w:val="restart"/>
          </w:tcPr>
          <w:p>
            <w:pPr>
              <w:ind w:left="86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18,853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19,153</w:t>
            </w:r>
          </w:p>
        </w:tc>
        <w:tc>
          <w:tcPr>
            <w:tcW w:w="0" w:type="dxa"/>
            <w:vAlign w:val="bottom"/>
          </w:tcPr>
          <w:p>
            <w:pPr>
              <w:spacing w:after="0"/>
              <w:rPr>
                <w:sz w:val="1"/>
                <w:szCs w:val="1"/>
                <w:color w:val="auto"/>
              </w:rPr>
            </w:pPr>
          </w:p>
        </w:tc>
      </w:tr>
      <w:tr>
        <w:trPr>
          <w:trHeight w:val="171"/>
        </w:trPr>
        <w:tc>
          <w:tcPr>
            <w:tcW w:w="2220" w:type="dxa"/>
            <w:vAlign w:val="bottom"/>
          </w:tcPr>
          <w:p>
            <w:pPr>
              <w:ind w:left="140"/>
              <w:spacing w:after="0"/>
              <w:rPr>
                <w:sz w:val="20"/>
                <w:szCs w:val="20"/>
                <w:color w:val="auto"/>
              </w:rPr>
            </w:pPr>
            <w:r>
              <w:rPr>
                <w:rFonts w:ascii="Arial" w:cs="Arial" w:eastAsia="Arial" w:hAnsi="Arial"/>
                <w:sz w:val="13"/>
                <w:szCs w:val="13"/>
                <w:color w:val="auto"/>
              </w:rPr>
              <w:t>Marketable debt securities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7,613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7,613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10,760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12,150</w:t>
            </w: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Accounts and notes receivable,</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net(a)</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13,333</w:t>
            </w:r>
          </w:p>
        </w:tc>
        <w:tc>
          <w:tcPr>
            <w:tcW w:w="0" w:type="dxa"/>
            <w:vAlign w:val="bottom"/>
          </w:tcPr>
          <w:p>
            <w:pPr>
              <w:spacing w:after="0"/>
              <w:rPr>
                <w:sz w:val="1"/>
                <w:szCs w:val="1"/>
                <w:color w:val="auto"/>
              </w:rPr>
            </w:pPr>
          </w:p>
        </w:tc>
      </w:tr>
      <w:tr>
        <w:trPr>
          <w:trHeight w:val="171"/>
        </w:trPr>
        <w:tc>
          <w:tcPr>
            <w:tcW w:w="2220" w:type="dxa"/>
            <w:vAlign w:val="bottom"/>
          </w:tcPr>
          <w:p>
            <w:pPr>
              <w:ind w:left="140"/>
              <w:spacing w:after="0"/>
              <w:rPr>
                <w:sz w:val="20"/>
                <w:szCs w:val="20"/>
                <w:color w:val="auto"/>
              </w:rPr>
            </w:pPr>
            <w:r>
              <w:rPr>
                <w:rFonts w:ascii="Arial" w:cs="Arial" w:eastAsia="Arial" w:hAnsi="Arial"/>
                <w:sz w:val="13"/>
                <w:szCs w:val="13"/>
                <w:color w:val="auto"/>
              </w:rPr>
              <w:t>GM Financial receivables, net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39,246</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39,076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33,811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33,623</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15,366</w:t>
            </w:r>
          </w:p>
        </w:tc>
        <w:tc>
          <w:tcPr>
            <w:tcW w:w="0" w:type="dxa"/>
            <w:vAlign w:val="bottom"/>
          </w:tcPr>
          <w:p>
            <w:pPr>
              <w:spacing w:after="0"/>
              <w:rPr>
                <w:sz w:val="1"/>
                <w:szCs w:val="1"/>
                <w:color w:val="auto"/>
              </w:rPr>
            </w:pPr>
          </w:p>
        </w:tc>
      </w:tr>
      <w:tr>
        <w:trPr>
          <w:trHeight w:val="171"/>
        </w:trPr>
        <w:tc>
          <w:tcPr>
            <w:tcW w:w="22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current assets(b)</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5,205</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4,912</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6,825</w:t>
            </w:r>
          </w:p>
        </w:tc>
        <w:tc>
          <w:tcPr>
            <w:tcW w:w="0" w:type="dxa"/>
            <w:vAlign w:val="bottom"/>
          </w:tcPr>
          <w:p>
            <w:pPr>
              <w:spacing w:after="0"/>
              <w:rPr>
                <w:sz w:val="1"/>
                <w:szCs w:val="1"/>
                <w:color w:val="auto"/>
              </w:rPr>
            </w:pPr>
          </w:p>
        </w:tc>
      </w:tr>
      <w:tr>
        <w:trPr>
          <w:trHeight w:val="174"/>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51,624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44,842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100,451</w:t>
            </w: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GM Financial receivables, net(d)</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45,391</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45,043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40,702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40,591</w:t>
            </w:r>
          </w:p>
        </w:tc>
        <w:tc>
          <w:tcPr>
            <w:tcW w:w="0" w:type="dxa"/>
            <w:vAlign w:val="bottom"/>
          </w:tcPr>
          <w:p>
            <w:pPr>
              <w:spacing w:after="0"/>
              <w:rPr>
                <w:sz w:val="1"/>
                <w:szCs w:val="1"/>
                <w:color w:val="auto"/>
              </w:rPr>
            </w:pPr>
          </w:p>
        </w:tc>
      </w:tr>
      <w:tr>
        <w:trPr>
          <w:trHeight w:val="131"/>
        </w:trPr>
        <w:tc>
          <w:tcPr>
            <w:tcW w:w="2220" w:type="dxa"/>
            <w:vAlign w:val="bottom"/>
          </w:tcPr>
          <w:p>
            <w:pPr>
              <w:ind w:left="140"/>
              <w:spacing w:after="0" w:line="131" w:lineRule="exact"/>
              <w:rPr>
                <w:sz w:val="20"/>
                <w:szCs w:val="20"/>
                <w:color w:val="auto"/>
              </w:rPr>
            </w:pPr>
            <w:r>
              <w:rPr>
                <w:rFonts w:ascii="Arial" w:cs="Arial" w:eastAsia="Arial" w:hAnsi="Arial"/>
                <w:sz w:val="13"/>
                <w:szCs w:val="13"/>
                <w:color w:val="auto"/>
              </w:rPr>
              <w:t>Equity in net assets 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20" w:type="dxa"/>
            <w:vAlign w:val="bottom"/>
          </w:tcPr>
          <w:p>
            <w:pPr>
              <w:ind w:left="300"/>
              <w:spacing w:after="0"/>
              <w:rPr>
                <w:sz w:val="20"/>
                <w:szCs w:val="20"/>
                <w:color w:val="auto"/>
              </w:rPr>
            </w:pPr>
            <w:r>
              <w:rPr>
                <w:rFonts w:ascii="Arial" w:cs="Arial" w:eastAsia="Arial" w:hAnsi="Arial"/>
                <w:sz w:val="13"/>
                <w:szCs w:val="13"/>
                <w:color w:val="auto"/>
              </w:rPr>
              <w:t>nonconsolidated affiliates</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8,943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1,670</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10,613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8,511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1,665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10,176</w:t>
            </w: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net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50,321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45,248</w:t>
            </w:r>
          </w:p>
        </w:tc>
        <w:tc>
          <w:tcPr>
            <w:tcW w:w="0" w:type="dxa"/>
            <w:vAlign w:val="bottom"/>
          </w:tcPr>
          <w:p>
            <w:pPr>
              <w:spacing w:after="0"/>
              <w:rPr>
                <w:sz w:val="1"/>
                <w:szCs w:val="1"/>
                <w:color w:val="auto"/>
              </w:rPr>
            </w:pPr>
          </w:p>
        </w:tc>
      </w:tr>
      <w:tr>
        <w:trPr>
          <w:trHeight w:val="171"/>
        </w:trPr>
        <w:tc>
          <w:tcPr>
            <w:tcW w:w="2220" w:type="dxa"/>
            <w:vAlign w:val="bottom"/>
          </w:tcPr>
          <w:p>
            <w:pPr>
              <w:ind w:left="140"/>
              <w:spacing w:after="0"/>
              <w:rPr>
                <w:sz w:val="20"/>
                <w:szCs w:val="20"/>
                <w:color w:val="auto"/>
              </w:rPr>
            </w:pPr>
            <w:r>
              <w:rPr>
                <w:rFonts w:ascii="Arial" w:cs="Arial" w:eastAsia="Arial" w:hAnsi="Arial"/>
                <w:sz w:val="13"/>
                <w:szCs w:val="13"/>
                <w:color w:val="auto"/>
              </w:rPr>
              <w:t>Goodwill and intangible assets, net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1,354</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1,341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4,945</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Equipment on operating leases, net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30,582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30,582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32,701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32,701</w:t>
            </w:r>
          </w:p>
        </w:tc>
        <w:tc>
          <w:tcPr>
            <w:tcW w:w="0" w:type="dxa"/>
            <w:vAlign w:val="bottom"/>
          </w:tcPr>
          <w:p>
            <w:pPr>
              <w:spacing w:after="0"/>
              <w:rPr>
                <w:sz w:val="1"/>
                <w:szCs w:val="1"/>
                <w:color w:val="auto"/>
              </w:rPr>
            </w:pPr>
          </w:p>
        </w:tc>
      </w:tr>
      <w:tr>
        <w:trPr>
          <w:trHeight w:val="171"/>
        </w:trPr>
        <w:tc>
          <w:tcPr>
            <w:tcW w:w="222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21,722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(1,106)</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22,339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20,348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(917)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20,539</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assets(c)</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9,386</w:t>
            </w:r>
          </w:p>
        </w:tc>
        <w:tc>
          <w:tcPr>
            <w:tcW w:w="0" w:type="dxa"/>
            <w:vAlign w:val="bottom"/>
          </w:tcPr>
          <w:p>
            <w:pPr>
              <w:spacing w:after="0"/>
              <w:rPr>
                <w:sz w:val="1"/>
                <w:szCs w:val="1"/>
                <w:color w:val="auto"/>
              </w:rPr>
            </w:pPr>
          </w:p>
        </w:tc>
      </w:tr>
      <w:tr>
        <w:trPr>
          <w:trHeight w:val="164"/>
        </w:trPr>
        <w:tc>
          <w:tcPr>
            <w:tcW w:w="2220" w:type="dxa"/>
            <w:vAlign w:val="bottom"/>
            <w:tcBorders>
              <w:bottom w:val="single" w:sz="8" w:color="CCEEFF"/>
            </w:tcBorders>
          </w:tcPr>
          <w:p>
            <w:pPr>
              <w:ind w:left="140"/>
              <w:spacing w:after="0" w:line="146" w:lineRule="exact"/>
              <w:rPr>
                <w:sz w:val="20"/>
                <w:szCs w:val="20"/>
                <w:color w:val="auto"/>
              </w:rPr>
            </w:pPr>
            <w:r>
              <w:rPr>
                <w:rFonts w:ascii="Arial" w:cs="Arial" w:eastAsia="Arial" w:hAnsi="Arial"/>
                <w:sz w:val="13"/>
                <w:szCs w:val="13"/>
                <w:color w:val="auto"/>
              </w:rPr>
              <w:t>Total non-current assets</w:t>
            </w: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90,430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2,745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79,156</w:t>
            </w:r>
          </w:p>
        </w:tc>
        <w:tc>
          <w:tcPr>
            <w:tcW w:w="1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171,446</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84,742</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2,254</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76,702</w:t>
            </w:r>
          </w:p>
        </w:tc>
        <w:tc>
          <w:tcPr>
            <w:tcW w:w="1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163,586</w:t>
            </w:r>
          </w:p>
        </w:tc>
        <w:tc>
          <w:tcPr>
            <w:tcW w:w="0" w:type="dxa"/>
            <w:vAlign w:val="bottom"/>
          </w:tcPr>
          <w:p>
            <w:pPr>
              <w:spacing w:after="0"/>
              <w:rPr>
                <w:sz w:val="1"/>
                <w:szCs w:val="1"/>
                <w:color w:val="auto"/>
              </w:rPr>
            </w:pPr>
          </w:p>
        </w:tc>
      </w:tr>
      <w:tr>
        <w:trPr>
          <w:trHeight w:val="194"/>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140,546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130,780</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273,064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138,419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121,544</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264,037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20" w:type="dxa"/>
            <w:vAlign w:val="bottom"/>
          </w:tcPr>
          <w:p>
            <w:pPr>
              <w:ind w:left="140"/>
              <w:spacing w:after="0" w:line="131" w:lineRule="exact"/>
              <w:rPr>
                <w:sz w:val="20"/>
                <w:szCs w:val="20"/>
                <w:color w:val="auto"/>
              </w:rPr>
            </w:pPr>
            <w:r>
              <w:rPr>
                <w:rFonts w:ascii="Arial" w:cs="Arial" w:eastAsia="Arial" w:hAnsi="Arial"/>
                <w:sz w:val="13"/>
                <w:szCs w:val="13"/>
                <w:color w:val="auto"/>
              </w:rPr>
              <w:t>Accounts payable (principally trade)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20" w:type="dxa"/>
            <w:vAlign w:val="bottom"/>
          </w:tcPr>
          <w:p>
            <w:pPr>
              <w:ind w:left="300"/>
              <w:spacing w:after="0"/>
              <w:rPr>
                <w:sz w:val="20"/>
                <w:szCs w:val="20"/>
                <w:color w:val="auto"/>
              </w:rPr>
            </w:pPr>
            <w:r>
              <w:rPr>
                <w:rFonts w:ascii="Arial" w:cs="Arial" w:eastAsia="Arial" w:hAnsi="Arial"/>
                <w:sz w:val="13"/>
                <w:szCs w:val="13"/>
                <w:color w:val="auto"/>
              </w:rPr>
              <w:t>(a)</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27,846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1,136</w:t>
            </w:r>
          </w:p>
        </w:tc>
        <w:tc>
          <w:tcPr>
            <w:tcW w:w="12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(1,054)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28,114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27,307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712</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27,486</w:t>
            </w:r>
          </w:p>
        </w:tc>
        <w:tc>
          <w:tcPr>
            <w:tcW w:w="0" w:type="dxa"/>
            <w:vAlign w:val="bottom"/>
          </w:tcPr>
          <w:p>
            <w:pPr>
              <w:spacing w:after="0"/>
              <w:rPr>
                <w:sz w:val="1"/>
                <w:szCs w:val="1"/>
                <w:color w:val="auto"/>
              </w:rPr>
            </w:pPr>
          </w:p>
        </w:tc>
      </w:tr>
      <w:tr>
        <w:trPr>
          <w:trHeight w:val="138"/>
        </w:trPr>
        <w:tc>
          <w:tcPr>
            <w:tcW w:w="222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Short-term debt and current portion</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of long-term debt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20" w:type="dxa"/>
            <w:vAlign w:val="bottom"/>
          </w:tcPr>
          <w:p>
            <w:pPr>
              <w:ind w:left="260"/>
              <w:spacing w:after="0"/>
              <w:rPr>
                <w:sz w:val="20"/>
                <w:szCs w:val="20"/>
                <w:color w:val="auto"/>
              </w:rPr>
            </w:pPr>
            <w:r>
              <w:rPr>
                <w:rFonts w:ascii="Arial" w:cs="Arial" w:eastAsia="Arial" w:hAnsi="Arial"/>
                <w:sz w:val="13"/>
                <w:szCs w:val="13"/>
                <w:color w:val="auto"/>
              </w:rPr>
              <w:t>Automotive(a)</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1,959</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GM Financial</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38,540</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38,540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36,819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36,819</w:t>
            </w:r>
          </w:p>
        </w:tc>
        <w:tc>
          <w:tcPr>
            <w:tcW w:w="0" w:type="dxa"/>
            <w:vAlign w:val="bottom"/>
          </w:tcPr>
          <w:p>
            <w:pPr>
              <w:spacing w:after="0"/>
              <w:rPr>
                <w:sz w:val="1"/>
                <w:szCs w:val="1"/>
                <w:color w:val="auto"/>
              </w:rPr>
            </w:pPr>
          </w:p>
        </w:tc>
      </w:tr>
      <w:tr>
        <w:trPr>
          <w:trHeight w:val="171"/>
        </w:trPr>
        <w:tc>
          <w:tcPr>
            <w:tcW w:w="2220" w:type="dxa"/>
            <w:vAlign w:val="bottom"/>
          </w:tcPr>
          <w:p>
            <w:pPr>
              <w:ind w:left="260"/>
              <w:spacing w:after="0"/>
              <w:rPr>
                <w:sz w:val="20"/>
                <w:szCs w:val="20"/>
                <w:color w:val="auto"/>
              </w:rPr>
            </w:pPr>
            <w:r>
              <w:rPr>
                <w:rFonts w:ascii="Arial" w:cs="Arial" w:eastAsia="Arial" w:hAnsi="Arial"/>
                <w:sz w:val="13"/>
                <w:szCs w:val="13"/>
                <w:color w:val="auto"/>
              </w:rPr>
              <w:t>Cruise</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liabilities(b)</w:t>
            </w: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21,468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5,741</w:t>
            </w:r>
          </w:p>
        </w:tc>
        <w:tc>
          <w:tcPr>
            <w:tcW w:w="1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27,364</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18,662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6,081</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24,910</w:t>
            </w:r>
          </w:p>
        </w:tc>
        <w:tc>
          <w:tcPr>
            <w:tcW w:w="0" w:type="dxa"/>
            <w:vAlign w:val="bottom"/>
          </w:tcPr>
          <w:p>
            <w:pPr>
              <w:spacing w:after="0"/>
              <w:rPr>
                <w:sz w:val="1"/>
                <w:szCs w:val="1"/>
                <w:color w:val="auto"/>
              </w:rPr>
            </w:pPr>
          </w:p>
        </w:tc>
      </w:tr>
      <w:tr>
        <w:trPr>
          <w:trHeight w:val="164"/>
        </w:trPr>
        <w:tc>
          <w:tcPr>
            <w:tcW w:w="2220" w:type="dxa"/>
            <w:vAlign w:val="bottom"/>
          </w:tcPr>
          <w:p>
            <w:pPr>
              <w:ind w:left="140"/>
              <w:spacing w:after="0" w:line="146" w:lineRule="exact"/>
              <w:rPr>
                <w:sz w:val="20"/>
                <w:szCs w:val="20"/>
                <w:color w:val="auto"/>
              </w:rPr>
            </w:pPr>
            <w:r>
              <w:rPr>
                <w:rFonts w:ascii="Arial" w:cs="Arial" w:eastAsia="Arial" w:hAnsi="Arial"/>
                <w:sz w:val="13"/>
                <w:szCs w:val="13"/>
                <w:color w:val="auto"/>
              </w:rPr>
              <w:t>Total current liabilities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49,906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45,417</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94,445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48,113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43,612</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91,173</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20" w:type="dxa"/>
            <w:vAlign w:val="bottom"/>
          </w:tcPr>
          <w:p>
            <w:pPr>
              <w:ind w:left="140"/>
              <w:spacing w:after="0"/>
              <w:rPr>
                <w:sz w:val="20"/>
                <w:szCs w:val="20"/>
                <w:color w:val="auto"/>
              </w:rPr>
            </w:pPr>
            <w:r>
              <w:rPr>
                <w:rFonts w:ascii="Arial" w:cs="Arial" w:eastAsia="Arial" w:hAnsi="Arial"/>
                <w:sz w:val="13"/>
                <w:szCs w:val="13"/>
                <w:color w:val="auto"/>
              </w:rPr>
              <w:t>Long-term debt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Automotive(c)</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15,885</w:t>
            </w:r>
          </w:p>
        </w:tc>
        <w:tc>
          <w:tcPr>
            <w:tcW w:w="0" w:type="dxa"/>
            <w:vAlign w:val="bottom"/>
          </w:tcPr>
          <w:p>
            <w:pPr>
              <w:spacing w:after="0"/>
              <w:rPr>
                <w:sz w:val="1"/>
                <w:szCs w:val="1"/>
                <w:color w:val="auto"/>
              </w:rPr>
            </w:pPr>
          </w:p>
        </w:tc>
      </w:tr>
      <w:tr>
        <w:trPr>
          <w:trHeight w:val="171"/>
        </w:trPr>
        <w:tc>
          <w:tcPr>
            <w:tcW w:w="2220" w:type="dxa"/>
            <w:vAlign w:val="bottom"/>
          </w:tcPr>
          <w:p>
            <w:pPr>
              <w:ind w:left="260"/>
              <w:spacing w:after="0"/>
              <w:rPr>
                <w:sz w:val="20"/>
                <w:szCs w:val="20"/>
                <w:color w:val="auto"/>
              </w:rPr>
            </w:pPr>
            <w:r>
              <w:rPr>
                <w:rFonts w:ascii="Arial" w:cs="Arial" w:eastAsia="Arial" w:hAnsi="Arial"/>
                <w:sz w:val="13"/>
                <w:szCs w:val="13"/>
                <w:color w:val="auto"/>
              </w:rPr>
              <w:t>GM Financial</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66,788</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66,788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60,036</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60,036</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Cruise(d)</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2220" w:type="dxa"/>
            <w:vAlign w:val="bottom"/>
          </w:tcPr>
          <w:p>
            <w:pPr>
              <w:ind w:left="140"/>
              <w:spacing w:after="0" w:line="131" w:lineRule="exact"/>
              <w:rPr>
                <w:sz w:val="20"/>
                <w:szCs w:val="20"/>
                <w:color w:val="auto"/>
              </w:rPr>
            </w:pPr>
            <w:r>
              <w:rPr>
                <w:rFonts w:ascii="Arial" w:cs="Arial" w:eastAsia="Arial" w:hAnsi="Arial"/>
                <w:sz w:val="13"/>
                <w:szCs w:val="13"/>
                <w:color w:val="auto"/>
              </w:rPr>
              <w:t>Postretirement benefits other than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20" w:type="dxa"/>
            <w:vAlign w:val="bottom"/>
          </w:tcPr>
          <w:p>
            <w:pPr>
              <w:ind w:left="300"/>
              <w:spacing w:after="0"/>
              <w:rPr>
                <w:sz w:val="20"/>
                <w:szCs w:val="20"/>
                <w:color w:val="auto"/>
              </w:rPr>
            </w:pPr>
            <w:r>
              <w:rPr>
                <w:rFonts w:ascii="Arial" w:cs="Arial" w:eastAsia="Arial" w:hAnsi="Arial"/>
                <w:sz w:val="13"/>
                <w:szCs w:val="13"/>
                <w:color w:val="auto"/>
              </w:rPr>
              <w:t>pensions</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4,345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4,193</w:t>
            </w: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Pensions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5,698</w:t>
            </w:r>
          </w:p>
        </w:tc>
        <w:tc>
          <w:tcPr>
            <w:tcW w:w="0" w:type="dxa"/>
            <w:vAlign w:val="bottom"/>
          </w:tcPr>
          <w:p>
            <w:pPr>
              <w:spacing w:after="0"/>
              <w:rPr>
                <w:sz w:val="1"/>
                <w:szCs w:val="1"/>
                <w:color w:val="auto"/>
              </w:rPr>
            </w:pPr>
          </w:p>
        </w:tc>
      </w:tr>
      <w:tr>
        <w:trPr>
          <w:trHeight w:val="171"/>
        </w:trPr>
        <w:tc>
          <w:tcPr>
            <w:tcW w:w="222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13,447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2,614</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16,515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11,927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2,375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14,767</w:t>
            </w:r>
          </w:p>
        </w:tc>
        <w:tc>
          <w:tcPr>
            <w:tcW w:w="0" w:type="dxa"/>
            <w:vAlign w:val="bottom"/>
          </w:tcPr>
          <w:p>
            <w:pPr>
              <w:spacing w:after="0"/>
              <w:rPr>
                <w:sz w:val="1"/>
                <w:szCs w:val="1"/>
                <w:color w:val="auto"/>
              </w:rPr>
            </w:pPr>
          </w:p>
        </w:tc>
      </w:tr>
      <w:tr>
        <w:trPr>
          <w:trHeight w:val="174"/>
        </w:trPr>
        <w:tc>
          <w:tcPr>
            <w:tcW w:w="2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non-current liabilities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40,444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69,409</w:t>
            </w: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110,312</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62,417</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100,579</w:t>
            </w:r>
          </w:p>
        </w:tc>
        <w:tc>
          <w:tcPr>
            <w:tcW w:w="0" w:type="dxa"/>
            <w:vAlign w:val="bottom"/>
          </w:tcPr>
          <w:p>
            <w:pPr>
              <w:spacing w:after="0"/>
              <w:rPr>
                <w:sz w:val="1"/>
                <w:szCs w:val="1"/>
                <w:color w:val="auto"/>
              </w:rPr>
            </w:pPr>
          </w:p>
        </w:tc>
      </w:tr>
      <w:tr>
        <w:trPr>
          <w:trHeight w:val="164"/>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Total Liabilities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90,350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114,826</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204,757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85,804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106,029</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191,752</w:t>
            </w: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Noncontrolling interest - Cruise</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stock incentive awards</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74"/>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 $0.01 par value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1"/>
        </w:trPr>
        <w:tc>
          <w:tcPr>
            <w:tcW w:w="2220" w:type="dxa"/>
            <w:vAlign w:val="bottom"/>
          </w:tcPr>
          <w:p>
            <w:pPr>
              <w:ind w:left="100"/>
              <w:spacing w:after="0"/>
              <w:rPr>
                <w:sz w:val="20"/>
                <w:szCs w:val="20"/>
                <w:color w:val="auto"/>
              </w:rPr>
            </w:pPr>
            <w:r>
              <w:rPr>
                <w:rFonts w:ascii="Arial" w:cs="Arial" w:eastAsia="Arial" w:hAnsi="Arial"/>
                <w:sz w:val="13"/>
                <w:szCs w:val="13"/>
                <w:color w:val="auto"/>
              </w:rPr>
              <w:t>Additional paid-in capital(e)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18,866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1,314</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19,130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26,313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1,433</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26,428</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15,823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55,391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49,251</w:t>
            </w:r>
          </w:p>
        </w:tc>
        <w:tc>
          <w:tcPr>
            <w:tcW w:w="0" w:type="dxa"/>
            <w:vAlign w:val="bottom"/>
          </w:tcPr>
          <w:p>
            <w:pPr>
              <w:spacing w:after="0"/>
              <w:rPr>
                <w:sz w:val="1"/>
                <w:szCs w:val="1"/>
                <w:color w:val="auto"/>
              </w:rPr>
            </w:pPr>
          </w:p>
        </w:tc>
      </w:tr>
      <w:tr>
        <w:trPr>
          <w:trHeight w:val="131"/>
        </w:trPr>
        <w:tc>
          <w:tcPr>
            <w:tcW w:w="2220" w:type="dxa"/>
            <w:vAlign w:val="bottom"/>
          </w:tcPr>
          <w:p>
            <w:pPr>
              <w:ind w:left="100"/>
              <w:spacing w:after="0" w:line="131" w:lineRule="exact"/>
              <w:rPr>
                <w:sz w:val="20"/>
                <w:szCs w:val="20"/>
                <w:color w:val="auto"/>
              </w:rPr>
            </w:pPr>
            <w:r>
              <w:rPr>
                <w:rFonts w:ascii="Arial" w:cs="Arial" w:eastAsia="Arial" w:hAnsi="Arial"/>
                <w:sz w:val="13"/>
                <w:szCs w:val="13"/>
                <w:color w:val="auto"/>
              </w:rPr>
              <w:t>Accumulated other comprehensive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20" w:type="dxa"/>
            <w:vAlign w:val="bottom"/>
          </w:tcPr>
          <w:p>
            <w:pPr>
              <w:ind w:left="180"/>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(1,183)</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(10,247)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(6,552)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(1,348)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(7,901)</w:t>
            </w:r>
          </w:p>
        </w:tc>
        <w:tc>
          <w:tcPr>
            <w:tcW w:w="0" w:type="dxa"/>
            <w:vAlign w:val="bottom"/>
          </w:tcPr>
          <w:p>
            <w:pPr>
              <w:spacing w:after="0"/>
              <w:rPr>
                <w:sz w:val="1"/>
                <w:szCs w:val="1"/>
                <w:color w:val="auto"/>
              </w:rPr>
            </w:pPr>
          </w:p>
        </w:tc>
      </w:tr>
      <w:tr>
        <w:trPr>
          <w:trHeight w:val="175"/>
        </w:trPr>
        <w:tc>
          <w:tcPr>
            <w:tcW w:w="22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15,954</w:t>
            </w: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64,286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51,829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15,515</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67,792</w:t>
            </w:r>
          </w:p>
        </w:tc>
        <w:tc>
          <w:tcPr>
            <w:tcW w:w="0" w:type="dxa"/>
            <w:vAlign w:val="bottom"/>
          </w:tcPr>
          <w:p>
            <w:pPr>
              <w:spacing w:after="0"/>
              <w:rPr>
                <w:sz w:val="1"/>
                <w:szCs w:val="1"/>
                <w:color w:val="auto"/>
              </w:rPr>
            </w:pPr>
          </w:p>
        </w:tc>
      </w:tr>
      <w:tr>
        <w:trPr>
          <w:trHeight w:val="171"/>
        </w:trPr>
        <w:tc>
          <w:tcPr>
            <w:tcW w:w="2220" w:type="dxa"/>
            <w:vAlign w:val="bottom"/>
          </w:tcPr>
          <w:p>
            <w:pPr>
              <w:ind w:left="100"/>
              <w:spacing w:after="0"/>
              <w:rPr>
                <w:sz w:val="20"/>
                <w:szCs w:val="20"/>
                <w:color w:val="auto"/>
              </w:rPr>
            </w:pPr>
            <w:r>
              <w:rPr>
                <w:rFonts w:ascii="Arial" w:cs="Arial" w:eastAsia="Arial" w:hAnsi="Arial"/>
                <w:sz w:val="13"/>
                <w:szCs w:val="13"/>
                <w:color w:val="auto"/>
              </w:rPr>
              <w:t>Noncontrolling interests(e)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4,135</w:t>
            </w:r>
          </w:p>
        </w:tc>
        <w:tc>
          <w:tcPr>
            <w:tcW w:w="0" w:type="dxa"/>
            <w:vAlign w:val="bottom"/>
          </w:tcPr>
          <w:p>
            <w:pPr>
              <w:spacing w:after="0"/>
              <w:rPr>
                <w:sz w:val="1"/>
                <w:szCs w:val="1"/>
                <w:color w:val="auto"/>
              </w:rPr>
            </w:pPr>
          </w:p>
        </w:tc>
      </w:tr>
      <w:tr>
        <w:trPr>
          <w:trHeight w:val="174"/>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Equity</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50,196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15,954</w:t>
            </w: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68,189</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15,515</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71,927</w:t>
            </w:r>
          </w:p>
        </w:tc>
        <w:tc>
          <w:tcPr>
            <w:tcW w:w="0" w:type="dxa"/>
            <w:vAlign w:val="bottom"/>
          </w:tcPr>
          <w:p>
            <w:pPr>
              <w:spacing w:after="0"/>
              <w:rPr>
                <w:sz w:val="1"/>
                <w:szCs w:val="1"/>
                <w:color w:val="auto"/>
              </w:rPr>
            </w:pPr>
          </w:p>
        </w:tc>
      </w:tr>
      <w:tr>
        <w:trPr>
          <w:trHeight w:val="164"/>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140,546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4,555</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130,780</w:t>
            </w:r>
          </w:p>
        </w:tc>
        <w:tc>
          <w:tcPr>
            <w:tcW w:w="12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273,064</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138,419</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5,510</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121,544</w:t>
            </w:r>
          </w:p>
        </w:tc>
        <w:tc>
          <w:tcPr>
            <w:tcW w:w="10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264,037</w:t>
            </w:r>
          </w:p>
        </w:tc>
        <w:tc>
          <w:tcPr>
            <w:tcW w:w="0" w:type="dxa"/>
            <w:vAlign w:val="bottom"/>
          </w:tcPr>
          <w:p>
            <w:pPr>
              <w:spacing w:after="0"/>
              <w:rPr>
                <w:sz w:val="1"/>
                <w:szCs w:val="1"/>
                <w:color w:val="auto"/>
              </w:rPr>
            </w:pPr>
          </w:p>
        </w:tc>
      </w:tr>
      <w:tr>
        <w:trPr>
          <w:trHeight w:val="25"/>
        </w:trPr>
        <w:tc>
          <w:tcPr>
            <w:tcW w:w="2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15" w:lineRule="exact"/>
        <w:rPr>
          <w:sz w:val="20"/>
          <w:szCs w:val="20"/>
          <w:color w:val="auto"/>
        </w:rPr>
      </w:pPr>
    </w:p>
    <w:p>
      <w:pPr>
        <w:ind w:left="340" w:right="20" w:hanging="332"/>
        <w:spacing w:after="0" w:line="267" w:lineRule="auto"/>
        <w:tabs>
          <w:tab w:leader="none" w:pos="337" w:val="left"/>
        </w:tabs>
        <w:numPr>
          <w:ilvl w:val="0"/>
          <w:numId w:val="8"/>
        </w:numPr>
        <w:rPr>
          <w:rFonts w:ascii="Arial" w:cs="Arial" w:eastAsia="Arial" w:hAnsi="Arial"/>
          <w:sz w:val="10"/>
          <w:szCs w:val="10"/>
          <w:color w:val="auto"/>
        </w:rPr>
      </w:pPr>
      <w:r>
        <w:rPr>
          <w:rFonts w:ascii="Arial" w:cs="Arial" w:eastAsia="Arial" w:hAnsi="Arial"/>
          <w:sz w:val="10"/>
          <w:szCs w:val="10"/>
          <w:color w:val="auto"/>
        </w:rPr>
        <w:t>Eliminations primarily include GM Financial accounts and notes receivable of $0.5 billion due from Automotive; and Automotive accounts receivable of $0.8 billion primarily due from GM Financial and Cruise at December 31, 2023; and GM Financial accounts and notes receivable of $0.5 billion due from Automotive accounts payable and Automotive accounts receivable of $0.1 billion due from GM Financial accounts payable at December 31, 2022.</w:t>
      </w:r>
    </w:p>
    <w:p>
      <w:pPr>
        <w:ind w:left="320" w:hanging="312"/>
        <w:spacing w:after="0" w:line="236" w:lineRule="auto"/>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primarily related to intercompany asset transfers between Automotive and Cruise for autonomous vehicle (AV) capital.</w:t>
      </w:r>
    </w:p>
    <w:p>
      <w:pPr>
        <w:ind w:left="340" w:right="20" w:hanging="332"/>
        <w:spacing w:after="0" w:line="253" w:lineRule="auto"/>
        <w:tabs>
          <w:tab w:leader="none" w:pos="331"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related to deferral agreement between Cruise and Automotive as regards to engineering and capital spending incurred by Automotive on behalf of Cruise resulting in a long-term payable for Cruise offset by a long-term receivable for Automotive.</w:t>
      </w:r>
    </w:p>
    <w:p>
      <w:pPr>
        <w:ind w:left="320" w:hanging="312"/>
        <w:spacing w:after="0" w:line="236" w:lineRule="auto"/>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Eliminations primarily related to intercompany loans due from Cruise to GM Financial in the year ended December 31, 2023.</w:t>
      </w:r>
    </w:p>
    <w:p>
      <w:pPr>
        <w:ind w:left="320" w:hanging="312"/>
        <w:spacing w:after="0"/>
        <w:tabs>
          <w:tab w:leader="none" w:pos="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Primarily reclassification of GM Financial Cumulative Perpetual Preferred Stock, Series A, B and C. The preferred stock is classified as noncontrolling interests in our consolidated balance sheets.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368" w:right="3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Combining Cash Flow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(Unaudited)</w:t>
      </w:r>
    </w:p>
    <w:p>
      <w:pPr>
        <w:spacing w:after="0" w:line="130" w:lineRule="exact"/>
        <w:rPr>
          <w:sz w:val="20"/>
          <w:szCs w:val="20"/>
          <w:color w:val="auto"/>
        </w:rPr>
      </w:pPr>
    </w:p>
    <w:tbl>
      <w:tblPr>
        <w:tblLayout w:type="fixed"/>
        <w:tblInd w:w="80" w:type="dxa"/>
        <w:tblCellMar>
          <w:top w:w="0" w:type="dxa"/>
          <w:left w:w="0" w:type="dxa"/>
          <w:bottom w:w="0" w:type="dxa"/>
          <w:right w:w="0" w:type="dxa"/>
        </w:tblCellMar>
      </w:tblPr>
      <w:tr>
        <w:trPr>
          <w:trHeight w:val="121"/>
        </w:trPr>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gridSpan w:val="5"/>
          </w:tcPr>
          <w:p>
            <w:pPr>
              <w:ind w:left="100"/>
              <w:spacing w:after="0"/>
              <w:rPr>
                <w:sz w:val="20"/>
                <w:szCs w:val="20"/>
                <w:color w:val="auto"/>
              </w:rPr>
            </w:pPr>
            <w:r>
              <w:rPr>
                <w:rFonts w:ascii="Arial" w:cs="Arial" w:eastAsia="Arial" w:hAnsi="Arial"/>
                <w:sz w:val="9"/>
                <w:szCs w:val="9"/>
                <w:b w:val="1"/>
                <w:bCs w:val="1"/>
                <w:color w:val="auto"/>
              </w:rPr>
              <w:t>Year Ended December 31, 2023</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4"/>
          </w:tcPr>
          <w:p>
            <w:pPr>
              <w:ind w:left="20"/>
              <w:spacing w:after="0"/>
              <w:rPr>
                <w:sz w:val="20"/>
                <w:szCs w:val="20"/>
                <w:color w:val="auto"/>
              </w:rPr>
            </w:pPr>
            <w:r>
              <w:rPr>
                <w:rFonts w:ascii="Arial" w:cs="Arial" w:eastAsia="Arial" w:hAnsi="Arial"/>
                <w:sz w:val="9"/>
                <w:szCs w:val="9"/>
                <w:b w:val="1"/>
                <w:bCs w:val="1"/>
                <w:color w:val="auto"/>
              </w:rPr>
              <w:t>Year Ended December 31, 2022</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8"/>
                <w:szCs w:val="8"/>
                <w:color w:val="auto"/>
              </w:rPr>
            </w:pPr>
          </w:p>
        </w:tc>
        <w:tc>
          <w:tcPr>
            <w:tcW w:w="460" w:type="dxa"/>
            <w:vAlign w:val="bottom"/>
            <w:vMerge w:val="restart"/>
          </w:tcPr>
          <w:p>
            <w:pPr>
              <w:jc w:val="right"/>
              <w:ind w:right="98"/>
              <w:spacing w:after="0"/>
              <w:rPr>
                <w:sz w:val="20"/>
                <w:szCs w:val="20"/>
                <w:color w:val="auto"/>
              </w:rPr>
            </w:pPr>
            <w:r>
              <w:rPr>
                <w:rFonts w:ascii="Arial" w:cs="Arial" w:eastAsia="Arial" w:hAnsi="Arial"/>
                <w:sz w:val="9"/>
                <w:szCs w:val="9"/>
                <w:b w:val="1"/>
                <w:bCs w:val="1"/>
                <w:color w:val="auto"/>
                <w:w w:val="99"/>
              </w:rPr>
              <w:t>Cruise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200"/>
              <w:spacing w:after="0" w:line="93" w:lineRule="exact"/>
              <w:rPr>
                <w:sz w:val="20"/>
                <w:szCs w:val="20"/>
                <w:color w:val="auto"/>
              </w:rPr>
            </w:pPr>
            <w:r>
              <w:rPr>
                <w:rFonts w:ascii="Arial" w:cs="Arial" w:eastAsia="Arial" w:hAnsi="Arial"/>
                <w:sz w:val="9"/>
                <w:szCs w:val="9"/>
                <w:b w:val="1"/>
                <w:bCs w:val="1"/>
                <w:color w:val="auto"/>
                <w:w w:val="96"/>
              </w:rPr>
              <w:t>GM</w:t>
            </w:r>
          </w:p>
        </w:tc>
        <w:tc>
          <w:tcPr>
            <w:tcW w:w="144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80" w:type="dxa"/>
            <w:vAlign w:val="bottom"/>
          </w:tcPr>
          <w:p>
            <w:pPr>
              <w:spacing w:after="0"/>
              <w:rPr>
                <w:sz w:val="8"/>
                <w:szCs w:val="8"/>
                <w:color w:val="auto"/>
              </w:rPr>
            </w:pPr>
          </w:p>
        </w:tc>
        <w:tc>
          <w:tcPr>
            <w:tcW w:w="66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Combined</w:t>
            </w:r>
          </w:p>
        </w:tc>
        <w:tc>
          <w:tcPr>
            <w:tcW w:w="760" w:type="dxa"/>
            <w:vAlign w:val="bottom"/>
            <w:gridSpan w:val="3"/>
            <w:vMerge w:val="restart"/>
          </w:tcPr>
          <w:p>
            <w:pPr>
              <w:ind w:left="60"/>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8"/>
                <w:szCs w:val="8"/>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Cruise</w:t>
            </w:r>
          </w:p>
        </w:tc>
        <w:tc>
          <w:tcPr>
            <w:tcW w:w="72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GM Financial</w:t>
            </w:r>
          </w:p>
        </w:tc>
        <w:tc>
          <w:tcPr>
            <w:tcW w:w="144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100" w:type="dxa"/>
            <w:vAlign w:val="bottom"/>
          </w:tcPr>
          <w:p>
            <w:pPr>
              <w:spacing w:after="0"/>
              <w:rPr>
                <w:sz w:val="8"/>
                <w:szCs w:val="8"/>
                <w:color w:val="auto"/>
              </w:rPr>
            </w:pPr>
          </w:p>
        </w:tc>
        <w:tc>
          <w:tcPr>
            <w:tcW w:w="560" w:type="dxa"/>
            <w:vAlign w:val="bottom"/>
            <w:vMerge w:val="restart"/>
          </w:tcPr>
          <w:p>
            <w:pPr>
              <w:jc w:val="right"/>
              <w:ind w:right="58"/>
              <w:spacing w:after="0"/>
              <w:rPr>
                <w:sz w:val="20"/>
                <w:szCs w:val="20"/>
                <w:color w:val="auto"/>
              </w:rPr>
            </w:pPr>
            <w:r>
              <w:rPr>
                <w:rFonts w:ascii="Arial" w:cs="Arial" w:eastAsia="Arial" w:hAnsi="Arial"/>
                <w:sz w:val="9"/>
                <w:szCs w:val="9"/>
                <w:b w:val="1"/>
                <w:bCs w:val="1"/>
                <w:color w:val="auto"/>
                <w:w w:val="95"/>
              </w:rPr>
              <w:t>Combined</w:t>
            </w:r>
          </w:p>
        </w:tc>
        <w:tc>
          <w:tcPr>
            <w:tcW w:w="0" w:type="dxa"/>
            <w:vAlign w:val="bottom"/>
          </w:tcPr>
          <w:p>
            <w:pPr>
              <w:spacing w:after="0"/>
              <w:rPr>
                <w:sz w:val="1"/>
                <w:szCs w:val="1"/>
                <w:color w:val="auto"/>
              </w:rPr>
            </w:pPr>
          </w:p>
        </w:tc>
      </w:tr>
      <w:tr>
        <w:trPr>
          <w:trHeight w:val="123"/>
        </w:trPr>
        <w:tc>
          <w:tcPr>
            <w:tcW w:w="246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7"/>
              </w:rPr>
              <w:t>Financial</w:t>
            </w:r>
          </w:p>
        </w:tc>
        <w:tc>
          <w:tcPr>
            <w:tcW w:w="14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2,152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8,509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3,095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9,708</w:t>
            </w:r>
          </w:p>
        </w:tc>
        <w:tc>
          <w:tcPr>
            <w:tcW w:w="0" w:type="dxa"/>
            <w:vAlign w:val="bottom"/>
          </w:tcPr>
          <w:p>
            <w:pPr>
              <w:spacing w:after="0"/>
              <w:rPr>
                <w:sz w:val="1"/>
                <w:szCs w:val="1"/>
                <w:color w:val="auto"/>
              </w:rPr>
            </w:pPr>
          </w:p>
        </w:tc>
      </w:tr>
      <w:tr>
        <w:trPr>
          <w:trHeight w:val="131"/>
        </w:trPr>
        <w:tc>
          <w:tcPr>
            <w:tcW w:w="2460" w:type="dxa"/>
            <w:vAlign w:val="bottom"/>
          </w:tcPr>
          <w:p>
            <w:pPr>
              <w:ind w:left="120"/>
              <w:spacing w:after="0" w:line="131" w:lineRule="exact"/>
              <w:rPr>
                <w:sz w:val="20"/>
                <w:szCs w:val="20"/>
                <w:color w:val="auto"/>
              </w:rPr>
            </w:pPr>
            <w:r>
              <w:rPr>
                <w:rFonts w:ascii="Arial" w:cs="Arial" w:eastAsia="Arial" w:hAnsi="Arial"/>
                <w:sz w:val="13"/>
                <w:szCs w:val="13"/>
                <w:color w:val="auto"/>
              </w:rPr>
              <w:t>Depreciation and impairment 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60" w:type="dxa"/>
            <w:vAlign w:val="bottom"/>
          </w:tcPr>
          <w:p>
            <w:pPr>
              <w:ind w:left="300"/>
              <w:spacing w:after="0"/>
              <w:rPr>
                <w:sz w:val="20"/>
                <w:szCs w:val="20"/>
                <w:color w:val="auto"/>
              </w:rPr>
            </w:pPr>
            <w:r>
              <w:rPr>
                <w:rFonts w:ascii="Arial" w:cs="Arial" w:eastAsia="Arial" w:hAnsi="Arial"/>
                <w:sz w:val="13"/>
                <w:szCs w:val="13"/>
                <w:color w:val="auto"/>
              </w:rPr>
              <w:t>Equipment on operating leases, net</w:t>
            </w:r>
          </w:p>
        </w:tc>
        <w:tc>
          <w:tcPr>
            <w:tcW w:w="12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4,904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4,839</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4,839</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Depreciation, amortization and</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impairment charges on Property, net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6,451</w:t>
            </w:r>
          </w:p>
        </w:tc>
        <w:tc>
          <w:tcPr>
            <w:tcW w:w="0" w:type="dxa"/>
            <w:vAlign w:val="bottom"/>
          </w:tcPr>
          <w:p>
            <w:pPr>
              <w:spacing w:after="0"/>
              <w:rPr>
                <w:sz w:val="1"/>
                <w:szCs w:val="1"/>
                <w:color w:val="auto"/>
              </w:rPr>
            </w:pPr>
          </w:p>
        </w:tc>
      </w:tr>
      <w:tr>
        <w:trPr>
          <w:trHeight w:val="131"/>
        </w:trPr>
        <w:tc>
          <w:tcPr>
            <w:tcW w:w="2460" w:type="dxa"/>
            <w:vAlign w:val="bottom"/>
          </w:tcPr>
          <w:p>
            <w:pPr>
              <w:ind w:left="120"/>
              <w:spacing w:after="0" w:line="131" w:lineRule="exact"/>
              <w:rPr>
                <w:sz w:val="20"/>
                <w:szCs w:val="20"/>
                <w:color w:val="auto"/>
              </w:rPr>
            </w:pPr>
            <w:r>
              <w:rPr>
                <w:rFonts w:ascii="Arial" w:cs="Arial" w:eastAsia="Arial" w:hAnsi="Arial"/>
                <w:sz w:val="13"/>
                <w:szCs w:val="13"/>
                <w:color w:val="auto"/>
              </w:rPr>
              <w:t>Foreign currency remeasurement and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60" w:type="dxa"/>
            <w:vAlign w:val="bottom"/>
          </w:tcPr>
          <w:p>
            <w:pPr>
              <w:ind w:left="300"/>
              <w:spacing w:after="0"/>
              <w:rPr>
                <w:sz w:val="20"/>
                <w:szCs w:val="20"/>
                <w:color w:val="auto"/>
              </w:rPr>
            </w:pPr>
            <w:r>
              <w:rPr>
                <w:rFonts w:ascii="Arial" w:cs="Arial" w:eastAsia="Arial" w:hAnsi="Arial"/>
                <w:sz w:val="13"/>
                <w:szCs w:val="13"/>
                <w:color w:val="auto"/>
              </w:rPr>
              <w:t>transaction (gains) losses</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Undistributed earnings of</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nonconsolidated affiliates, net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31"/>
        </w:trPr>
        <w:tc>
          <w:tcPr>
            <w:tcW w:w="2460" w:type="dxa"/>
            <w:vAlign w:val="bottom"/>
          </w:tcPr>
          <w:p>
            <w:pPr>
              <w:ind w:left="120"/>
              <w:spacing w:after="0" w:line="131" w:lineRule="exact"/>
              <w:rPr>
                <w:sz w:val="20"/>
                <w:szCs w:val="20"/>
                <w:color w:val="auto"/>
              </w:rPr>
            </w:pPr>
            <w:r>
              <w:rPr>
                <w:rFonts w:ascii="Arial" w:cs="Arial" w:eastAsia="Arial" w:hAnsi="Arial"/>
                <w:sz w:val="13"/>
                <w:szCs w:val="13"/>
                <w:color w:val="auto"/>
              </w:rPr>
              <w:t>Pension contributions and OPEB</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60" w:type="dxa"/>
            <w:vAlign w:val="bottom"/>
          </w:tcPr>
          <w:p>
            <w:pPr>
              <w:ind w:left="300"/>
              <w:spacing w:after="0"/>
              <w:rPr>
                <w:sz w:val="20"/>
                <w:szCs w:val="20"/>
                <w:color w:val="auto"/>
              </w:rPr>
            </w:pPr>
            <w:r>
              <w:rPr>
                <w:rFonts w:ascii="Arial" w:cs="Arial" w:eastAsia="Arial" w:hAnsi="Arial"/>
                <w:sz w:val="13"/>
                <w:szCs w:val="13"/>
                <w:color w:val="auto"/>
              </w:rPr>
              <w:t>payments</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(790)</w:t>
            </w: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Pension and OPEB income, net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Arial" w:cs="Arial" w:eastAsia="Arial" w:hAnsi="Arial"/>
                <w:sz w:val="13"/>
                <w:szCs w:val="13"/>
                <w:color w:val="auto"/>
              </w:rPr>
              <w:t>Provision (benefit) for deferred taxes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1,247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Change in other operating assets and</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liabilities(a)</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846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1,067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(2,977)</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operating activities(c)</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(1,493)</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2,211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243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(1,688)</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w:t>
            </w:r>
          </w:p>
        </w:tc>
        <w:tc>
          <w:tcPr>
            <w:tcW w:w="0" w:type="dxa"/>
            <w:vAlign w:val="bottom"/>
          </w:tcPr>
          <w:p>
            <w:pPr>
              <w:spacing w:after="0"/>
              <w:rPr>
                <w:sz w:val="1"/>
                <w:szCs w:val="1"/>
                <w:color w:val="auto"/>
              </w:rPr>
            </w:pPr>
          </w:p>
        </w:tc>
      </w:tr>
      <w:tr>
        <w:trPr>
          <w:trHeight w:val="115"/>
        </w:trPr>
        <w:tc>
          <w:tcPr>
            <w:tcW w:w="2460" w:type="dxa"/>
            <w:vAlign w:val="bottom"/>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Net cash provided by (used in)</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operating activities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6,662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20,930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19,094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5,476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16,043</w:t>
            </w:r>
          </w:p>
        </w:tc>
        <w:tc>
          <w:tcPr>
            <w:tcW w:w="0" w:type="dxa"/>
            <w:vAlign w:val="bottom"/>
          </w:tcPr>
          <w:p>
            <w:pPr>
              <w:spacing w:after="0"/>
              <w:rPr>
                <w:sz w:val="1"/>
                <w:szCs w:val="1"/>
                <w:color w:val="auto"/>
              </w:rPr>
            </w:pPr>
          </w:p>
        </w:tc>
      </w:tr>
      <w:tr>
        <w:trPr>
          <w:trHeight w:val="174"/>
        </w:trPr>
        <w:tc>
          <w:tcPr>
            <w:tcW w:w="246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(9,238)</w:t>
            </w:r>
          </w:p>
        </w:tc>
        <w:tc>
          <w:tcPr>
            <w:tcW w:w="0" w:type="dxa"/>
            <w:vAlign w:val="bottom"/>
          </w:tcPr>
          <w:p>
            <w:pPr>
              <w:spacing w:after="0"/>
              <w:rPr>
                <w:sz w:val="1"/>
                <w:szCs w:val="1"/>
                <w:color w:val="auto"/>
              </w:rPr>
            </w:pPr>
          </w:p>
        </w:tc>
      </w:tr>
      <w:tr>
        <w:trPr>
          <w:trHeight w:val="131"/>
        </w:trPr>
        <w:tc>
          <w:tcPr>
            <w:tcW w:w="2460" w:type="dxa"/>
            <w:vAlign w:val="bottom"/>
          </w:tcPr>
          <w:p>
            <w:pPr>
              <w:ind w:left="120"/>
              <w:spacing w:after="0" w:line="131" w:lineRule="exact"/>
              <w:rPr>
                <w:sz w:val="20"/>
                <w:szCs w:val="20"/>
                <w:color w:val="auto"/>
              </w:rPr>
            </w:pPr>
            <w:r>
              <w:rPr>
                <w:rFonts w:ascii="Arial" w:cs="Arial" w:eastAsia="Arial" w:hAnsi="Arial"/>
                <w:sz w:val="13"/>
                <w:szCs w:val="13"/>
                <w:color w:val="auto"/>
              </w:rPr>
              <w:t>Available-for-sale marketable securities,</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60" w:type="dxa"/>
            <w:vAlign w:val="bottom"/>
          </w:tcPr>
          <w:p>
            <w:pPr>
              <w:ind w:left="300"/>
              <w:spacing w:after="0"/>
              <w:rPr>
                <w:sz w:val="20"/>
                <w:szCs w:val="20"/>
                <w:color w:val="auto"/>
              </w:rPr>
            </w:pPr>
            <w:r>
              <w:rPr>
                <w:rFonts w:ascii="Arial" w:cs="Arial" w:eastAsia="Arial" w:hAnsi="Arial"/>
                <w:sz w:val="13"/>
                <w:szCs w:val="13"/>
                <w:color w:val="auto"/>
              </w:rPr>
              <w:t>acquisitions</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(490)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(8,511)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(11,837)</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Available-for-sale marketable securities,</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liquidations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3,506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8,057</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Arial" w:cs="Arial" w:eastAsia="Arial" w:hAnsi="Arial"/>
                <w:sz w:val="13"/>
                <w:szCs w:val="13"/>
                <w:color w:val="auto"/>
              </w:rPr>
              <w:t>Purchases of finance receivables(a)</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(38,593)</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3,214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(35,379)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(39,113)</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5,139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(33,974)</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Principal collections and recoveries on</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finance receivables</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28,343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28,346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27,017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26,887</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Arial" w:cs="Arial" w:eastAsia="Arial" w:hAnsi="Arial"/>
                <w:sz w:val="13"/>
                <w:szCs w:val="13"/>
                <w:color w:val="auto"/>
              </w:rPr>
              <w:t>Purchases of leased vehicles</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(13,640)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(13,640)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4"/>
              </w:rPr>
              <w:t>(11,949)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(11,949)</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Proceeds from termination of leased</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vehicles</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13,033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14,234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14,234</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Arial" w:cs="Arial" w:eastAsia="Arial" w:hAnsi="Arial"/>
                <w:sz w:val="13"/>
                <w:szCs w:val="13"/>
                <w:color w:val="auto"/>
              </w:rPr>
              <w:t>Other investing activities(b)</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(4,544)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4,633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15"/>
        </w:trPr>
        <w:tc>
          <w:tcPr>
            <w:tcW w:w="246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b w:val="1"/>
                <w:bCs w:val="1"/>
                <w:color w:val="auto"/>
                <w:w w:val="97"/>
              </w:rPr>
              <w:t>Net cash provided by (used in) investing</w:t>
            </w: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activities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(10,882)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3,556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(17,497)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(10,006)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9,638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(17,882)</w:t>
            </w:r>
          </w:p>
        </w:tc>
        <w:tc>
          <w:tcPr>
            <w:tcW w:w="0" w:type="dxa"/>
            <w:vAlign w:val="bottom"/>
          </w:tcPr>
          <w:p>
            <w:pPr>
              <w:spacing w:after="0"/>
              <w:rPr>
                <w:sz w:val="1"/>
                <w:szCs w:val="1"/>
                <w:color w:val="auto"/>
              </w:rPr>
            </w:pPr>
          </w:p>
        </w:tc>
      </w:tr>
      <w:tr>
        <w:trPr>
          <w:trHeight w:val="174"/>
        </w:trPr>
        <w:tc>
          <w:tcPr>
            <w:tcW w:w="246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460" w:type="dxa"/>
            <w:vAlign w:val="bottom"/>
            <w:shd w:val="clear" w:color="auto" w:fill="CCEEFF"/>
          </w:tcPr>
          <w:p>
            <w:pPr>
              <w:ind w:left="120"/>
              <w:spacing w:after="0" w:line="133" w:lineRule="exact"/>
              <w:rPr>
                <w:sz w:val="20"/>
                <w:szCs w:val="20"/>
                <w:color w:val="auto"/>
              </w:rPr>
            </w:pPr>
            <w:r>
              <w:rPr>
                <w:rFonts w:ascii="Arial" w:cs="Arial" w:eastAsia="Arial" w:hAnsi="Arial"/>
                <w:sz w:val="13"/>
                <w:szCs w:val="13"/>
                <w:color w:val="auto"/>
              </w:rPr>
              <w:t>Net increase (decrease) in short-term</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debt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31"/>
        </w:trPr>
        <w:tc>
          <w:tcPr>
            <w:tcW w:w="2460" w:type="dxa"/>
            <w:vAlign w:val="bottom"/>
          </w:tcPr>
          <w:p>
            <w:pPr>
              <w:ind w:left="120"/>
              <w:spacing w:after="0" w:line="131" w:lineRule="exact"/>
              <w:rPr>
                <w:sz w:val="20"/>
                <w:szCs w:val="20"/>
                <w:color w:val="auto"/>
              </w:rPr>
            </w:pPr>
            <w:r>
              <w:rPr>
                <w:rFonts w:ascii="Arial" w:cs="Arial" w:eastAsia="Arial" w:hAnsi="Arial"/>
                <w:sz w:val="13"/>
                <w:szCs w:val="13"/>
                <w:color w:val="auto"/>
                <w:w w:val="99"/>
              </w:rPr>
              <w:t>Proceeds from issuance of debt (original</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60" w:type="dxa"/>
            <w:vAlign w:val="bottom"/>
          </w:tcPr>
          <w:p>
            <w:pPr>
              <w:ind w:left="300"/>
              <w:spacing w:after="0"/>
              <w:rPr>
                <w:sz w:val="20"/>
                <w:szCs w:val="20"/>
                <w:color w:val="auto"/>
              </w:rPr>
            </w:pPr>
            <w:r>
              <w:rPr>
                <w:rFonts w:ascii="Arial" w:cs="Arial" w:eastAsia="Arial" w:hAnsi="Arial"/>
                <w:sz w:val="13"/>
                <w:szCs w:val="13"/>
                <w:color w:val="auto"/>
              </w:rPr>
              <w:t>maturities greater than three months)</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50,940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50,963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2,255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18"/>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43,557</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45,813</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Payments on debt (original maturities</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greater than three months)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(43,001)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(44,675)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(37,925)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(39,606)</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Arial" w:cs="Arial" w:eastAsia="Arial" w:hAnsi="Arial"/>
                <w:sz w:val="13"/>
                <w:szCs w:val="13"/>
                <w:color w:val="auto"/>
              </w:rPr>
              <w:t>Payments to purchase common stock</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(11,115)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(11,115)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Issuance (redemption) of subsidiary</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stock(b)</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2,419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Arial" w:cs="Arial" w:eastAsia="Arial" w:hAnsi="Arial"/>
                <w:sz w:val="13"/>
                <w:szCs w:val="13"/>
                <w:color w:val="auto"/>
              </w:rPr>
              <w:t>Dividends paid(c)</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(1,919)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(1,819)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1,745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financing activities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w:t>
            </w:r>
          </w:p>
        </w:tc>
        <w:tc>
          <w:tcPr>
            <w:tcW w:w="0" w:type="dxa"/>
            <w:vAlign w:val="bottom"/>
          </w:tcPr>
          <w:p>
            <w:pPr>
              <w:spacing w:after="0"/>
              <w:rPr>
                <w:sz w:val="1"/>
                <w:szCs w:val="1"/>
                <w:color w:val="auto"/>
              </w:rPr>
            </w:pPr>
          </w:p>
        </w:tc>
      </w:tr>
      <w:tr>
        <w:trPr>
          <w:trHeight w:val="111"/>
        </w:trPr>
        <w:tc>
          <w:tcPr>
            <w:tcW w:w="2460" w:type="dxa"/>
            <w:vAlign w:val="bottom"/>
          </w:tcPr>
          <w:p>
            <w:pPr>
              <w:spacing w:after="0" w:line="111" w:lineRule="exact"/>
              <w:rPr>
                <w:sz w:val="20"/>
                <w:szCs w:val="20"/>
                <w:color w:val="auto"/>
              </w:rPr>
            </w:pPr>
            <w:r>
              <w:rPr>
                <w:rFonts w:ascii="Arial" w:cs="Arial" w:eastAsia="Arial" w:hAnsi="Arial"/>
                <w:sz w:val="12"/>
                <w:szCs w:val="12"/>
                <w:b w:val="1"/>
                <w:bCs w:val="1"/>
                <w:color w:val="auto"/>
              </w:rPr>
              <w:t>Net cash provided by (used in) financing</w:t>
            </w: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160"/>
              <w:spacing w:after="0"/>
              <w:rPr>
                <w:sz w:val="20"/>
                <w:szCs w:val="20"/>
                <w:color w:val="auto"/>
              </w:rPr>
            </w:pPr>
            <w:r>
              <w:rPr>
                <w:rFonts w:ascii="Arial" w:cs="Arial" w:eastAsia="Arial" w:hAnsi="Arial"/>
                <w:sz w:val="13"/>
                <w:szCs w:val="13"/>
                <w:b w:val="1"/>
                <w:bCs w:val="1"/>
                <w:color w:val="auto"/>
              </w:rPr>
              <w:t>activities</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(13,555)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396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5,724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1,082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(6,353)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18"/>
              <w:spacing w:after="0"/>
              <w:rPr>
                <w:sz w:val="20"/>
                <w:szCs w:val="20"/>
                <w:color w:val="auto"/>
              </w:rPr>
            </w:pPr>
            <w:r>
              <w:rPr>
                <w:rFonts w:ascii="Arial" w:cs="Arial" w:eastAsia="Arial" w:hAnsi="Arial"/>
                <w:sz w:val="13"/>
                <w:szCs w:val="13"/>
                <w:color w:val="auto"/>
              </w:rPr>
              <w:t>1,791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4,014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Effect of exchange rate changes on</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300"/>
              <w:spacing w:after="0" w:line="126" w:lineRule="exact"/>
              <w:rPr>
                <w:sz w:val="20"/>
                <w:szCs w:val="20"/>
                <w:color w:val="auto"/>
              </w:rPr>
            </w:pPr>
            <w:r>
              <w:rPr>
                <w:rFonts w:ascii="Arial" w:cs="Arial" w:eastAsia="Arial" w:hAnsi="Arial"/>
                <w:sz w:val="13"/>
                <w:szCs w:val="13"/>
                <w:color w:val="auto"/>
              </w:rPr>
              <w:t>cash, cash equivalents and restricted</w:t>
            </w: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cash</w:t>
            </w: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460" w:type="dxa"/>
            <w:vAlign w:val="bottom"/>
          </w:tcPr>
          <w:p>
            <w:pPr>
              <w:ind w:left="120"/>
              <w:spacing w:after="0" w:line="111" w:lineRule="exact"/>
              <w:rPr>
                <w:sz w:val="20"/>
                <w:szCs w:val="20"/>
                <w:color w:val="auto"/>
              </w:rPr>
            </w:pPr>
            <w:r>
              <w:rPr>
                <w:rFonts w:ascii="Arial" w:cs="Arial" w:eastAsia="Arial" w:hAnsi="Arial"/>
                <w:sz w:val="12"/>
                <w:szCs w:val="12"/>
                <w:color w:val="auto"/>
              </w:rPr>
              <w:t>Net increase (decrease) in cash, cash</w:t>
            </w: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460" w:type="dxa"/>
            <w:vAlign w:val="bottom"/>
          </w:tcPr>
          <w:p>
            <w:pPr>
              <w:ind w:left="300"/>
              <w:spacing w:after="0"/>
              <w:rPr>
                <w:sz w:val="20"/>
                <w:szCs w:val="20"/>
                <w:color w:val="auto"/>
              </w:rPr>
            </w:pPr>
            <w:r>
              <w:rPr>
                <w:rFonts w:ascii="Arial" w:cs="Arial" w:eastAsia="Arial" w:hAnsi="Arial"/>
                <w:sz w:val="13"/>
                <w:szCs w:val="13"/>
                <w:color w:val="auto"/>
              </w:rPr>
              <w:t>equivalents and restricted cash</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1,573</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(507)</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(1,594)</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w w:val="97"/>
              </w:rPr>
              <w:t>Cash, cash equivalents and restricted cash</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at beginning of period</w:t>
            </w: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13,746</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1,526</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6,676</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21,948</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14,774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1,584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7,183</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23,542</w:t>
            </w:r>
          </w:p>
        </w:tc>
        <w:tc>
          <w:tcPr>
            <w:tcW w:w="0" w:type="dxa"/>
            <w:vAlign w:val="bottom"/>
          </w:tcPr>
          <w:p>
            <w:pPr>
              <w:spacing w:after="0"/>
              <w:rPr>
                <w:sz w:val="1"/>
                <w:szCs w:val="1"/>
                <w:color w:val="auto"/>
              </w:rPr>
            </w:pPr>
          </w:p>
        </w:tc>
      </w:tr>
      <w:tr>
        <w:trPr>
          <w:trHeight w:val="111"/>
        </w:trPr>
        <w:tc>
          <w:tcPr>
            <w:tcW w:w="2460" w:type="dxa"/>
            <w:vAlign w:val="bottom"/>
          </w:tcPr>
          <w:p>
            <w:pPr>
              <w:spacing w:after="0" w:line="111" w:lineRule="exact"/>
              <w:rPr>
                <w:sz w:val="20"/>
                <w:szCs w:val="20"/>
                <w:color w:val="auto"/>
              </w:rPr>
            </w:pPr>
            <w:r>
              <w:rPr>
                <w:rFonts w:ascii="Arial" w:cs="Arial" w:eastAsia="Arial" w:hAnsi="Arial"/>
                <w:sz w:val="12"/>
                <w:szCs w:val="12"/>
                <w:b w:val="1"/>
                <w:bCs w:val="1"/>
                <w:color w:val="auto"/>
              </w:rPr>
              <w:t>Cash, cash equivalents and restricted</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12,310</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1,359</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8"/>
              <w:spacing w:after="0"/>
              <w:rPr>
                <w:sz w:val="20"/>
                <w:szCs w:val="20"/>
                <w:color w:val="auto"/>
              </w:rPr>
            </w:pPr>
            <w:r>
              <w:rPr>
                <w:rFonts w:ascii="Arial" w:cs="Arial" w:eastAsia="Arial" w:hAnsi="Arial"/>
                <w:sz w:val="13"/>
                <w:szCs w:val="13"/>
                <w:color w:val="auto"/>
              </w:rPr>
              <w:t>8,249</w:t>
            </w:r>
          </w:p>
        </w:tc>
        <w:tc>
          <w:tcPr>
            <w:tcW w:w="10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21,917</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auto"/>
              </w:rPr>
              <w:t>13,746</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ind w:right="18"/>
              <w:spacing w:after="0"/>
              <w:rPr>
                <w:sz w:val="20"/>
                <w:szCs w:val="20"/>
                <w:color w:val="auto"/>
              </w:rPr>
            </w:pPr>
            <w:r>
              <w:rPr>
                <w:rFonts w:ascii="Arial" w:cs="Arial" w:eastAsia="Arial" w:hAnsi="Arial"/>
                <w:sz w:val="13"/>
                <w:szCs w:val="13"/>
                <w:color w:val="auto"/>
              </w:rPr>
              <w:t>1,526</w:t>
            </w:r>
          </w:p>
        </w:tc>
        <w:tc>
          <w:tcPr>
            <w:tcW w:w="10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6,676</w:t>
            </w:r>
          </w:p>
        </w:tc>
        <w:tc>
          <w:tcPr>
            <w:tcW w:w="10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21,948</w:t>
            </w:r>
          </w:p>
        </w:tc>
        <w:tc>
          <w:tcPr>
            <w:tcW w:w="0" w:type="dxa"/>
            <w:vAlign w:val="bottom"/>
          </w:tcPr>
          <w:p>
            <w:pPr>
              <w:spacing w:after="0"/>
              <w:rPr>
                <w:sz w:val="1"/>
                <w:szCs w:val="1"/>
                <w:color w:val="auto"/>
              </w:rPr>
            </w:pPr>
          </w:p>
        </w:tc>
      </w:tr>
      <w:tr>
        <w:trPr>
          <w:trHeight w:val="153"/>
        </w:trPr>
        <w:tc>
          <w:tcPr>
            <w:tcW w:w="2460" w:type="dxa"/>
            <w:vAlign w:val="bottom"/>
          </w:tcPr>
          <w:p>
            <w:pPr>
              <w:ind w:left="160"/>
              <w:spacing w:after="0"/>
              <w:rPr>
                <w:sz w:val="20"/>
                <w:szCs w:val="20"/>
                <w:color w:val="auto"/>
              </w:rPr>
            </w:pPr>
            <w:r>
              <w:rPr>
                <w:rFonts w:ascii="Arial" w:cs="Arial" w:eastAsia="Arial" w:hAnsi="Arial"/>
                <w:sz w:val="13"/>
                <w:szCs w:val="13"/>
                <w:b w:val="1"/>
                <w:bCs w:val="1"/>
                <w:color w:val="auto"/>
              </w:rPr>
              <w:t>cash at end of period</w:t>
            </w: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15" w:lineRule="exact"/>
        <w:rPr>
          <w:sz w:val="20"/>
          <w:szCs w:val="20"/>
          <w:color w:val="auto"/>
        </w:rPr>
      </w:pPr>
    </w:p>
    <w:p>
      <w:pPr>
        <w:ind w:left="340" w:hanging="332"/>
        <w:spacing w:after="0" w:line="243" w:lineRule="auto"/>
        <w:tabs>
          <w:tab w:leader="none" w:pos="337"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eliminations of $3.0 billion and $5.0 billion in the years ended December 31, 2023 and 2022 for purchases/collections of wholesale finance receivables resulting from vehicles sold by GM to dealers that have arranged their inventory floor plan financing through GM Financial.</w:t>
      </w:r>
    </w:p>
    <w:p>
      <w:pPr>
        <w:ind w:left="340" w:hanging="332"/>
        <w:spacing w:after="0" w:line="243" w:lineRule="auto"/>
        <w:tabs>
          <w:tab w:leader="none" w:pos="337"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eliminations of $0.5 billion and $2.4 billion in the years ended December 31, 2023 and 2022 for Automotive investment in Cruise and reclassifications of $2.1 billion in the year ended December 31, 2022 for purchase of Cruise preferred shares from SoftBank.</w:t>
      </w:r>
    </w:p>
    <w:p>
      <w:pPr>
        <w:ind w:left="320" w:hanging="312"/>
        <w:spacing w:after="0"/>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include dividends issued by GM Financial to Automotive in the 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368"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Corporate</w:t>
            </w:r>
          </w:p>
        </w:tc>
        <w:tc>
          <w:tcPr>
            <w:tcW w:w="160" w:type="dxa"/>
            <w:vAlign w:val="bottom"/>
          </w:tcPr>
          <w:p>
            <w:pPr>
              <w:spacing w:after="0"/>
              <w:rPr>
                <w:sz w:val="10"/>
                <w:szCs w:val="10"/>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10"/>
                <w:szCs w:val="1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10"/>
                <w:szCs w:val="10"/>
                <w:color w:val="auto"/>
              </w:rPr>
            </w:pPr>
          </w:p>
        </w:tc>
        <w:tc>
          <w:tcPr>
            <w:tcW w:w="62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December 31, 2023</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42,980</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3,437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3,613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3,706</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2,999</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1"/>
                <w:szCs w:val="11"/>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00" w:type="dxa"/>
            <w:vAlign w:val="bottom"/>
          </w:tcPr>
          <w:p>
            <w:pPr>
              <w:spacing w:after="0"/>
              <w:rPr>
                <w:sz w:val="24"/>
                <w:szCs w:val="2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Corporate</w:t>
            </w:r>
          </w:p>
        </w:tc>
        <w:tc>
          <w:tcPr>
            <w:tcW w:w="160" w:type="dxa"/>
            <w:vAlign w:val="bottom"/>
          </w:tcPr>
          <w:p>
            <w:pPr>
              <w:spacing w:after="0"/>
              <w:rPr>
                <w:sz w:val="24"/>
                <w:szCs w:val="2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4"/>
                <w:szCs w:val="2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40" w:type="dxa"/>
            <w:vAlign w:val="bottom"/>
          </w:tcPr>
          <w:p>
            <w:pPr>
              <w:ind w:left="20"/>
              <w:spacing w:after="0"/>
              <w:rPr>
                <w:sz w:val="20"/>
                <w:szCs w:val="20"/>
                <w:color w:val="auto"/>
              </w:rPr>
            </w:pPr>
            <w:r>
              <w:rPr>
                <w:rFonts w:ascii="Arial" w:cs="Arial" w:eastAsia="Arial" w:hAnsi="Arial"/>
                <w:sz w:val="11"/>
                <w:szCs w:val="11"/>
                <w:b w:val="1"/>
                <w:bCs w:val="1"/>
                <w:color w:val="auto"/>
              </w:rPr>
              <w:t>Three Months Ended December 31, 2022</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39,834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43,108</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2,914</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3,235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3,304</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2,767</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1"/>
                <w:szCs w:val="11"/>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income (loss)(a)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00" w:type="dxa"/>
            <w:vAlign w:val="bottom"/>
          </w:tcPr>
          <w:p>
            <w:pPr>
              <w:spacing w:after="0"/>
              <w:rPr>
                <w:sz w:val="24"/>
                <w:szCs w:val="2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Corporate</w:t>
            </w:r>
          </w:p>
        </w:tc>
        <w:tc>
          <w:tcPr>
            <w:tcW w:w="160" w:type="dxa"/>
            <w:vAlign w:val="bottom"/>
          </w:tcPr>
          <w:p>
            <w:pPr>
              <w:spacing w:after="0"/>
              <w:rPr>
                <w:sz w:val="24"/>
                <w:szCs w:val="2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4"/>
                <w:szCs w:val="2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40" w:type="dxa"/>
            <w:vAlign w:val="bottom"/>
          </w:tcPr>
          <w:p>
            <w:pPr>
              <w:ind w:left="20"/>
              <w:spacing w:after="0"/>
              <w:rPr>
                <w:sz w:val="20"/>
                <w:szCs w:val="20"/>
                <w:color w:val="auto"/>
              </w:rPr>
            </w:pPr>
            <w:r>
              <w:rPr>
                <w:rFonts w:ascii="Arial" w:cs="Arial" w:eastAsia="Arial" w:hAnsi="Arial"/>
                <w:sz w:val="11"/>
                <w:szCs w:val="11"/>
                <w:b w:val="1"/>
                <w:bCs w:val="1"/>
                <w:color w:val="auto"/>
              </w:rPr>
              <w:t>Year Ended December 31, 2023</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141,445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157,667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171,842</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10,147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522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10,684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10,970</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11,737</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1"/>
                <w:szCs w:val="11"/>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00" w:type="dxa"/>
            <w:vAlign w:val="bottom"/>
          </w:tcPr>
          <w:p>
            <w:pPr>
              <w:spacing w:after="0"/>
              <w:rPr>
                <w:sz w:val="24"/>
                <w:szCs w:val="2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Corporate</w:t>
            </w:r>
          </w:p>
        </w:tc>
        <w:tc>
          <w:tcPr>
            <w:tcW w:w="160" w:type="dxa"/>
            <w:vAlign w:val="bottom"/>
          </w:tcPr>
          <w:p>
            <w:pPr>
              <w:spacing w:after="0"/>
              <w:rPr>
                <w:sz w:val="24"/>
                <w:szCs w:val="2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4"/>
                <w:szCs w:val="2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40" w:type="dxa"/>
            <w:vAlign w:val="bottom"/>
          </w:tcPr>
          <w:p>
            <w:pPr>
              <w:ind w:left="20"/>
              <w:spacing w:after="0"/>
              <w:rPr>
                <w:sz w:val="20"/>
                <w:szCs w:val="20"/>
                <w:color w:val="auto"/>
              </w:rPr>
            </w:pPr>
            <w:r>
              <w:rPr>
                <w:rFonts w:ascii="Arial" w:cs="Arial" w:eastAsia="Arial" w:hAnsi="Arial"/>
                <w:sz w:val="11"/>
                <w:szCs w:val="11"/>
                <w:b w:val="1"/>
                <w:bCs w:val="1"/>
                <w:color w:val="auto"/>
              </w:rPr>
              <w:t>Year Ended December 31, 2022</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143,974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156,735</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1"/>
                <w:szCs w:val="11"/>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8,280</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706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9,007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9,238</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11,276</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1"/>
                <w:szCs w:val="11"/>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income (loss)(a)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18" w:lineRule="exact"/>
        <w:rPr>
          <w:sz w:val="20"/>
          <w:szCs w:val="20"/>
          <w:color w:val="auto"/>
        </w:rPr>
      </w:pPr>
    </w:p>
    <w:p>
      <w:pPr>
        <w:ind w:left="340" w:hanging="332"/>
        <w:spacing w:after="0" w:line="238" w:lineRule="auto"/>
        <w:tabs>
          <w:tab w:leader="none" w:pos="332"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Automotive China equity income of $93 million and $201 million in the three months ended December 31, 2023 and 2022 and $446 million and $677 million in the years ended December 31, 2023 and 2022.</w:t>
      </w:r>
    </w:p>
    <w:p>
      <w:pPr>
        <w:ind w:left="340" w:hanging="332"/>
        <w:spacing w:after="0" w:line="309" w:lineRule="auto"/>
        <w:tabs>
          <w:tab w:leader="none" w:pos="332" w:val="left"/>
        </w:tabs>
        <w:numPr>
          <w:ilvl w:val="0"/>
          <w:numId w:val="10"/>
        </w:numPr>
        <w:rPr>
          <w:rFonts w:ascii="Arial" w:cs="Arial" w:eastAsia="Arial" w:hAnsi="Arial"/>
          <w:sz w:val="12"/>
          <w:szCs w:val="12"/>
          <w:color w:val="auto"/>
        </w:rPr>
      </w:pPr>
      <w:r>
        <w:rPr>
          <w:rFonts w:ascii="Arial" w:cs="Arial" w:eastAsia="Arial" w:hAnsi="Arial"/>
          <w:sz w:val="12"/>
          <w:szCs w:val="12"/>
          <w:color w:val="auto"/>
        </w:rPr>
        <w:t>Equity earnings related to Ultium Cells Holdings LLC are presented in Automotive and other cost of sales as this entity is integral to the operations of our business by providing battery cells for our electric vehicles. Equity earnings related to Ultium Cells Holdings LLC were $102 million in the three months ended December 31, 2023 and $293 million in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36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General Motors Company (GM) uses both generally accepted accounting principles (GAAP) and non-GAAP financial measures for operational and financial decision making, and to assess Company and segment business performance. Our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i w:val="1"/>
          <w:iCs w:val="1"/>
          <w:color w:val="auto"/>
        </w:rPr>
        <w:t>(Most comparable GAAP measure: Net income attributable to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is presented net of noncontrolling interests and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22"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i w:val="1"/>
          <w:iCs w:val="1"/>
          <w:color w:val="auto"/>
        </w:rPr>
        <w:t>(Most comparable GAAP measure: Diluted earnings per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EPS-diluted-adjusted is used by management and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0"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i w:val="1"/>
          <w:iCs w:val="1"/>
          <w:color w:val="auto"/>
        </w:rPr>
        <w:t>(Most comparable GAAP measure: Effective tax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ETR-adjusted is used by management and can be used by investors to review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99"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i w:val="1"/>
          <w:iCs w:val="1"/>
          <w:color w:val="auto"/>
        </w:rPr>
        <w:t>(Most comparable GAAP measure: Return on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213"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i w:val="1"/>
          <w:iCs w:val="1"/>
          <w:color w:val="auto"/>
        </w:rPr>
        <w:t>(Most comparable GAAP measure: Net automotive cash provided by operating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automotive free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61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jc w:val="center"/>
        <w:ind w:right="-19"/>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attributable to stockholders under U.S. GAAP to EBIT-adjusted and segment profit (loss)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5"/>
          </w:tcPr>
          <w:p>
            <w:pPr>
              <w:ind w:left="7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2760" w:type="dxa"/>
            <w:vAlign w:val="bottom"/>
            <w:gridSpan w:val="4"/>
          </w:tcPr>
          <w:p>
            <w:pPr>
              <w:jc w:val="right"/>
              <w:ind w:right="980"/>
              <w:spacing w:after="0"/>
              <w:rPr>
                <w:sz w:val="20"/>
                <w:szCs w:val="20"/>
                <w:color w:val="auto"/>
              </w:rPr>
            </w:pPr>
            <w:r>
              <w:rPr>
                <w:rFonts w:ascii="Arial" w:cs="Arial" w:eastAsia="Arial" w:hAnsi="Arial"/>
                <w:sz w:val="13"/>
                <w:szCs w:val="13"/>
                <w:b w:val="1"/>
                <w:bCs w:val="1"/>
                <w:color w:val="auto"/>
              </w:rPr>
              <w:t>Years Ended</w:t>
            </w:r>
          </w:p>
        </w:tc>
      </w:tr>
      <w:tr>
        <w:trPr>
          <w:trHeight w:val="171"/>
        </w:trPr>
        <w:tc>
          <w:tcPr>
            <w:tcW w:w="53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95"/>
              </w:rPr>
              <w:t>December 31, 2022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97"/>
              </w:rPr>
              <w:t>December 31, 2022</w:t>
            </w:r>
          </w:p>
        </w:tc>
      </w:tr>
      <w:tr>
        <w:trPr>
          <w:trHeight w:val="211"/>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9,934</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1,888</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Automotive interest expense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Automotive interest income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Voluntary separation program(b)</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Buick dealer strategy(c)</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Cruise restructuring(d)</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Korea wage litigation(e)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India asset sales(f)</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Cruise compensation modifications(g)</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Russia exit(h)</w:t>
            </w: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657</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Patent royalty matters(i)</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adjustments</w:t>
            </w: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1,865</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2,125</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EBIT-adjusted</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1,757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12,357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14,474</w:t>
            </w:r>
          </w:p>
        </w:tc>
      </w:tr>
      <w:tr>
        <w:trPr>
          <w:trHeight w:val="195"/>
        </w:trPr>
        <w:tc>
          <w:tcPr>
            <w:tcW w:w="5360" w:type="dxa"/>
            <w:vAlign w:val="bottom"/>
          </w:tcPr>
          <w:p>
            <w:pPr>
              <w:ind w:left="20"/>
              <w:spacing w:after="0"/>
              <w:rPr>
                <w:sz w:val="20"/>
                <w:szCs w:val="20"/>
                <w:color w:val="auto"/>
              </w:rPr>
            </w:pPr>
            <w:r>
              <w:rPr>
                <w:rFonts w:ascii="Arial" w:cs="Arial" w:eastAsia="Arial" w:hAnsi="Arial"/>
                <w:sz w:val="16"/>
                <w:szCs w:val="16"/>
                <w:color w:val="auto"/>
              </w:rPr>
              <w:t>Operating segments</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North America (GMNA)</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12,988</w:t>
            </w:r>
          </w:p>
        </w:tc>
      </w:tr>
      <w:tr>
        <w:trPr>
          <w:trHeight w:val="215"/>
        </w:trPr>
        <w:tc>
          <w:tcPr>
            <w:tcW w:w="5360" w:type="dxa"/>
            <w:vAlign w:val="bottom"/>
          </w:tcPr>
          <w:p>
            <w:pPr>
              <w:ind w:left="140"/>
              <w:spacing w:after="0"/>
              <w:rPr>
                <w:sz w:val="20"/>
                <w:szCs w:val="20"/>
                <w:color w:val="auto"/>
              </w:rPr>
            </w:pPr>
            <w:r>
              <w:rPr>
                <w:rFonts w:ascii="Arial" w:cs="Arial" w:eastAsia="Arial" w:hAnsi="Arial"/>
                <w:sz w:val="16"/>
                <w:szCs w:val="16"/>
                <w:color w:val="auto"/>
              </w:rPr>
              <w:t>GM International (GMI)</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1,143</w:t>
            </w:r>
          </w:p>
        </w:tc>
      </w:tr>
      <w:tr>
        <w:trPr>
          <w:trHeight w:val="21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Cruise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r>
      <w:tr>
        <w:trPr>
          <w:trHeight w:val="215"/>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Financial(j)</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4,076</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segments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16,317</w:t>
            </w:r>
          </w:p>
        </w:tc>
      </w:tr>
      <w:tr>
        <w:trPr>
          <w:trHeight w:val="21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eliminations(k)</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w:t>
            </w:r>
          </w:p>
        </w:tc>
      </w:tr>
      <w:tr>
        <w:trPr>
          <w:trHeight w:val="23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12,357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400" w:hanging="31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of net loss attributable to noncontrolling interests.</w:t>
      </w:r>
    </w:p>
    <w:p>
      <w:pPr>
        <w:spacing w:after="0" w:line="1" w:lineRule="exact"/>
        <w:rPr>
          <w:rFonts w:ascii="Arial" w:cs="Arial" w:eastAsia="Arial" w:hAnsi="Arial"/>
          <w:sz w:val="14"/>
          <w:szCs w:val="14"/>
          <w:color w:val="auto"/>
        </w:rPr>
      </w:pPr>
    </w:p>
    <w:p>
      <w:pPr>
        <w:ind w:left="420" w:hanging="331"/>
        <w:spacing w:after="0" w:line="261" w:lineRule="auto"/>
        <w:tabs>
          <w:tab w:leader="none" w:pos="4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acceleration of attrition as part of the cost reduction program announced in January 2023, primarily in the U.S.</w:t>
      </w:r>
    </w:p>
    <w:p>
      <w:pPr>
        <w:spacing w:after="0" w:line="175" w:lineRule="exact"/>
        <w:rPr>
          <w:rFonts w:ascii="Arial" w:cs="Arial" w:eastAsia="Arial" w:hAnsi="Arial"/>
          <w:sz w:val="14"/>
          <w:szCs w:val="14"/>
          <w:color w:val="auto"/>
        </w:rPr>
      </w:pPr>
    </w:p>
    <w:p>
      <w:pPr>
        <w:ind w:left="400" w:hanging="31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14" w:lineRule="exact"/>
        <w:rPr>
          <w:rFonts w:ascii="Arial" w:cs="Arial" w:eastAsia="Arial" w:hAnsi="Arial"/>
          <w:sz w:val="14"/>
          <w:szCs w:val="14"/>
          <w:color w:val="auto"/>
        </w:rPr>
      </w:pPr>
    </w:p>
    <w:p>
      <w:pPr>
        <w:jc w:val="both"/>
        <w:ind w:left="420" w:hanging="331"/>
        <w:spacing w:after="0" w:line="254" w:lineRule="auto"/>
        <w:tabs>
          <w:tab w:leader="none" w:pos="4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restructuring costs resulting from Cruise voluntarily pausing its driverless, supervised and manual AV operations in the U.S. while it examines its processes, systems and tools. The adjustments primarily consist of non-cash restructuring charges, supplier related charges and employee separation charges.</w:t>
      </w:r>
    </w:p>
    <w:p>
      <w:pPr>
        <w:spacing w:after="0" w:line="1" w:lineRule="exact"/>
        <w:rPr>
          <w:rFonts w:ascii="Arial" w:cs="Arial" w:eastAsia="Arial" w:hAnsi="Arial"/>
          <w:sz w:val="14"/>
          <w:szCs w:val="14"/>
          <w:color w:val="auto"/>
        </w:rPr>
      </w:pPr>
    </w:p>
    <w:p>
      <w:pPr>
        <w:ind w:left="400" w:hanging="31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partial resolution of subcontractor matters in Korea.</w:t>
      </w:r>
    </w:p>
    <w:p>
      <w:pPr>
        <w:spacing w:after="0" w:line="14" w:lineRule="exact"/>
        <w:rPr>
          <w:rFonts w:ascii="Arial" w:cs="Arial" w:eastAsia="Arial" w:hAnsi="Arial"/>
          <w:sz w:val="14"/>
          <w:szCs w:val="14"/>
          <w:color w:val="auto"/>
        </w:rPr>
      </w:pPr>
    </w:p>
    <w:p>
      <w:pPr>
        <w:ind w:left="400" w:hanging="31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an asset sale resulting from our strategic decision in 2020 to exit India.</w:t>
      </w:r>
    </w:p>
    <w:p>
      <w:pPr>
        <w:spacing w:after="0" w:line="14" w:lineRule="exact"/>
        <w:rPr>
          <w:rFonts w:ascii="Arial" w:cs="Arial" w:eastAsia="Arial" w:hAnsi="Arial"/>
          <w:sz w:val="14"/>
          <w:szCs w:val="14"/>
          <w:color w:val="auto"/>
        </w:rPr>
      </w:pPr>
    </w:p>
    <w:p>
      <w:pPr>
        <w:ind w:left="400" w:hanging="31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adjustment was excluded because it relates to the one-time modification of Cruise stock incentive awards.</w:t>
      </w:r>
    </w:p>
    <w:p>
      <w:pPr>
        <w:spacing w:after="0" w:line="1" w:lineRule="exact"/>
        <w:rPr>
          <w:rFonts w:ascii="Arial" w:cs="Arial" w:eastAsia="Arial" w:hAnsi="Arial"/>
          <w:sz w:val="14"/>
          <w:szCs w:val="14"/>
          <w:color w:val="auto"/>
        </w:rPr>
      </w:pPr>
    </w:p>
    <w:p>
      <w:pPr>
        <w:ind w:left="420" w:hanging="331"/>
        <w:spacing w:after="0" w:line="261" w:lineRule="auto"/>
        <w:tabs>
          <w:tab w:leader="none" w:pos="4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adjustment was excluded because it relates to the shutdown of our Russia business including the write off of our net investment and release of accumulated translation losses into earnings.</w:t>
      </w:r>
    </w:p>
    <w:p>
      <w:pPr>
        <w:ind w:left="400" w:hanging="31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adjustment was excluded because it relates to the resolution of substantially all royalty matters accrued with respect to past-year vehicle sales in 2022.</w:t>
      </w:r>
    </w:p>
    <w:p>
      <w:pPr>
        <w:spacing w:after="0" w:line="14" w:lineRule="exact"/>
        <w:rPr>
          <w:rFonts w:ascii="Arial" w:cs="Arial" w:eastAsia="Arial" w:hAnsi="Arial"/>
          <w:sz w:val="14"/>
          <w:szCs w:val="14"/>
          <w:color w:val="auto"/>
        </w:rPr>
      </w:pPr>
    </w:p>
    <w:p>
      <w:pPr>
        <w:ind w:left="400" w:hanging="311"/>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GM Financial amounts represent EBT-adjusted.</w:t>
      </w:r>
    </w:p>
    <w:p>
      <w:pPr>
        <w:spacing w:after="0" w:line="14" w:lineRule="exact"/>
        <w:rPr>
          <w:rFonts w:ascii="Arial" w:cs="Arial" w:eastAsia="Arial" w:hAnsi="Arial"/>
          <w:sz w:val="14"/>
          <w:szCs w:val="14"/>
          <w:color w:val="auto"/>
        </w:rPr>
      </w:pPr>
    </w:p>
    <w:p>
      <w:pPr>
        <w:ind w:left="420" w:hanging="331"/>
        <w:spacing w:after="0" w:line="264" w:lineRule="auto"/>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GM's automotive interest income and interest expense, legacy costs from the Opel/Vauxhall Business (primarily pension costs), corporate expenditures and certain revenues and expenses that are not part of a reportable segment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61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jc w:val="center"/>
        <w:ind w:right="-19"/>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firstLine="162"/>
        <w:spacing w:after="0" w:line="263" w:lineRule="auto"/>
        <w:rPr>
          <w:sz w:val="20"/>
          <w:szCs w:val="20"/>
          <w:color w:val="auto"/>
        </w:rPr>
      </w:pPr>
      <w:r>
        <w:rPr>
          <w:rFonts w:ascii="Arial" w:cs="Arial" w:eastAsia="Arial" w:hAnsi="Arial"/>
          <w:sz w:val="16"/>
          <w:szCs w:val="16"/>
          <w:color w:val="auto"/>
        </w:rPr>
        <w:t>The following table reconciles diluted earnings per common share under U.S. GAAP to EPS-diluted-adjusted (dollars in millions, except per share amounts):</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Years Ended</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7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ind w:left="180"/>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Pr>
          <w:p>
            <w:pPr>
              <w:spacing w:after="0"/>
              <w:rPr>
                <w:sz w:val="14"/>
                <w:szCs w:val="14"/>
                <w:color w:val="auto"/>
              </w:rPr>
            </w:pPr>
          </w:p>
        </w:tc>
        <w:tc>
          <w:tcPr>
            <w:tcW w:w="1640" w:type="dxa"/>
            <w:vAlign w:val="bottom"/>
            <w:gridSpan w:val="4"/>
          </w:tcPr>
          <w:p>
            <w:pPr>
              <w:jc w:val="right"/>
              <w:ind w:right="242"/>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ind w:left="180"/>
              <w:spacing w:after="0"/>
              <w:rPr>
                <w:sz w:val="20"/>
                <w:szCs w:val="20"/>
                <w:color w:val="auto"/>
              </w:rPr>
            </w:pPr>
            <w:r>
              <w:rPr>
                <w:rFonts w:ascii="Arial" w:cs="Arial" w:eastAsia="Arial" w:hAnsi="Arial"/>
                <w:sz w:val="13"/>
                <w:szCs w:val="13"/>
                <w:b w:val="1"/>
                <w:bCs w:val="1"/>
                <w:color w:val="auto"/>
              </w:rPr>
              <w:t>December 31, 2023</w:t>
            </w:r>
          </w:p>
        </w:tc>
        <w:tc>
          <w:tcPr>
            <w:tcW w:w="140" w:type="dxa"/>
            <w:vAlign w:val="bottom"/>
          </w:tcPr>
          <w:p>
            <w:pPr>
              <w:spacing w:after="0"/>
              <w:rPr>
                <w:sz w:val="14"/>
                <w:szCs w:val="14"/>
                <w:color w:val="auto"/>
              </w:rPr>
            </w:pPr>
          </w:p>
        </w:tc>
        <w:tc>
          <w:tcPr>
            <w:tcW w:w="1660" w:type="dxa"/>
            <w:vAlign w:val="bottom"/>
            <w:gridSpan w:val="4"/>
          </w:tcPr>
          <w:p>
            <w:pPr>
              <w:ind w:left="180"/>
              <w:spacing w:after="0"/>
              <w:rPr>
                <w:sz w:val="20"/>
                <w:szCs w:val="20"/>
                <w:color w:val="auto"/>
              </w:rPr>
            </w:pPr>
            <w:r>
              <w:rPr>
                <w:rFonts w:ascii="Arial" w:cs="Arial" w:eastAsia="Arial" w:hAnsi="Arial"/>
                <w:sz w:val="13"/>
                <w:szCs w:val="13"/>
                <w:b w:val="1"/>
                <w:bCs w:val="1"/>
                <w:color w:val="auto"/>
              </w:rPr>
              <w:t>December 31, 2022</w:t>
            </w:r>
          </w:p>
        </w:tc>
      </w:tr>
      <w:tr>
        <w:trPr>
          <w:trHeight w:val="169"/>
        </w:trPr>
        <w:tc>
          <w:tcPr>
            <w:tcW w:w="37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64"/>
              <w:spacing w:after="0"/>
              <w:rPr>
                <w:sz w:val="20"/>
                <w:szCs w:val="20"/>
                <w:color w:val="auto"/>
              </w:rPr>
            </w:pPr>
            <w:r>
              <w:rPr>
                <w:rFonts w:ascii="Arial" w:cs="Arial" w:eastAsia="Arial" w:hAnsi="Arial"/>
                <w:sz w:val="13"/>
                <w:szCs w:val="13"/>
                <w:b w:val="1"/>
                <w:bCs w:val="1"/>
                <w:color w:val="auto"/>
                <w:w w:val="95"/>
              </w:rPr>
              <w:t>Per Share</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62"/>
              <w:spacing w:after="0"/>
              <w:rPr>
                <w:sz w:val="20"/>
                <w:szCs w:val="20"/>
                <w:color w:val="auto"/>
              </w:rPr>
            </w:pPr>
            <w:r>
              <w:rPr>
                <w:rFonts w:ascii="Arial" w:cs="Arial" w:eastAsia="Arial" w:hAnsi="Arial"/>
                <w:sz w:val="13"/>
                <w:szCs w:val="13"/>
                <w:b w:val="1"/>
                <w:bCs w:val="1"/>
                <w:color w:val="auto"/>
                <w:w w:val="95"/>
              </w:rPr>
              <w:t>Per Share</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95"/>
              </w:rPr>
              <w:t>Per Share</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Per Share</w:t>
            </w: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2,076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10,022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8,915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center"/>
              <w:ind w:left="202"/>
              <w:spacing w:after="0"/>
              <w:rPr>
                <w:sz w:val="20"/>
                <w:szCs w:val="20"/>
                <w:color w:val="auto"/>
              </w:rPr>
            </w:pPr>
            <w:r>
              <w:rPr>
                <w:rFonts w:ascii="Arial" w:cs="Arial" w:eastAsia="Arial" w:hAnsi="Arial"/>
                <w:sz w:val="16"/>
                <w:szCs w:val="16"/>
                <w:color w:val="auto"/>
              </w:rPr>
              <w:t>6.13</w:t>
            </w: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Adjustments(a)</w:t>
            </w:r>
          </w:p>
        </w:tc>
        <w:tc>
          <w:tcPr>
            <w:tcW w:w="1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0.82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1,865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2,125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left="202"/>
              <w:spacing w:after="0"/>
              <w:rPr>
                <w:sz w:val="20"/>
                <w:szCs w:val="20"/>
                <w:color w:val="auto"/>
              </w:rPr>
            </w:pPr>
            <w:r>
              <w:rPr>
                <w:rFonts w:ascii="Arial" w:cs="Arial" w:eastAsia="Arial" w:hAnsi="Arial"/>
                <w:sz w:val="16"/>
                <w:szCs w:val="16"/>
                <w:color w:val="auto"/>
              </w:rPr>
              <w:t>1.46</w:t>
            </w: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 on adjustments(b)</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182"/>
              <w:spacing w:after="0"/>
              <w:rPr>
                <w:sz w:val="20"/>
                <w:szCs w:val="20"/>
                <w:color w:val="auto"/>
              </w:rPr>
            </w:pPr>
            <w:r>
              <w:rPr>
                <w:rFonts w:ascii="Arial" w:cs="Arial" w:eastAsia="Arial" w:hAnsi="Arial"/>
                <w:sz w:val="16"/>
                <w:szCs w:val="16"/>
                <w:color w:val="auto"/>
              </w:rPr>
              <w:t>(0.29)</w:t>
            </w: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Tax adjustments(c)</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left="182"/>
              <w:spacing w:after="0"/>
              <w:rPr>
                <w:sz w:val="20"/>
                <w:szCs w:val="20"/>
                <w:color w:val="auto"/>
              </w:rPr>
            </w:pPr>
            <w:r>
              <w:rPr>
                <w:rFonts w:ascii="Arial" w:cs="Arial" w:eastAsia="Arial" w:hAnsi="Arial"/>
                <w:sz w:val="16"/>
                <w:szCs w:val="16"/>
                <w:color w:val="auto"/>
              </w:rPr>
              <w:t>(0.33)</w:t>
            </w: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Deemed dividend adjustment(d)</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202"/>
              <w:spacing w:after="0"/>
              <w:rPr>
                <w:sz w:val="20"/>
                <w:szCs w:val="20"/>
                <w:color w:val="auto"/>
              </w:rPr>
            </w:pPr>
            <w:r>
              <w:rPr>
                <w:rFonts w:ascii="Arial" w:cs="Arial" w:eastAsia="Arial" w:hAnsi="Arial"/>
                <w:sz w:val="16"/>
                <w:szCs w:val="16"/>
                <w:color w:val="auto"/>
              </w:rPr>
              <w:t>0.63</w:t>
            </w:r>
          </w:p>
        </w:tc>
      </w:tr>
      <w:tr>
        <w:trPr>
          <w:trHeight w:val="210"/>
        </w:trPr>
        <w:tc>
          <w:tcPr>
            <w:tcW w:w="3740" w:type="dxa"/>
            <w:vAlign w:val="bottom"/>
          </w:tcPr>
          <w:p>
            <w:pPr>
              <w:ind w:left="20"/>
              <w:spacing w:after="0"/>
              <w:rPr>
                <w:sz w:val="20"/>
                <w:szCs w:val="20"/>
                <w:color w:val="auto"/>
              </w:rPr>
            </w:pPr>
            <w:r>
              <w:rPr>
                <w:rFonts w:ascii="Arial" w:cs="Arial" w:eastAsia="Arial" w:hAnsi="Arial"/>
                <w:sz w:val="16"/>
                <w:szCs w:val="16"/>
                <w:color w:val="auto"/>
              </w:rPr>
              <w:t>EPS-diluted-adjusted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1,624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3,028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10,513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11,044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center"/>
              <w:ind w:left="202"/>
              <w:spacing w:after="0"/>
              <w:rPr>
                <w:sz w:val="20"/>
                <w:szCs w:val="20"/>
                <w:color w:val="auto"/>
              </w:rPr>
            </w:pPr>
            <w:r>
              <w:rPr>
                <w:rFonts w:ascii="Arial" w:cs="Arial" w:eastAsia="Arial" w:hAnsi="Arial"/>
                <w:sz w:val="16"/>
                <w:szCs w:val="16"/>
                <w:color w:val="auto"/>
              </w:rPr>
              <w:t>7.59</w:t>
            </w:r>
          </w:p>
        </w:tc>
      </w:tr>
      <w:tr>
        <w:trPr>
          <w:trHeight w:val="21"/>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2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the year ended December 31, 2023, the adjustment consists of tax benefit related to the release of a valuation allowance against deferred tax assets considered</w:t>
      </w:r>
    </w:p>
    <w:p>
      <w:pPr>
        <w:spacing w:after="0" w:line="15" w:lineRule="exact"/>
        <w:rPr>
          <w:sz w:val="20"/>
          <w:szCs w:val="20"/>
          <w:color w:val="auto"/>
        </w:rPr>
      </w:pPr>
    </w:p>
    <w:p>
      <w:pPr>
        <w:jc w:val="both"/>
        <w:ind w:left="340"/>
        <w:spacing w:after="0" w:line="261" w:lineRule="auto"/>
        <w:rPr>
          <w:sz w:val="20"/>
          <w:szCs w:val="20"/>
          <w:color w:val="auto"/>
        </w:rPr>
      </w:pPr>
      <w:r>
        <w:rPr>
          <w:rFonts w:ascii="Arial" w:cs="Arial" w:eastAsia="Arial" w:hAnsi="Arial"/>
          <w:sz w:val="14"/>
          <w:szCs w:val="14"/>
          <w:color w:val="auto"/>
        </w:rPr>
        <w:t>realizable in Korea. In the year ended December 31, 2022, the adjustment consists of tax benefit related to the release of a valuation allowance against deferred tax assets considered realizable as a result of Cruise tax reconsolidation. These adjustments were excluded because significant impacts of valuation allowances are not considered part of our core operations.</w:t>
      </w:r>
    </w:p>
    <w:p>
      <w:pPr>
        <w:spacing w:after="0" w:line="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adjustment consists of a deemed dividend related to the redemption of Cruise preferred shares from SoftBank in the year ended December 31, 2022.</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under U.S. GAAP to ETR-adjusted (dollars in millions):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7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17"/>
        </w:trPr>
        <w:tc>
          <w:tcPr>
            <w:tcW w:w="4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60"/>
              <w:spacing w:after="0" w:line="117" w:lineRule="exact"/>
              <w:rPr>
                <w:sz w:val="20"/>
                <w:szCs w:val="20"/>
                <w:color w:val="auto"/>
              </w:rPr>
            </w:pPr>
            <w:r>
              <w:rPr>
                <w:rFonts w:ascii="Arial" w:cs="Arial" w:eastAsia="Arial" w:hAnsi="Arial"/>
                <w:sz w:val="13"/>
                <w:szCs w:val="13"/>
                <w:b w:val="1"/>
                <w:bCs w:val="1"/>
                <w:color w:val="auto"/>
                <w:w w:val="96"/>
              </w:rPr>
              <w:t>Income before</w:t>
            </w:r>
          </w:p>
        </w:tc>
        <w:tc>
          <w:tcPr>
            <w:tcW w:w="100" w:type="dxa"/>
            <w:vAlign w:val="bottom"/>
          </w:tcPr>
          <w:p>
            <w:pPr>
              <w:spacing w:after="0"/>
              <w:rPr>
                <w:sz w:val="10"/>
                <w:szCs w:val="10"/>
                <w:color w:val="auto"/>
              </w:rPr>
            </w:pPr>
          </w:p>
        </w:tc>
        <w:tc>
          <w:tcPr>
            <w:tcW w:w="820" w:type="dxa"/>
            <w:vAlign w:val="bottom"/>
          </w:tcPr>
          <w:p>
            <w:pPr>
              <w:jc w:val="right"/>
              <w:ind w:right="67"/>
              <w:spacing w:after="0" w:line="117" w:lineRule="exact"/>
              <w:rPr>
                <w:sz w:val="20"/>
                <w:szCs w:val="20"/>
                <w:color w:val="auto"/>
              </w:rPr>
            </w:pPr>
            <w:r>
              <w:rPr>
                <w:rFonts w:ascii="Arial" w:cs="Arial" w:eastAsia="Arial" w:hAnsi="Arial"/>
                <w:sz w:val="13"/>
                <w:szCs w:val="13"/>
                <w:b w:val="1"/>
                <w:bCs w:val="1"/>
                <w:color w:val="auto"/>
                <w:w w:val="97"/>
              </w:rPr>
              <w:t>Income tax</w:t>
            </w:r>
          </w:p>
        </w:tc>
        <w:tc>
          <w:tcPr>
            <w:tcW w:w="120" w:type="dxa"/>
            <w:vAlign w:val="bottom"/>
          </w:tcPr>
          <w:p>
            <w:pPr>
              <w:spacing w:after="0"/>
              <w:rPr>
                <w:sz w:val="10"/>
                <w:szCs w:val="10"/>
                <w:color w:val="auto"/>
              </w:rPr>
            </w:pPr>
          </w:p>
        </w:tc>
        <w:tc>
          <w:tcPr>
            <w:tcW w:w="96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6"/>
              </w:rPr>
              <w:t>Effective tax</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17" w:lineRule="exact"/>
              <w:rPr>
                <w:sz w:val="20"/>
                <w:szCs w:val="20"/>
                <w:color w:val="auto"/>
              </w:rPr>
            </w:pPr>
            <w:r>
              <w:rPr>
                <w:rFonts w:ascii="Arial" w:cs="Arial" w:eastAsia="Arial" w:hAnsi="Arial"/>
                <w:sz w:val="13"/>
                <w:szCs w:val="13"/>
                <w:b w:val="1"/>
                <w:bCs w:val="1"/>
                <w:color w:val="auto"/>
                <w:w w:val="96"/>
              </w:rPr>
              <w:t>Income before</w:t>
            </w:r>
          </w:p>
        </w:tc>
        <w:tc>
          <w:tcPr>
            <w:tcW w:w="120" w:type="dxa"/>
            <w:vAlign w:val="bottom"/>
          </w:tcPr>
          <w:p>
            <w:pPr>
              <w:spacing w:after="0"/>
              <w:rPr>
                <w:sz w:val="10"/>
                <w:szCs w:val="10"/>
                <w:color w:val="auto"/>
              </w:rPr>
            </w:pPr>
          </w:p>
        </w:tc>
        <w:tc>
          <w:tcPr>
            <w:tcW w:w="820" w:type="dxa"/>
            <w:vAlign w:val="bottom"/>
          </w:tcPr>
          <w:p>
            <w:pPr>
              <w:jc w:val="right"/>
              <w:ind w:right="67"/>
              <w:spacing w:after="0" w:line="117" w:lineRule="exact"/>
              <w:rPr>
                <w:sz w:val="20"/>
                <w:szCs w:val="20"/>
                <w:color w:val="auto"/>
              </w:rPr>
            </w:pPr>
            <w:r>
              <w:rPr>
                <w:rFonts w:ascii="Arial" w:cs="Arial" w:eastAsia="Arial" w:hAnsi="Arial"/>
                <w:sz w:val="13"/>
                <w:szCs w:val="13"/>
                <w:b w:val="1"/>
                <w:bCs w:val="1"/>
                <w:color w:val="auto"/>
                <w:w w:val="97"/>
              </w:rPr>
              <w:t>Income tax</w:t>
            </w:r>
          </w:p>
        </w:tc>
        <w:tc>
          <w:tcPr>
            <w:tcW w:w="100" w:type="dxa"/>
            <w:vAlign w:val="bottom"/>
          </w:tcPr>
          <w:p>
            <w:pPr>
              <w:spacing w:after="0"/>
              <w:rPr>
                <w:sz w:val="10"/>
                <w:szCs w:val="10"/>
                <w:color w:val="auto"/>
              </w:rPr>
            </w:pPr>
          </w:p>
        </w:tc>
        <w:tc>
          <w:tcPr>
            <w:tcW w:w="960" w:type="dxa"/>
            <w:vAlign w:val="bottom"/>
          </w:tcPr>
          <w:p>
            <w:pPr>
              <w:jc w:val="right"/>
              <w:ind w:right="31"/>
              <w:spacing w:after="0" w:line="117" w:lineRule="exact"/>
              <w:rPr>
                <w:sz w:val="20"/>
                <w:szCs w:val="20"/>
                <w:color w:val="auto"/>
              </w:rPr>
            </w:pPr>
            <w:r>
              <w:rPr>
                <w:rFonts w:ascii="Arial" w:cs="Arial" w:eastAsia="Arial" w:hAnsi="Arial"/>
                <w:sz w:val="13"/>
                <w:szCs w:val="13"/>
                <w:b w:val="1"/>
                <w:bCs w:val="1"/>
                <w:color w:val="auto"/>
              </w:rPr>
              <w:t>Effective tax</w:t>
            </w:r>
          </w:p>
        </w:tc>
      </w:tr>
      <w:tr>
        <w:trPr>
          <w:trHeight w:val="183"/>
        </w:trPr>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Pr>
          <w:p>
            <w:pPr>
              <w:spacing w:after="0"/>
              <w:rPr>
                <w:sz w:val="15"/>
                <w:szCs w:val="15"/>
                <w:color w:val="auto"/>
              </w:rPr>
            </w:pPr>
          </w:p>
        </w:tc>
        <w:tc>
          <w:tcPr>
            <w:tcW w:w="820" w:type="dxa"/>
            <w:vAlign w:val="bottom"/>
          </w:tcPr>
          <w:p>
            <w:pPr>
              <w:jc w:val="right"/>
              <w:ind w:right="147"/>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income taxes</w:t>
            </w:r>
          </w:p>
        </w:tc>
        <w:tc>
          <w:tcPr>
            <w:tcW w:w="120" w:type="dxa"/>
            <w:vAlign w:val="bottom"/>
          </w:tcPr>
          <w:p>
            <w:pPr>
              <w:spacing w:after="0"/>
              <w:rPr>
                <w:sz w:val="15"/>
                <w:szCs w:val="15"/>
                <w:color w:val="auto"/>
              </w:rPr>
            </w:pPr>
          </w:p>
        </w:tc>
        <w:tc>
          <w:tcPr>
            <w:tcW w:w="820" w:type="dxa"/>
            <w:vAlign w:val="bottom"/>
          </w:tcPr>
          <w:p>
            <w:pPr>
              <w:jc w:val="right"/>
              <w:ind w:right="147"/>
              <w:spacing w:after="0"/>
              <w:rPr>
                <w:sz w:val="20"/>
                <w:szCs w:val="20"/>
                <w:color w:val="auto"/>
              </w:rPr>
            </w:pPr>
            <w:r>
              <w:rPr>
                <w:rFonts w:ascii="Arial" w:cs="Arial" w:eastAsia="Arial" w:hAnsi="Arial"/>
                <w:sz w:val="13"/>
                <w:szCs w:val="13"/>
                <w:b w:val="1"/>
                <w:bCs w:val="1"/>
                <w:color w:val="auto"/>
              </w:rPr>
              <w:t>expense</w:t>
            </w:r>
          </w:p>
        </w:tc>
        <w:tc>
          <w:tcPr>
            <w:tcW w:w="100" w:type="dxa"/>
            <w:vAlign w:val="bottom"/>
          </w:tcPr>
          <w:p>
            <w:pPr>
              <w:spacing w:after="0"/>
              <w:rPr>
                <w:sz w:val="15"/>
                <w:szCs w:val="15"/>
                <w:color w:val="auto"/>
              </w:rPr>
            </w:pPr>
          </w:p>
        </w:tc>
        <w:tc>
          <w:tcPr>
            <w:tcW w:w="960" w:type="dxa"/>
            <w:vAlign w:val="bottom"/>
          </w:tcPr>
          <w:p>
            <w:pPr>
              <w:jc w:val="right"/>
              <w:ind w:right="291"/>
              <w:spacing w:after="0"/>
              <w:rPr>
                <w:sz w:val="20"/>
                <w:szCs w:val="20"/>
                <w:color w:val="auto"/>
              </w:rPr>
            </w:pPr>
            <w:r>
              <w:rPr>
                <w:rFonts w:ascii="Arial" w:cs="Arial" w:eastAsia="Arial" w:hAnsi="Arial"/>
                <w:sz w:val="13"/>
                <w:szCs w:val="13"/>
                <w:b w:val="1"/>
                <w:bCs w:val="1"/>
                <w:color w:val="auto"/>
              </w:rPr>
              <w:t>rate</w:t>
            </w:r>
          </w:p>
        </w:tc>
      </w:tr>
      <w:tr>
        <w:trPr>
          <w:trHeight w:val="216"/>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10,403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563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11,597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1,888</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16.3 %</w:t>
            </w:r>
          </w:p>
        </w:tc>
      </w:tr>
      <w:tr>
        <w:trPr>
          <w:trHeight w:val="215"/>
        </w:trPr>
        <w:tc>
          <w:tcPr>
            <w:tcW w:w="4540" w:type="dxa"/>
            <w:vAlign w:val="bottom"/>
          </w:tcPr>
          <w:p>
            <w:pPr>
              <w:spacing w:after="0"/>
              <w:rPr>
                <w:sz w:val="20"/>
                <w:szCs w:val="20"/>
                <w:color w:val="auto"/>
              </w:rPr>
            </w:pPr>
            <w:r>
              <w:rPr>
                <w:rFonts w:ascii="Arial" w:cs="Arial" w:eastAsia="Arial" w:hAnsi="Arial"/>
                <w:sz w:val="16"/>
                <w:szCs w:val="16"/>
                <w:color w:val="auto"/>
              </w:rPr>
              <w:t>Adjustments(a)</w:t>
            </w:r>
          </w:p>
        </w:tc>
        <w:tc>
          <w:tcPr>
            <w:tcW w:w="120" w:type="dxa"/>
            <w:vAlign w:val="bottom"/>
          </w:tcPr>
          <w:p>
            <w:pPr>
              <w:spacing w:after="0"/>
              <w:rPr>
                <w:sz w:val="18"/>
                <w:szCs w:val="18"/>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1,916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7"/>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2,221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7"/>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Tax adjustments(b)</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870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6"/>
                <w:szCs w:val="16"/>
                <w:color w:val="auto"/>
              </w:rPr>
              <w:t>ETR-adjusted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12,319</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1,937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15.7 %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13,818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2,793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20.2 %</w:t>
            </w:r>
          </w:p>
        </w:tc>
      </w:tr>
      <w:tr>
        <w:trPr>
          <w:trHeight w:val="20"/>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29" w:lineRule="exact"/>
        <w:rPr>
          <w:sz w:val="20"/>
          <w:szCs w:val="20"/>
          <w:color w:val="auto"/>
        </w:rPr>
      </w:pPr>
    </w:p>
    <w:p>
      <w:pPr>
        <w:jc w:val="both"/>
        <w:ind w:left="340" w:right="20" w:hanging="332"/>
        <w:spacing w:after="0" w:line="261"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 Net income attributable to noncontrolling interests for these adjustments is included in the years ended December 31, 2023 and 2022. The tax effect of each adjustment is determined based on the tax laws and valuation allowance status of the jurisdiction to which the adjustment relates.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reconciliation of diluted earnings per common share under U.S. GAAP to EPS-diluted-adjusted for adjustment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611"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jc w:val="center"/>
        <w:ind w:right="-19"/>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6"/>
          <w:szCs w:val="16"/>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420" w:type="dxa"/>
            <w:vAlign w:val="bottom"/>
          </w:tcPr>
          <w:p>
            <w:pPr>
              <w:spacing w:after="0"/>
              <w:rPr>
                <w:sz w:val="15"/>
                <w:szCs w:val="15"/>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520" w:type="dxa"/>
            <w:vAlign w:val="bottom"/>
            <w:tcBorders>
              <w:bottom w:val="single" w:sz="8" w:color="auto"/>
            </w:tcBorders>
          </w:tcPr>
          <w:p>
            <w:pPr>
              <w:spacing w:after="0"/>
              <w:rPr>
                <w:sz w:val="15"/>
                <w:szCs w:val="15"/>
                <w:color w:val="auto"/>
              </w:rPr>
            </w:pPr>
          </w:p>
        </w:tc>
      </w:tr>
      <w:tr>
        <w:trPr>
          <w:trHeight w:val="171"/>
        </w:trPr>
        <w:tc>
          <w:tcPr>
            <w:tcW w:w="84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20" w:type="dxa"/>
            <w:vAlign w:val="bottom"/>
            <w:tcBorders>
              <w:bottom w:val="single" w:sz="8" w:color="auto"/>
            </w:tcBorders>
          </w:tcPr>
          <w:p>
            <w:pPr>
              <w:spacing w:after="0"/>
              <w:rPr>
                <w:sz w:val="14"/>
                <w:szCs w:val="14"/>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820" w:type="dxa"/>
            <w:vAlign w:val="bottom"/>
            <w:shd w:val="clear" w:color="auto" w:fill="CCEEFF"/>
          </w:tcPr>
          <w:p>
            <w:pPr>
              <w:jc w:val="right"/>
              <w:ind w:right="628"/>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25"/>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w:t>
            </w: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Average equity(a)</w:t>
            </w:r>
          </w:p>
        </w:tc>
        <w:tc>
          <w:tcPr>
            <w:tcW w:w="820" w:type="dxa"/>
            <w:vAlign w:val="bottom"/>
          </w:tcPr>
          <w:p>
            <w:pPr>
              <w:jc w:val="right"/>
              <w:ind w:right="628"/>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820" w:type="dxa"/>
            <w:vAlign w:val="bottom"/>
          </w:tcPr>
          <w:p>
            <w:pPr>
              <w:jc w:val="right"/>
              <w:ind w:right="625"/>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w w:val="96"/>
              </w:rPr>
              <w:t>66.6</w:t>
            </w:r>
          </w:p>
        </w:tc>
      </w:tr>
      <w:tr>
        <w:trPr>
          <w:trHeight w:val="21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6"/>
                <w:szCs w:val="16"/>
                <w:color w:val="auto"/>
              </w:rPr>
              <w:t>14.1 %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14.9 %</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2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Net income attributable to stockholders.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3"/>
                <w:szCs w:val="13"/>
                <w:b w:val="1"/>
                <w:bCs w:val="1"/>
                <w:color w:val="auto"/>
              </w:rPr>
              <w:t>Years Ended December 31,</w:t>
            </w:r>
          </w:p>
        </w:tc>
      </w:tr>
      <w:tr>
        <w:trPr>
          <w:trHeight w:val="171"/>
        </w:trPr>
        <w:tc>
          <w:tcPr>
            <w:tcW w:w="8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2022</w:t>
            </w: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14.5</w:t>
            </w: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Average equity(b)</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66.6</w:t>
            </w:r>
          </w:p>
        </w:tc>
      </w:tr>
      <w:tr>
        <w:trPr>
          <w:trHeight w:val="21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finance leases)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17.6</w:t>
            </w: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Add: Average automotive net pension &amp; OPEB liability</w:t>
            </w:r>
          </w:p>
        </w:tc>
        <w:tc>
          <w:tcPr>
            <w:tcW w:w="320" w:type="dxa"/>
            <w:vAlign w:val="bottom"/>
          </w:tcPr>
          <w:p>
            <w:pPr>
              <w:spacing w:after="0"/>
              <w:rPr>
                <w:sz w:val="18"/>
                <w:szCs w:val="18"/>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9.4</w:t>
            </w: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net income tax asset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(21.2)</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color w:val="auto"/>
              </w:rPr>
              <w:t>ROIC-adjusted average net assets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72.3</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2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320" w:lineRule="exact"/>
        <w:rPr>
          <w:sz w:val="20"/>
          <w:szCs w:val="20"/>
          <w:color w:val="auto"/>
        </w:rPr>
      </w:pPr>
    </w:p>
    <w:p>
      <w:pPr>
        <w:ind w:right="380" w:firstLine="162"/>
        <w:spacing w:after="0" w:line="304" w:lineRule="auto"/>
        <w:rPr>
          <w:sz w:val="20"/>
          <w:szCs w:val="20"/>
          <w:color w:val="auto"/>
        </w:rPr>
      </w:pPr>
      <w:r>
        <w:rPr>
          <w:rFonts w:ascii="Arial" w:cs="Arial" w:eastAsia="Arial" w:hAnsi="Arial"/>
          <w:sz w:val="16"/>
          <w:szCs w:val="16"/>
          <w:color w:val="auto"/>
        </w:rPr>
        <w:t>The following table reconciles Net automotive cash provided by operating activities under U.S. GAAP to adjusted automotive free cash flow (dollars in millions):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99"/>
              </w:rPr>
              <w:t>Three Months Ended</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rPr>
              <w:t>Years Ended</w:t>
            </w:r>
          </w:p>
        </w:tc>
        <w:tc>
          <w:tcPr>
            <w:tcW w:w="720" w:type="dxa"/>
            <w:vAlign w:val="bottom"/>
            <w:tcBorders>
              <w:bottom w:val="single" w:sz="8" w:color="auto"/>
            </w:tcBorders>
          </w:tcPr>
          <w:p>
            <w:pPr>
              <w:spacing w:after="0"/>
              <w:rPr>
                <w:sz w:val="15"/>
                <w:szCs w:val="15"/>
                <w:color w:val="auto"/>
              </w:rPr>
            </w:pPr>
          </w:p>
        </w:tc>
      </w:tr>
      <w:tr>
        <w:trPr>
          <w:trHeight w:val="171"/>
        </w:trPr>
        <w:tc>
          <w:tcPr>
            <w:tcW w:w="606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b w:val="1"/>
                <w:bCs w:val="1"/>
                <w:color w:val="auto"/>
              </w:rPr>
              <w:t>December 31, 2023</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December 31, 2022</w:t>
            </w:r>
          </w:p>
        </w:tc>
        <w:tc>
          <w:tcPr>
            <w:tcW w:w="12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b w:val="1"/>
                <w:bCs w:val="1"/>
                <w:color w:val="auto"/>
              </w:rPr>
              <w:t>December 31, 2023</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December 31, 2022</w:t>
            </w:r>
          </w:p>
        </w:tc>
      </w:tr>
      <w:tr>
        <w:trPr>
          <w:trHeight w:val="211"/>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automotive cash provided by operating activities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4,688</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20,828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19,094</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Less: Capital expenditures</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(3,613)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(9,007)</w:t>
            </w: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Add: Employee separation costs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Add: Buick dealer strategy</w:t>
            </w:r>
          </w:p>
        </w:tc>
        <w:tc>
          <w:tcPr>
            <w:tcW w:w="3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Add: Patent royalty matters</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Add: GM Brazil indirect tax matters</w:t>
            </w:r>
          </w:p>
        </w:tc>
        <w:tc>
          <w:tcPr>
            <w:tcW w:w="3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Add: Russia exit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Add: GM Korea wage litigation</w:t>
            </w:r>
          </w:p>
        </w:tc>
        <w:tc>
          <w:tcPr>
            <w:tcW w:w="3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automotive free cash flow</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61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48" w:lineRule="exact"/>
        <w:rPr>
          <w:sz w:val="20"/>
          <w:szCs w:val="20"/>
          <w:color w:val="auto"/>
        </w:rPr>
      </w:pPr>
    </w:p>
    <w:p>
      <w:pPr>
        <w:jc w:val="both"/>
        <w:ind w:firstLine="162"/>
        <w:spacing w:after="0" w:line="274" w:lineRule="auto"/>
        <w:rPr>
          <w:sz w:val="20"/>
          <w:szCs w:val="20"/>
          <w:color w:val="auto"/>
        </w:rPr>
      </w:pPr>
      <w:r>
        <w:rPr>
          <w:rFonts w:ascii="Arial" w:cs="Arial" w:eastAsia="Arial" w:hAnsi="Arial"/>
          <w:sz w:val="16"/>
          <w:szCs w:val="16"/>
          <w:color w:val="auto"/>
        </w:rPr>
        <w:t>GM presents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year ended December 31, 2023, 29.4% of GM's wholesale vehicle sales volume was generated outside the U.S. The following table summarizes wholesale vehicle sales by automotive segment (vehicles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3360" w:type="dxa"/>
            <w:vAlign w:val="bottom"/>
            <w:gridSpan w:val="4"/>
          </w:tcPr>
          <w:p>
            <w:pPr>
              <w:ind w:left="1000"/>
              <w:spacing w:after="0"/>
              <w:rPr>
                <w:sz w:val="20"/>
                <w:szCs w:val="20"/>
                <w:color w:val="auto"/>
              </w:rPr>
            </w:pPr>
            <w:r>
              <w:rPr>
                <w:rFonts w:ascii="Arial" w:cs="Arial" w:eastAsia="Arial" w:hAnsi="Arial"/>
                <w:sz w:val="13"/>
                <w:szCs w:val="13"/>
                <w:b w:val="1"/>
                <w:bCs w:val="1"/>
                <w:color w:val="auto"/>
              </w:rPr>
              <w:t>Three Months Ended</w:t>
            </w:r>
          </w:p>
        </w:tc>
        <w:tc>
          <w:tcPr>
            <w:tcW w:w="3260" w:type="dxa"/>
            <w:vAlign w:val="bottom"/>
            <w:gridSpan w:val="3"/>
          </w:tcPr>
          <w:p>
            <w:pPr>
              <w:jc w:val="right"/>
              <w:ind w:right="1184"/>
              <w:spacing w:after="0"/>
              <w:rPr>
                <w:sz w:val="20"/>
                <w:szCs w:val="20"/>
                <w:color w:val="auto"/>
              </w:rPr>
            </w:pPr>
            <w:r>
              <w:rPr>
                <w:rFonts w:ascii="Arial" w:cs="Arial" w:eastAsia="Arial" w:hAnsi="Arial"/>
                <w:sz w:val="13"/>
                <w:szCs w:val="13"/>
                <w:b w:val="1"/>
                <w:bCs w:val="1"/>
                <w:color w:val="auto"/>
              </w:rPr>
              <w:t>Years Ended</w:t>
            </w:r>
          </w:p>
        </w:tc>
      </w:tr>
      <w:tr>
        <w:trPr>
          <w:trHeight w:val="171"/>
        </w:trPr>
        <w:tc>
          <w:tcPr>
            <w:tcW w:w="4580" w:type="dxa"/>
            <w:vAlign w:val="bottom"/>
          </w:tcPr>
          <w:p>
            <w:pPr>
              <w:spacing w:after="0"/>
              <w:rPr>
                <w:sz w:val="14"/>
                <w:szCs w:val="14"/>
                <w:color w:val="auto"/>
              </w:rPr>
            </w:pPr>
          </w:p>
        </w:tc>
        <w:tc>
          <w:tcPr>
            <w:tcW w:w="168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December 31, 2023</w:t>
            </w:r>
          </w:p>
        </w:tc>
        <w:tc>
          <w:tcPr>
            <w:tcW w:w="1560" w:type="dxa"/>
            <w:vAlign w:val="bottom"/>
            <w:tcBorders>
              <w:top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tcPr>
          <w:p>
            <w:pPr>
              <w:spacing w:after="0"/>
              <w:rPr>
                <w:sz w:val="14"/>
                <w:szCs w:val="14"/>
                <w:color w:val="auto"/>
              </w:rPr>
            </w:pPr>
          </w:p>
        </w:tc>
        <w:tc>
          <w:tcPr>
            <w:tcW w:w="168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December 31, 2023</w:t>
            </w:r>
          </w:p>
        </w:tc>
        <w:tc>
          <w:tcPr>
            <w:tcW w:w="1580" w:type="dxa"/>
            <w:vAlign w:val="bottom"/>
            <w:tcBorders>
              <w:top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December 31, 2022</w:t>
            </w:r>
          </w:p>
        </w:tc>
      </w:tr>
      <w:tr>
        <w:trPr>
          <w:trHeight w:val="211"/>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5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782</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3,147</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2,926</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621</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653</w:t>
            </w: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3,768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3,579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includes all sales by joint ventures on a total vehicle basis, not based on GM's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61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industry and GM total vehicle sales and GM's related competitive position by geographic region (vehicles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Years Ended</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228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7"/>
                <w:szCs w:val="17"/>
                <w:color w:val="auto"/>
              </w:rPr>
            </w:pPr>
          </w:p>
        </w:tc>
        <w:tc>
          <w:tcPr>
            <w:tcW w:w="232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7"/>
                <w:szCs w:val="17"/>
                <w:color w:val="auto"/>
              </w:rPr>
            </w:pPr>
          </w:p>
        </w:tc>
        <w:tc>
          <w:tcPr>
            <w:tcW w:w="234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7"/>
                <w:szCs w:val="17"/>
                <w:color w:val="auto"/>
              </w:rPr>
            </w:pPr>
          </w:p>
        </w:tc>
        <w:tc>
          <w:tcPr>
            <w:tcW w:w="234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Market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Market</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Market</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80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5"/>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North America</w:t>
            </w:r>
          </w:p>
        </w:tc>
        <w:tc>
          <w:tcPr>
            <w:tcW w:w="88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9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2"/>
        </w:trPr>
        <w:tc>
          <w:tcPr>
            <w:tcW w:w="1600" w:type="dxa"/>
            <w:vAlign w:val="bottom"/>
            <w:vMerge w:val="continue"/>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3,987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199"/>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12.9 %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13.4 %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3,592</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12.8 %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406</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13.2 %</w:t>
            </w:r>
          </w:p>
        </w:tc>
        <w:tc>
          <w:tcPr>
            <w:tcW w:w="0" w:type="dxa"/>
            <w:vAlign w:val="bottom"/>
          </w:tcPr>
          <w:p>
            <w:pPr>
              <w:spacing w:after="0"/>
              <w:rPr>
                <w:sz w:val="1"/>
                <w:szCs w:val="1"/>
                <w:color w:val="auto"/>
              </w:rPr>
            </w:pPr>
          </w:p>
        </w:tc>
      </w:tr>
      <w:tr>
        <w:trPr>
          <w:trHeight w:val="200"/>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4,931</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4,514</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19,573</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17,307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0" w:type="dxa"/>
            <w:vAlign w:val="bottom"/>
          </w:tcPr>
          <w:p>
            <w:pPr>
              <w:spacing w:after="0"/>
              <w:rPr>
                <w:sz w:val="1"/>
                <w:szCs w:val="1"/>
                <w:color w:val="auto"/>
              </w:rPr>
            </w:pPr>
          </w:p>
        </w:tc>
      </w:tr>
      <w:tr>
        <w:trPr>
          <w:trHeight w:val="133"/>
        </w:trPr>
        <w:tc>
          <w:tcPr>
            <w:tcW w:w="160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Asia/Pacific, Middle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600" w:type="dxa"/>
            <w:vAlign w:val="bottom"/>
          </w:tcPr>
          <w:p>
            <w:pPr>
              <w:ind w:left="180"/>
              <w:spacing w:after="0"/>
              <w:rPr>
                <w:sz w:val="20"/>
                <w:szCs w:val="20"/>
                <w:color w:val="auto"/>
              </w:rPr>
            </w:pPr>
            <w:r>
              <w:rPr>
                <w:rFonts w:ascii="Arial" w:cs="Arial" w:eastAsia="Arial" w:hAnsi="Arial"/>
                <w:sz w:val="14"/>
                <w:szCs w:val="14"/>
                <w:b w:val="1"/>
                <w:bCs w:val="1"/>
                <w:color w:val="auto"/>
              </w:rPr>
              <w:t>East and Africa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7,236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5,654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2.9 %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21,941</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2.6 %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37"/>
        </w:trPr>
        <w:tc>
          <w:tcPr>
            <w:tcW w:w="16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Total Asia/Pacific,</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Middle East and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12,891</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735</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11,572</w:t>
            </w: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46,917</w:t>
            </w: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2,675</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43,741</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2,808</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190"/>
        </w:trPr>
        <w:tc>
          <w:tcPr>
            <w:tcW w:w="1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Africa</w:t>
            </w: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2,307</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1,418</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9.0 %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10.3 %</w:t>
            </w:r>
          </w:p>
        </w:tc>
        <w:tc>
          <w:tcPr>
            <w:tcW w:w="0" w:type="dxa"/>
            <w:vAlign w:val="bottom"/>
          </w:tcPr>
          <w:p>
            <w:pPr>
              <w:spacing w:after="0"/>
              <w:rPr>
                <w:sz w:val="1"/>
                <w:szCs w:val="1"/>
                <w:color w:val="auto"/>
              </w:rPr>
            </w:pPr>
          </w:p>
        </w:tc>
      </w:tr>
      <w:tr>
        <w:trPr>
          <w:trHeight w:val="200"/>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1,016</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3,725</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192"/>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18,838</w:t>
            </w:r>
          </w:p>
        </w:tc>
        <w:tc>
          <w:tcPr>
            <w:tcW w:w="10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1,604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8.5 %</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17,053</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1,553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70,215</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6,186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64,715</w:t>
            </w:r>
          </w:p>
        </w:tc>
        <w:tc>
          <w:tcPr>
            <w:tcW w:w="1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5,939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3,972</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3,836</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16,384</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14,234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0"/>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Total Worldwide(b)(c)</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22,810</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20,888</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7.4 %</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86,600</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7.1 %</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78,949</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5,941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United States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600" w:type="dxa"/>
            <w:vAlign w:val="bottom"/>
          </w:tcPr>
          <w:p>
            <w:pPr>
              <w:ind w:left="20"/>
              <w:spacing w:after="0"/>
              <w:rPr>
                <w:sz w:val="20"/>
                <w:szCs w:val="20"/>
                <w:color w:val="auto"/>
              </w:rPr>
            </w:pPr>
            <w:r>
              <w:rPr>
                <w:rFonts w:ascii="Arial" w:cs="Arial" w:eastAsia="Arial" w:hAnsi="Arial"/>
                <w:sz w:val="14"/>
                <w:szCs w:val="14"/>
                <w:color w:val="auto"/>
              </w:rPr>
              <w:t>Cars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5.6 %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8.5 %</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3,054</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7.3 %</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2,814</w:t>
            </w:r>
          </w:p>
        </w:tc>
        <w:tc>
          <w:tcPr>
            <w:tcW w:w="1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214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207"/>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31.1 %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31.9 %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30.7 %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31.4 %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264</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11.8 %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11.2 %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8,678</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12.3 %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r>
        <w:trPr>
          <w:trHeight w:val="225"/>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3,987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15.7 %</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3,723</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15,981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2,595</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1,229</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1,266</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China</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7,236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6,333</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24,976</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8.4 %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23,489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4"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sales by the Automotive China Joint Ventures: SAIC General Motors Sales Co., Ltd. (SGMS) and SAIC GM Wuling Automobile Co., Ltd. (SGMW).</w:t>
      </w:r>
    </w:p>
    <w:p>
      <w:pPr>
        <w:spacing w:after="0" w:line="14" w:lineRule="exact"/>
        <w:rPr>
          <w:rFonts w:ascii="Arial" w:cs="Arial" w:eastAsia="Arial" w:hAnsi="Arial"/>
          <w:sz w:val="14"/>
          <w:szCs w:val="14"/>
          <w:color w:val="auto"/>
        </w:rPr>
      </w:pPr>
    </w:p>
    <w:p>
      <w:pPr>
        <w:ind w:left="340" w:right="20" w:hanging="332"/>
        <w:spacing w:after="0" w:line="261" w:lineRule="auto"/>
        <w:tabs>
          <w:tab w:leader="none" w:pos="362" w:val="left"/>
        </w:tabs>
        <w:numPr>
          <w:ilvl w:val="0"/>
          <w:numId w:val="17"/>
        </w:numPr>
        <w:rPr>
          <w:rFonts w:ascii="Arial" w:cs="Arial" w:eastAsia="Arial" w:hAnsi="Arial"/>
          <w:sz w:val="14"/>
          <w:szCs w:val="14"/>
          <w:color w:val="auto"/>
        </w:rPr>
      </w:pPr>
      <w:r>
        <w:rPr>
          <w:rFonts w:ascii="Arial" w:cs="Arial" w:eastAsia="Arial" w:hAnsi="Arial"/>
          <w:sz w:val="14"/>
          <w:szCs w:val="14"/>
          <w:color w:val="auto"/>
        </w:rPr>
        <w:t>Cuba, Iran, North Korea, Sudan and Syria are subject to broad economic sanctions. Accordingly, these countries are excluded from industry sales data and corresponding calculation of market share.</w:t>
      </w: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of March 2022, GM is no longer importing vehicles or parts to Russia, Belarus and other sanctioned provinces in Ukraine.</w:t>
      </w:r>
    </w:p>
    <w:p>
      <w:pPr>
        <w:spacing w:after="0" w:line="320" w:lineRule="exact"/>
        <w:rPr>
          <w:sz w:val="20"/>
          <w:szCs w:val="20"/>
          <w:color w:val="auto"/>
        </w:rPr>
      </w:pPr>
    </w:p>
    <w:p>
      <w:pPr>
        <w:jc w:val="both"/>
        <w:ind w:right="20" w:firstLine="162"/>
        <w:spacing w:after="0" w:line="275" w:lineRule="auto"/>
        <w:rPr>
          <w:sz w:val="20"/>
          <w:szCs w:val="20"/>
          <w:color w:val="auto"/>
        </w:rPr>
      </w:pPr>
      <w:r>
        <w:rPr>
          <w:rFonts w:ascii="Arial" w:cs="Arial" w:eastAsia="Arial" w:hAnsi="Arial"/>
          <w:sz w:val="16"/>
          <w:szCs w:val="16"/>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3240" w:type="dxa"/>
            <w:vAlign w:val="bottom"/>
            <w:gridSpan w:val="4"/>
          </w:tcPr>
          <w:p>
            <w:pPr>
              <w:jc w:val="right"/>
              <w:ind w:right="1040"/>
              <w:spacing w:after="0"/>
              <w:rPr>
                <w:sz w:val="20"/>
                <w:szCs w:val="20"/>
                <w:color w:val="auto"/>
              </w:rPr>
            </w:pPr>
            <w:r>
              <w:rPr>
                <w:rFonts w:ascii="Arial" w:cs="Arial" w:eastAsia="Arial" w:hAnsi="Arial"/>
                <w:sz w:val="13"/>
                <w:szCs w:val="13"/>
                <w:b w:val="1"/>
                <w:bCs w:val="1"/>
                <w:color w:val="auto"/>
              </w:rPr>
              <w:t>Three Months Ended</w:t>
            </w:r>
          </w:p>
        </w:tc>
        <w:tc>
          <w:tcPr>
            <w:tcW w:w="3140" w:type="dxa"/>
            <w:vAlign w:val="bottom"/>
            <w:gridSpan w:val="3"/>
          </w:tcPr>
          <w:p>
            <w:pPr>
              <w:jc w:val="right"/>
              <w:ind w:right="1102"/>
              <w:spacing w:after="0"/>
              <w:rPr>
                <w:sz w:val="20"/>
                <w:szCs w:val="20"/>
                <w:color w:val="auto"/>
              </w:rPr>
            </w:pPr>
            <w:r>
              <w:rPr>
                <w:rFonts w:ascii="Arial" w:cs="Arial" w:eastAsia="Arial" w:hAnsi="Arial"/>
                <w:sz w:val="13"/>
                <w:szCs w:val="13"/>
                <w:b w:val="1"/>
                <w:bCs w:val="1"/>
                <w:color w:val="auto"/>
              </w:rPr>
              <w:t>Years Ended</w:t>
            </w:r>
          </w:p>
        </w:tc>
      </w:tr>
      <w:tr>
        <w:trPr>
          <w:trHeight w:val="171"/>
        </w:trPr>
        <w:tc>
          <w:tcPr>
            <w:tcW w:w="4860" w:type="dxa"/>
            <w:vAlign w:val="bottom"/>
          </w:tcPr>
          <w:p>
            <w:pPr>
              <w:spacing w:after="0"/>
              <w:rPr>
                <w:sz w:val="14"/>
                <w:szCs w:val="14"/>
                <w:color w:val="auto"/>
              </w:rPr>
            </w:pPr>
          </w:p>
        </w:tc>
        <w:tc>
          <w:tcPr>
            <w:tcW w:w="16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December 31, 2023</w:t>
            </w:r>
          </w:p>
        </w:tc>
        <w:tc>
          <w:tcPr>
            <w:tcW w:w="1520" w:type="dxa"/>
            <w:vAlign w:val="bottom"/>
            <w:tcBorders>
              <w:top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4"/>
                <w:szCs w:val="14"/>
                <w:color w:val="auto"/>
              </w:rPr>
            </w:pPr>
          </w:p>
        </w:tc>
        <w:tc>
          <w:tcPr>
            <w:tcW w:w="162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December 31, 2023</w:t>
            </w:r>
          </w:p>
        </w:tc>
        <w:tc>
          <w:tcPr>
            <w:tcW w:w="1520" w:type="dxa"/>
            <w:vAlign w:val="bottom"/>
            <w:tcBorders>
              <w:top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December 31, 2022</w:t>
            </w: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GMNA</w:t>
            </w:r>
          </w:p>
        </w:tc>
        <w:tc>
          <w:tcPr>
            <w:tcW w:w="15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141</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679</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564</w:t>
            </w: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GMI</w:t>
            </w:r>
          </w:p>
        </w:tc>
        <w:tc>
          <w:tcPr>
            <w:tcW w:w="15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426</w:t>
            </w: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fleet sales</w:t>
            </w:r>
          </w:p>
        </w:tc>
        <w:tc>
          <w:tcPr>
            <w:tcW w:w="15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990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Fleet sales as a percentage of total vehicle sales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16.7 %</w:t>
            </w:r>
          </w:p>
        </w:tc>
      </w:tr>
      <w:tr>
        <w:trPr>
          <w:trHeight w:val="121"/>
        </w:trPr>
        <w:tc>
          <w:tcPr>
            <w:tcW w:w="4860" w:type="dxa"/>
            <w:vAlign w:val="bottom"/>
          </w:tcPr>
          <w:p>
            <w:pPr>
              <w:spacing w:after="0"/>
              <w:rPr>
                <w:sz w:val="10"/>
                <w:szCs w:val="10"/>
                <w:color w:val="auto"/>
              </w:rPr>
            </w:pPr>
          </w:p>
        </w:tc>
        <w:tc>
          <w:tcPr>
            <w:tcW w:w="1620" w:type="dxa"/>
            <w:vAlign w:val="bottom"/>
            <w:gridSpan w:val="2"/>
          </w:tcPr>
          <w:p>
            <w:pPr>
              <w:spacing w:after="0"/>
              <w:rPr>
                <w:sz w:val="10"/>
                <w:szCs w:val="10"/>
                <w:color w:val="auto"/>
              </w:rPr>
            </w:pPr>
          </w:p>
        </w:tc>
        <w:tc>
          <w:tcPr>
            <w:tcW w:w="1620" w:type="dxa"/>
            <w:vAlign w:val="bottom"/>
            <w:gridSpan w:val="2"/>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 capacity two-shift utilization</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93.1 %</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99.2 %</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98.8 %</w:t>
            </w:r>
          </w:p>
        </w:tc>
      </w:tr>
      <w:tr>
        <w:trPr>
          <w:trHeight w:val="903"/>
        </w:trPr>
        <w:tc>
          <w:tcPr>
            <w:tcW w:w="4860" w:type="dxa"/>
            <w:vAlign w:val="bottom"/>
          </w:tcPr>
          <w:p>
            <w:pPr>
              <w:spacing w:after="0"/>
              <w:rPr>
                <w:sz w:val="24"/>
                <w:szCs w:val="24"/>
                <w:color w:val="auto"/>
              </w:rPr>
            </w:pPr>
          </w:p>
        </w:tc>
        <w:tc>
          <w:tcPr>
            <w:tcW w:w="1520" w:type="dxa"/>
            <w:vAlign w:val="bottom"/>
          </w:tcPr>
          <w:p>
            <w:pPr>
              <w:jc w:val="right"/>
              <w:ind w:right="264"/>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4"/>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2024-01-30T06:58:35Z</dcterms:created>
  <dcterms:modified xsi:type="dcterms:W3CDTF">2024-01-30T06:58:35Z</dcterms:modified>
</cp:coreProperties>
</file>