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9,132</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45,856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4,913</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40,943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4,219</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36,724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6,038</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42,762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3,248</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39,514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2,790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36,724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9,132</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9,132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6,038</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6,038</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6,038</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2012 pursuant to the Company's Salary Stock Plan (the "GMSSP"). The portion of this award currently payable was settled on June 30, 2015 in cash, less a portion withheld for taxes.</w:t>
      </w:r>
    </w:p>
    <w:p>
      <w:pPr>
        <w:spacing w:after="0" w:line="30" w:lineRule="exact"/>
        <w:rPr>
          <w:rFonts w:ascii="Arial" w:cs="Arial" w:eastAsia="Arial" w:hAnsi="Arial"/>
          <w:sz w:val="14"/>
          <w:szCs w:val="14"/>
          <w:color w:val="008000"/>
        </w:rPr>
      </w:pPr>
    </w:p>
    <w:p>
      <w:pPr>
        <w:ind w:left="40" w:right="1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$33.32.</w:t>
      </w:r>
    </w:p>
    <w:p>
      <w:pPr>
        <w:spacing w:after="0" w:line="8" w:lineRule="exact"/>
        <w:rPr>
          <w:rFonts w:ascii="Arial" w:cs="Arial" w:eastAsia="Arial" w:hAnsi="Arial"/>
          <w:sz w:val="12"/>
          <w:szCs w:val="12"/>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2013 pursuant to the GMSSP and vested upon grant. The portion of this award currently payable was settled on June 30,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07/02/2015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1"/>
              </w:rPr>
              <w:t>Attorney-In-Fact for Mr. Reuss</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2019-12-08T21:21:05Z</dcterms:created>
  <dcterms:modified xsi:type="dcterms:W3CDTF">2019-12-08T21:21:05Z</dcterms:modified>
</cp:coreProperties>
</file>