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65.jpeg" ContentType="image/jpeg"/>
  <Override PartName="/word/media/image93.jpeg" ContentType="image/jpeg"/>
  <Override PartName="/word/media/image66.jpeg" ContentType="image/jpeg"/>
  <Override PartName="/word/media/image94.jpeg" ContentType="image/jpeg"/>
  <Override PartName="/word/media/image123.jpeg" ContentType="image/jpeg"/>
  <Override PartName="/word/media/image67.jpeg" ContentType="image/jpeg"/>
  <Override PartName="/word/media/image92.jpeg" ContentType="image/jpeg"/>
  <Override PartName="/word/media/image112.jpeg" ContentType="image/jpeg"/>
  <Override PartName="/word/media/image95.jpeg" ContentType="image/jpeg"/>
  <Override PartName="/word/media/image122.jpeg" ContentType="image/jpeg"/>
  <Override PartName="/word/media/image121.jpeg" ContentType="image/jpeg"/>
  <Override PartName="/word/media/image11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111.jpeg" ContentType="image/jpeg"/>
  <Override PartName="/word/media/image91.jpeg" ContentType="image/jpeg"/>
  <Override PartName="/word/media/image64.jpeg" ContentType="image/jpeg"/>
  <Override PartName="/word/media/image68.jpeg" ContentType="image/jpeg"/>
  <Override PartName="/word/media/image110.jpeg" ContentType="image/jpeg"/>
  <Override PartName="/word/media/image90.jpeg" ContentType="image/jpeg"/>
  <Override PartName="/word/media/image63.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48661ddef14a.htm"/>
        <w:bookmarkStart w:id="1" w:name="ksd648661ddef14a"/>
        <w:bookmarkEnd w:id="0"/>
        <w:bookmarkEnd w:id="1"/>
        <w:r>
          <w:rPr>
            <w:rStyle w:val="InternetLink"/>
          </w:rPr>
          <w:t>Table of Contents</w:t>
        </w:r>
      </w:hyperlink>
    </w:p>
    <w:p>
      <w:pPr>
        <w:pStyle w:val="TextBody"/>
        <w:bidi w:val="0"/>
        <w:spacing w:before="0" w:after="0"/>
        <w:jc w:val="center"/>
        <w:rPr>
          <w:rFonts w:ascii="arial" w:hAnsi="arial"/>
          <w:b/>
          <w:color w:val="3E3935"/>
          <w:spacing w:val="0"/>
          <w:sz w:val="18"/>
          <w:shd w:fill="FFFFFF" w:val="clear"/>
        </w:rPr>
      </w:pPr>
      <w:r>
        <w:rPr>
          <w:rFonts w:ascii="arial" w:hAnsi="arial"/>
          <w:b/>
          <w:color w:val="3E3935"/>
          <w:spacing w:val="0"/>
          <w:sz w:val="18"/>
          <w:shd w:fill="FFFFFF" w:val="clear"/>
        </w:rPr>
        <w:t xml:space="preserve">UNITED STATES </w:t>
      </w:r>
    </w:p>
    <w:p>
      <w:pPr>
        <w:pStyle w:val="TextBody"/>
        <w:bidi w:val="0"/>
        <w:spacing w:before="0" w:after="0"/>
        <w:jc w:val="center"/>
        <w:rPr>
          <w:rFonts w:ascii="arial" w:hAnsi="arial"/>
          <w:b/>
          <w:color w:val="3E3935"/>
          <w:spacing w:val="0"/>
          <w:sz w:val="18"/>
          <w:shd w:fill="FFFFFF" w:val="clear"/>
        </w:rPr>
      </w:pPr>
      <w:r>
        <w:rPr>
          <w:rFonts w:ascii="arial" w:hAnsi="arial"/>
          <w:b/>
          <w:color w:val="3E3935"/>
          <w:spacing w:val="0"/>
          <w:sz w:val="18"/>
          <w:shd w:fill="FFFFFF" w:val="clear"/>
        </w:rPr>
        <w:t xml:space="preserve">SECURITIES AND EXCHANGE COMMISSION </w:t>
      </w:r>
    </w:p>
    <w:p>
      <w:pPr>
        <w:pStyle w:val="TextBody"/>
        <w:bidi w:val="0"/>
        <w:spacing w:before="0" w:after="0"/>
        <w:jc w:val="center"/>
        <w:rPr>
          <w:rFonts w:ascii="arial" w:hAnsi="arial"/>
          <w:color w:val="3E3935"/>
          <w:spacing w:val="0"/>
          <w:sz w:val="18"/>
          <w:shd w:fill="FFFFFF" w:val="clear"/>
        </w:rPr>
      </w:pPr>
      <w:r>
        <w:rPr>
          <w:rFonts w:ascii="arial" w:hAnsi="arial"/>
          <w:color w:val="3E3935"/>
          <w:spacing w:val="0"/>
          <w:sz w:val="18"/>
          <w:shd w:fill="FFFFFF" w:val="clear"/>
        </w:rPr>
        <w:t xml:space="preserve">Washington, D.C. 20549 </w:t>
      </w:r>
    </w:p>
    <w:p>
      <w:pPr>
        <w:pStyle w:val="TextBody"/>
        <w:bidi w:val="0"/>
        <w:spacing w:before="240" w:after="0"/>
        <w:jc w:val="center"/>
        <w:rPr>
          <w:rFonts w:ascii="arial" w:hAnsi="arial"/>
          <w:b/>
          <w:color w:val="3E3935"/>
          <w:spacing w:val="0"/>
          <w:sz w:val="27"/>
          <w:shd w:fill="FFFFFF" w:val="clear"/>
        </w:rPr>
      </w:pPr>
      <w:r>
        <w:rPr>
          <w:rFonts w:ascii="arial" w:hAnsi="arial"/>
          <w:b/>
          <w:color w:val="3E3935"/>
          <w:spacing w:val="0"/>
          <w:sz w:val="27"/>
          <w:shd w:fill="FFFFFF" w:val="clear"/>
        </w:rPr>
        <w:t>SCHEDULE 14A</w:t>
      </w:r>
    </w:p>
    <w:p>
      <w:pPr>
        <w:pStyle w:val="TextBody"/>
        <w:bidi w:val="0"/>
        <w:spacing w:before="240" w:after="0"/>
        <w:jc w:val="center"/>
        <w:rPr>
          <w:rFonts w:ascii="arial" w:hAnsi="arial"/>
          <w:b/>
          <w:color w:val="3E3935"/>
          <w:spacing w:val="0"/>
          <w:sz w:val="18"/>
          <w:shd w:fill="FFFFFF" w:val="clear"/>
        </w:rPr>
      </w:pPr>
      <w:r>
        <w:rPr>
          <w:rFonts w:ascii="arial" w:hAnsi="arial"/>
          <w:b/>
          <w:color w:val="3E3935"/>
          <w:spacing w:val="0"/>
          <w:sz w:val="18"/>
          <w:shd w:fill="FFFFFF" w:val="clear"/>
        </w:rPr>
        <w:t xml:space="preserve">Proxy Statement Pursuant to Section 14(a) of the Securities </w:t>
      </w:r>
    </w:p>
    <w:p>
      <w:pPr>
        <w:pStyle w:val="TextBody"/>
        <w:bidi w:val="0"/>
        <w:spacing w:before="0" w:after="0"/>
        <w:jc w:val="center"/>
        <w:rPr>
          <w:rFonts w:ascii="arial" w:hAnsi="arial"/>
          <w:b/>
          <w:color w:val="3E3935"/>
          <w:spacing w:val="0"/>
          <w:sz w:val="18"/>
          <w:shd w:fill="FFFFFF" w:val="clear"/>
        </w:rPr>
      </w:pPr>
      <w:r>
        <w:rPr>
          <w:rFonts w:ascii="arial" w:hAnsi="arial"/>
          <w:b/>
          <w:color w:val="3E3935"/>
          <w:spacing w:val="0"/>
          <w:sz w:val="18"/>
          <w:shd w:fill="FFFFFF" w:val="clear"/>
        </w:rPr>
        <w:t xml:space="preserve">Exchange Act of 1934 </w:t>
      </w:r>
    </w:p>
    <w:p>
      <w:pPr>
        <w:pStyle w:val="TextBody"/>
        <w:bidi w:val="0"/>
        <w:spacing w:before="240" w:after="0"/>
        <w:jc w:val="center"/>
        <w:rPr>
          <w:color w:val="3E3935"/>
          <w:spacing w:val="0"/>
          <w:shd w:fill="FFFFFF" w:val="clear"/>
        </w:rPr>
      </w:pPr>
      <w:r>
        <w:rPr>
          <w:color w:val="3E3935"/>
          <w:spacing w:val="0"/>
          <w:shd w:fill="FFFFFF" w:val="clear"/>
        </w:rPr>
        <w:t>☑</w:t>
      </w:r>
    </w:p>
    <w:p>
      <w:pPr>
        <w:pStyle w:val="TextBody"/>
        <w:bidi w:val="0"/>
        <w:spacing w:before="240" w:after="0"/>
        <w:jc w:val="center"/>
        <w:rPr>
          <w:rFonts w:ascii="arial" w:hAnsi="arial"/>
          <w:color w:val="3E3935"/>
          <w:spacing w:val="0"/>
          <w:sz w:val="18"/>
          <w:shd w:fill="FFFFFF" w:val="clear"/>
        </w:rPr>
      </w:pPr>
      <w:r>
        <w:rPr>
          <w:rFonts w:ascii="arial" w:hAnsi="arial"/>
          <w:color w:val="3E3935"/>
          <w:spacing w:val="0"/>
          <w:sz w:val="18"/>
          <w:shd w:fill="FFFFFF" w:val="clear"/>
        </w:rPr>
        <w:t>Filed by the Registrant                  </w:t>
      </w:r>
    </w:p>
    <w:p>
      <w:pPr>
        <w:pStyle w:val="TextBody"/>
        <w:bidi w:val="0"/>
        <w:spacing w:before="240" w:after="0"/>
        <w:jc w:val="center"/>
        <w:rPr>
          <w:color w:val="3E3935"/>
          <w:spacing w:val="0"/>
          <w:shd w:fill="FFFFFF" w:val="clear"/>
        </w:rPr>
      </w:pPr>
      <w:r>
        <w:rPr>
          <w:color w:val="3E3935"/>
          <w:spacing w:val="0"/>
          <w:shd w:fill="FFFFFF" w:val="clear"/>
        </w:rPr>
        <w:t>☐</w:t>
      </w:r>
    </w:p>
    <w:p>
      <w:pPr>
        <w:pStyle w:val="TextBody"/>
        <w:bidi w:val="0"/>
        <w:spacing w:before="240" w:after="0"/>
        <w:jc w:val="center"/>
        <w:rPr>
          <w:rFonts w:ascii="arial" w:hAnsi="arial"/>
          <w:color w:val="3E3935"/>
          <w:spacing w:val="0"/>
          <w:sz w:val="18"/>
          <w:shd w:fill="FFFFFF" w:val="clear"/>
        </w:rPr>
      </w:pPr>
      <w:r>
        <w:rPr>
          <w:rFonts w:ascii="arial" w:hAnsi="arial"/>
          <w:color w:val="3E3935"/>
          <w:spacing w:val="0"/>
          <w:sz w:val="18"/>
          <w:shd w:fill="FFFFFF" w:val="clear"/>
        </w:rPr>
        <w:t xml:space="preserve">Filed by a Party other than the Registrant </w:t>
      </w:r>
    </w:p>
    <w:p>
      <w:pPr>
        <w:pStyle w:val="TextBody"/>
        <w:bidi w:val="0"/>
        <w:spacing w:before="0" w:after="0"/>
        <w:jc w:val="left"/>
        <w:rPr>
          <w:shd w:fill="FFFFFF" w:val="clear"/>
        </w:rPr>
      </w:pPr>
      <w:r>
        <w:rPr>
          <w:shd w:fill="FFFFFF" w:val="clear"/>
        </w:rPr>
        <w:t> </w:t>
      </w:r>
    </w:p>
    <w:tbl>
      <w:tblPr>
        <w:tblW w:w="7285" w:type="dxa"/>
        <w:jc w:val="left"/>
        <w:tblInd w:w="0" w:type="dxa"/>
        <w:tblLayout w:type="fixed"/>
        <w:tblCellMar>
          <w:top w:w="0" w:type="dxa"/>
          <w:left w:w="0" w:type="dxa"/>
          <w:bottom w:w="0" w:type="dxa"/>
          <w:right w:w="0" w:type="dxa"/>
        </w:tblCellMar>
      </w:tblPr>
      <w:tblGrid>
        <w:gridCol w:w="245"/>
        <w:gridCol w:w="60"/>
        <w:gridCol w:w="698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0" w:type="dxa"/>
            <w:tcBorders/>
            <w:vAlign w:val="center"/>
          </w:tcPr>
          <w:p>
            <w:pPr>
              <w:pStyle w:val="TableContents"/>
              <w:bidi w:val="0"/>
              <w:spacing w:before="0" w:after="283"/>
              <w:jc w:val="left"/>
              <w:rPr>
                <w:sz w:val="4"/>
                <w:szCs w:val="4"/>
              </w:rPr>
            </w:pPr>
            <w:r>
              <w:rPr>
                <w:sz w:val="4"/>
                <w:szCs w:val="4"/>
              </w:rPr>
            </w:r>
          </w:p>
        </w:tc>
      </w:tr>
      <w:tr>
        <w:trPr/>
        <w:tc>
          <w:tcPr>
            <w:tcW w:w="7285" w:type="dxa"/>
            <w:gridSpan w:val="3"/>
            <w:tcBorders>
              <w:top w:val="single" w:sz="8" w:space="0" w:color="3E3935"/>
              <w:left w:val="single" w:sz="6" w:space="0" w:color="3E3935"/>
              <w:right w:val="single" w:sz="6" w:space="0" w:color="3E3935"/>
            </w:tcBorders>
            <w:shd w:fill="CCF2F8" w:val="clear"/>
            <w:tcMar>
              <w:top w:w="28" w:type="dxa"/>
              <w:left w:w="160" w:type="dxa"/>
              <w:right w:w="28" w:type="dxa"/>
            </w:tcMar>
            <w:vAlign w:val="center"/>
          </w:tcPr>
          <w:p>
            <w:pPr>
              <w:pStyle w:val="TableContents"/>
              <w:bidi w:val="0"/>
              <w:spacing w:before="0" w:after="283"/>
              <w:jc w:val="left"/>
              <w:rPr/>
            </w:pPr>
            <w:r>
              <w:rPr/>
              <w:t> </w:t>
            </w:r>
          </w:p>
        </w:tc>
      </w:tr>
      <w:tr>
        <w:trPr/>
        <w:tc>
          <w:tcPr>
            <w:tcW w:w="7285" w:type="dxa"/>
            <w:gridSpan w:val="3"/>
            <w:tcBorders>
              <w:left w:val="single" w:sz="6" w:space="0" w:color="3E3935"/>
              <w:bottom w:val="single" w:sz="6" w:space="0" w:color="3E3935"/>
              <w:right w:val="single" w:sz="6" w:space="0" w:color="3E3935"/>
            </w:tcBorders>
            <w:shd w:fill="CCF2F8" w:val="clear"/>
            <w:tcMar>
              <w:left w:w="160" w:type="dxa"/>
              <w:bottom w:w="28" w:type="dxa"/>
              <w:right w:w="40" w:type="dxa"/>
            </w:tcMar>
            <w:vAlign w:val="center"/>
          </w:tcPr>
          <w:p>
            <w:pPr>
              <w:pStyle w:val="TableContents"/>
              <w:bidi w:val="0"/>
              <w:spacing w:lineRule="atLeast" w:line="260" w:before="0" w:after="0"/>
              <w:jc w:val="left"/>
              <w:rPr>
                <w:rFonts w:ascii="arial" w:hAnsi="arial"/>
                <w:b/>
                <w:color w:val="3E3935"/>
                <w:spacing w:val="0"/>
                <w:sz w:val="26"/>
              </w:rPr>
            </w:pPr>
            <w:r>
              <w:rPr>
                <w:rFonts w:ascii="arial" w:hAnsi="arial"/>
                <w:b/>
                <w:color w:val="3E3935"/>
                <w:spacing w:val="0"/>
                <w:sz w:val="26"/>
              </w:rPr>
              <w:t>Check the appropriate box:</w:t>
            </w:r>
          </w:p>
        </w:tc>
      </w:tr>
      <w:tr>
        <w:trPr/>
        <w:tc>
          <w:tcPr>
            <w:tcW w:w="245" w:type="dxa"/>
            <w:tcBorders>
              <w:left w:val="single" w:sz="6" w:space="0" w:color="3E3935"/>
              <w:bottom w:val="single" w:sz="6" w:space="0" w:color="3E3935"/>
              <w:right w:val="single" w:sz="6" w:space="0" w:color="3E3935"/>
            </w:tcBorders>
            <w:tcMar>
              <w:left w:w="160" w:type="dxa"/>
              <w:bottom w:w="28" w:type="dxa"/>
              <w:right w:w="28" w:type="dxa"/>
            </w:tcMar>
            <w:vAlign w:val="center"/>
          </w:tcPr>
          <w:p>
            <w:pPr>
              <w:pStyle w:val="TableContents"/>
              <w:bidi w:val="0"/>
              <w:spacing w:lineRule="atLeast" w:line="280" w:before="0" w:after="0"/>
              <w:jc w:val="left"/>
              <w:rPr>
                <w:color w:val="3E3935"/>
                <w:spacing w:val="0"/>
              </w:rPr>
            </w:pPr>
            <w:r>
              <w:rPr>
                <w:color w:val="3E3935"/>
                <w:spacing w:val="0"/>
              </w:rPr>
              <w:t>☐</w:t>
            </w:r>
          </w:p>
          <w:p>
            <w:pPr>
              <w:pStyle w:val="TableContents"/>
              <w:bidi w:val="0"/>
              <w:spacing w:lineRule="atLeast" w:line="280" w:before="0" w:after="0"/>
              <w:jc w:val="left"/>
              <w:rPr>
                <w:color w:val="3E3935"/>
                <w:spacing w:val="0"/>
              </w:rPr>
            </w:pPr>
            <w:r>
              <w:rPr>
                <w:color w:val="3E3935"/>
                <w:spacing w:val="0"/>
              </w:rPr>
              <w:t> </w:t>
            </w:r>
          </w:p>
        </w:tc>
        <w:tc>
          <w:tcPr>
            <w:tcW w:w="60" w:type="dxa"/>
            <w:tcBorders>
              <w:bottom w:val="single" w:sz="6" w:space="0" w:color="3E3935"/>
            </w:tcBorders>
            <w:tcMar>
              <w:bottom w:w="28" w:type="dxa"/>
            </w:tcMar>
            <w:vAlign w:val="center"/>
          </w:tcPr>
          <w:p>
            <w:pPr>
              <w:pStyle w:val="TableContents"/>
              <w:bidi w:val="0"/>
              <w:spacing w:before="0" w:after="283"/>
              <w:jc w:val="left"/>
              <w:rPr/>
            </w:pPr>
            <w:r>
              <w:rPr/>
              <w:t> </w:t>
            </w:r>
          </w:p>
        </w:tc>
        <w:tc>
          <w:tcPr>
            <w:tcW w:w="6980" w:type="dxa"/>
            <w:tcBorders>
              <w:bottom w:val="single" w:sz="6" w:space="0" w:color="3E3935"/>
              <w:right w:val="single" w:sz="6" w:space="0" w:color="3E3935"/>
            </w:tcBorders>
            <w:tcMar>
              <w:bottom w:w="28" w:type="dxa"/>
              <w:right w:w="40" w:type="dxa"/>
            </w:tcMar>
            <w:vAlign w:val="center"/>
          </w:tcPr>
          <w:p>
            <w:pPr>
              <w:pStyle w:val="TableContents"/>
              <w:bidi w:val="0"/>
              <w:spacing w:lineRule="atLeast" w:line="280" w:before="0" w:after="0"/>
              <w:jc w:val="both"/>
              <w:rPr>
                <w:rFonts w:ascii="arial" w:hAnsi="arial"/>
                <w:color w:val="3E3935"/>
                <w:spacing w:val="0"/>
                <w:sz w:val="18"/>
              </w:rPr>
            </w:pPr>
            <w:r>
              <w:rPr>
                <w:rFonts w:ascii="arial" w:hAnsi="arial"/>
                <w:color w:val="3E3935"/>
                <w:spacing w:val="0"/>
                <w:sz w:val="18"/>
              </w:rPr>
              <w:t>Preliminary Proxy Statement</w:t>
            </w:r>
          </w:p>
        </w:tc>
      </w:tr>
      <w:tr>
        <w:trPr/>
        <w:tc>
          <w:tcPr>
            <w:tcW w:w="245" w:type="dxa"/>
            <w:tcBorders>
              <w:left w:val="single" w:sz="6" w:space="0" w:color="3E3935"/>
              <w:bottom w:val="single" w:sz="6" w:space="0" w:color="3E3935"/>
            </w:tcBorders>
            <w:tcMar>
              <w:left w:w="160" w:type="dxa"/>
              <w:bottom w:w="28" w:type="dxa"/>
            </w:tcMar>
            <w:vAlign w:val="center"/>
          </w:tcPr>
          <w:p>
            <w:pPr>
              <w:pStyle w:val="TableContents"/>
              <w:bidi w:val="0"/>
              <w:spacing w:lineRule="atLeast" w:line="280" w:before="0" w:after="0"/>
              <w:jc w:val="left"/>
              <w:rPr>
                <w:color w:val="3E3935"/>
                <w:spacing w:val="0"/>
              </w:rPr>
            </w:pPr>
            <w:r>
              <w:rPr>
                <w:color w:val="3E3935"/>
                <w:spacing w:val="0"/>
              </w:rPr>
              <w:t>☐</w:t>
            </w:r>
          </w:p>
          <w:p>
            <w:pPr>
              <w:pStyle w:val="TableContents"/>
              <w:bidi w:val="0"/>
              <w:spacing w:lineRule="atLeast" w:line="280" w:before="0" w:after="0"/>
              <w:jc w:val="left"/>
              <w:rPr>
                <w:color w:val="3E3935"/>
                <w:spacing w:val="0"/>
              </w:rPr>
            </w:pPr>
            <w:r>
              <w:rPr>
                <w:color w:val="3E3935"/>
                <w:spacing w:val="0"/>
              </w:rPr>
              <w:t> </w:t>
            </w:r>
          </w:p>
        </w:tc>
        <w:tc>
          <w:tcPr>
            <w:tcW w:w="60" w:type="dxa"/>
            <w:tcBorders>
              <w:left w:val="single" w:sz="6" w:space="0" w:color="3E3935"/>
              <w:bottom w:val="single" w:sz="6" w:space="0" w:color="3E3935"/>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3E3935"/>
              <w:right w:val="single" w:sz="6" w:space="0" w:color="3E3935"/>
            </w:tcBorders>
            <w:tcMar>
              <w:bottom w:w="28" w:type="dxa"/>
              <w:right w:w="40" w:type="dxa"/>
            </w:tcMar>
            <w:vAlign w:val="center"/>
          </w:tcPr>
          <w:p>
            <w:pPr>
              <w:pStyle w:val="TableContents"/>
              <w:bidi w:val="0"/>
              <w:spacing w:lineRule="atLeast" w:line="280" w:before="0" w:after="0"/>
              <w:jc w:val="both"/>
              <w:rPr>
                <w:rFonts w:ascii="arial" w:hAnsi="arial"/>
                <w:color w:val="3E3935"/>
                <w:spacing w:val="0"/>
                <w:sz w:val="18"/>
              </w:rPr>
            </w:pPr>
            <w:r>
              <w:rPr>
                <w:rFonts w:ascii="arial" w:hAnsi="arial"/>
                <w:color w:val="3E3935"/>
                <w:spacing w:val="0"/>
                <w:sz w:val="18"/>
              </w:rPr>
              <w:t xml:space="preserve">CONFIDENTIAL, FOR USE OF THE COMMISSION ONLY (AS PERMITTED BY RULE </w:t>
            </w:r>
          </w:p>
          <w:p>
            <w:pPr>
              <w:pStyle w:val="TableContents"/>
              <w:bidi w:val="0"/>
              <w:spacing w:lineRule="atLeast" w:line="280" w:before="0" w:after="0"/>
              <w:jc w:val="both"/>
              <w:rPr>
                <w:rFonts w:ascii="arial" w:hAnsi="arial"/>
                <w:color w:val="3E3935"/>
                <w:spacing w:val="0"/>
                <w:sz w:val="18"/>
              </w:rPr>
            </w:pPr>
            <w:r>
              <w:rPr>
                <w:rFonts w:ascii="arial" w:hAnsi="arial"/>
                <w:color w:val="3E3935"/>
                <w:spacing w:val="0"/>
                <w:sz w:val="18"/>
              </w:rPr>
              <w:t>14a-6(e)(2))</w:t>
            </w:r>
          </w:p>
        </w:tc>
      </w:tr>
      <w:tr>
        <w:trPr/>
        <w:tc>
          <w:tcPr>
            <w:tcW w:w="245" w:type="dxa"/>
            <w:tcBorders>
              <w:left w:val="single" w:sz="6" w:space="0" w:color="3E3935"/>
              <w:bottom w:val="single" w:sz="6" w:space="0" w:color="3E3935"/>
            </w:tcBorders>
            <w:tcMar>
              <w:left w:w="160" w:type="dxa"/>
              <w:bottom w:w="28" w:type="dxa"/>
            </w:tcMar>
            <w:vAlign w:val="center"/>
          </w:tcPr>
          <w:p>
            <w:pPr>
              <w:pStyle w:val="TableContents"/>
              <w:bidi w:val="0"/>
              <w:spacing w:lineRule="atLeast" w:line="280" w:before="0" w:after="0"/>
              <w:jc w:val="left"/>
              <w:rPr>
                <w:color w:val="3E3935"/>
                <w:spacing w:val="0"/>
              </w:rPr>
            </w:pPr>
            <w:r>
              <w:rPr>
                <w:color w:val="3E3935"/>
                <w:spacing w:val="0"/>
              </w:rPr>
              <w:t>☑</w:t>
            </w:r>
          </w:p>
          <w:p>
            <w:pPr>
              <w:pStyle w:val="TableContents"/>
              <w:bidi w:val="0"/>
              <w:spacing w:lineRule="atLeast" w:line="280" w:before="0" w:after="0"/>
              <w:jc w:val="left"/>
              <w:rPr>
                <w:color w:val="3E3935"/>
                <w:spacing w:val="0"/>
              </w:rPr>
            </w:pPr>
            <w:r>
              <w:rPr>
                <w:color w:val="3E3935"/>
                <w:spacing w:val="0"/>
              </w:rPr>
              <w:t> </w:t>
            </w:r>
          </w:p>
        </w:tc>
        <w:tc>
          <w:tcPr>
            <w:tcW w:w="60" w:type="dxa"/>
            <w:tcBorders>
              <w:left w:val="single" w:sz="6" w:space="0" w:color="3E3935"/>
              <w:bottom w:val="single" w:sz="6" w:space="0" w:color="3E3935"/>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3E3935"/>
              <w:right w:val="single" w:sz="6" w:space="0" w:color="3E3935"/>
            </w:tcBorders>
            <w:tcMar>
              <w:bottom w:w="28" w:type="dxa"/>
              <w:right w:w="40" w:type="dxa"/>
            </w:tcMar>
            <w:vAlign w:val="center"/>
          </w:tcPr>
          <w:p>
            <w:pPr>
              <w:pStyle w:val="TableContents"/>
              <w:bidi w:val="0"/>
              <w:spacing w:lineRule="atLeast" w:line="280" w:before="0" w:after="0"/>
              <w:jc w:val="both"/>
              <w:rPr>
                <w:rFonts w:ascii="arial" w:hAnsi="arial"/>
                <w:color w:val="3E3935"/>
                <w:spacing w:val="0"/>
                <w:sz w:val="18"/>
              </w:rPr>
            </w:pPr>
            <w:r>
              <w:rPr>
                <w:rFonts w:ascii="arial" w:hAnsi="arial"/>
                <w:color w:val="3E3935"/>
                <w:spacing w:val="0"/>
                <w:sz w:val="18"/>
              </w:rPr>
              <w:t>Definitive Proxy Statement</w:t>
            </w:r>
          </w:p>
        </w:tc>
      </w:tr>
      <w:tr>
        <w:trPr/>
        <w:tc>
          <w:tcPr>
            <w:tcW w:w="245" w:type="dxa"/>
            <w:tcBorders>
              <w:left w:val="single" w:sz="6" w:space="0" w:color="3E3935"/>
              <w:bottom w:val="single" w:sz="6" w:space="0" w:color="3E3935"/>
            </w:tcBorders>
            <w:tcMar>
              <w:left w:w="160" w:type="dxa"/>
              <w:bottom w:w="28" w:type="dxa"/>
            </w:tcMar>
            <w:vAlign w:val="center"/>
          </w:tcPr>
          <w:p>
            <w:pPr>
              <w:pStyle w:val="TableContents"/>
              <w:bidi w:val="0"/>
              <w:spacing w:lineRule="atLeast" w:line="280" w:before="0" w:after="0"/>
              <w:jc w:val="left"/>
              <w:rPr>
                <w:color w:val="3E3935"/>
                <w:spacing w:val="0"/>
              </w:rPr>
            </w:pPr>
            <w:r>
              <w:rPr>
                <w:color w:val="3E3935"/>
                <w:spacing w:val="0"/>
              </w:rPr>
              <w:t>☐</w:t>
            </w:r>
          </w:p>
          <w:p>
            <w:pPr>
              <w:pStyle w:val="TableContents"/>
              <w:bidi w:val="0"/>
              <w:spacing w:lineRule="atLeast" w:line="280" w:before="0" w:after="0"/>
              <w:jc w:val="left"/>
              <w:rPr>
                <w:color w:val="3E3935"/>
                <w:spacing w:val="0"/>
              </w:rPr>
            </w:pPr>
            <w:r>
              <w:rPr>
                <w:color w:val="3E3935"/>
                <w:spacing w:val="0"/>
              </w:rPr>
              <w:t> </w:t>
            </w:r>
          </w:p>
        </w:tc>
        <w:tc>
          <w:tcPr>
            <w:tcW w:w="60" w:type="dxa"/>
            <w:tcBorders>
              <w:left w:val="single" w:sz="6" w:space="0" w:color="3E3935"/>
              <w:bottom w:val="single" w:sz="6" w:space="0" w:color="3E3935"/>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3E3935"/>
              <w:right w:val="single" w:sz="6" w:space="0" w:color="3E3935"/>
            </w:tcBorders>
            <w:tcMar>
              <w:bottom w:w="28" w:type="dxa"/>
              <w:right w:w="40" w:type="dxa"/>
            </w:tcMar>
            <w:vAlign w:val="center"/>
          </w:tcPr>
          <w:p>
            <w:pPr>
              <w:pStyle w:val="TableContents"/>
              <w:bidi w:val="0"/>
              <w:spacing w:lineRule="atLeast" w:line="280" w:before="0" w:after="0"/>
              <w:jc w:val="both"/>
              <w:rPr>
                <w:rFonts w:ascii="arial" w:hAnsi="arial"/>
                <w:color w:val="3E3935"/>
                <w:spacing w:val="0"/>
                <w:sz w:val="18"/>
              </w:rPr>
            </w:pPr>
            <w:r>
              <w:rPr>
                <w:rFonts w:ascii="arial" w:hAnsi="arial"/>
                <w:color w:val="3E3935"/>
                <w:spacing w:val="0"/>
                <w:sz w:val="18"/>
              </w:rPr>
              <w:t>Definitive Additional Materials</w:t>
            </w:r>
          </w:p>
        </w:tc>
      </w:tr>
      <w:tr>
        <w:trPr/>
        <w:tc>
          <w:tcPr>
            <w:tcW w:w="245" w:type="dxa"/>
            <w:tcBorders>
              <w:left w:val="single" w:sz="6" w:space="0" w:color="3E3935"/>
              <w:bottom w:val="single" w:sz="6" w:space="0" w:color="3E3935"/>
            </w:tcBorders>
            <w:tcMar>
              <w:left w:w="160" w:type="dxa"/>
              <w:bottom w:w="28" w:type="dxa"/>
            </w:tcMar>
            <w:vAlign w:val="center"/>
          </w:tcPr>
          <w:p>
            <w:pPr>
              <w:pStyle w:val="TableContents"/>
              <w:bidi w:val="0"/>
              <w:spacing w:lineRule="atLeast" w:line="280" w:before="0" w:after="0"/>
              <w:jc w:val="left"/>
              <w:rPr>
                <w:color w:val="3E3935"/>
                <w:spacing w:val="0"/>
              </w:rPr>
            </w:pPr>
            <w:r>
              <w:rPr>
                <w:color w:val="3E3935"/>
                <w:spacing w:val="0"/>
              </w:rPr>
              <w:t>☐</w:t>
            </w:r>
          </w:p>
          <w:p>
            <w:pPr>
              <w:pStyle w:val="TableContents"/>
              <w:bidi w:val="0"/>
              <w:spacing w:lineRule="atLeast" w:line="280" w:before="0" w:after="0"/>
              <w:jc w:val="left"/>
              <w:rPr>
                <w:color w:val="3E3935"/>
                <w:spacing w:val="0"/>
              </w:rPr>
            </w:pPr>
            <w:r>
              <w:rPr>
                <w:color w:val="3E3935"/>
                <w:spacing w:val="0"/>
              </w:rPr>
              <w:t> </w:t>
            </w:r>
          </w:p>
        </w:tc>
        <w:tc>
          <w:tcPr>
            <w:tcW w:w="60" w:type="dxa"/>
            <w:tcBorders>
              <w:left w:val="single" w:sz="6" w:space="0" w:color="3E3935"/>
              <w:bottom w:val="single" w:sz="6" w:space="0" w:color="3E3935"/>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3E3935"/>
              <w:right w:val="single" w:sz="6" w:space="0" w:color="3E3935"/>
            </w:tcBorders>
            <w:tcMar>
              <w:bottom w:w="28" w:type="dxa"/>
              <w:right w:w="40" w:type="dxa"/>
            </w:tcMar>
            <w:vAlign w:val="center"/>
          </w:tcPr>
          <w:p>
            <w:pPr>
              <w:pStyle w:val="TableContents"/>
              <w:bidi w:val="0"/>
              <w:spacing w:lineRule="atLeast" w:line="280" w:before="0" w:after="0"/>
              <w:jc w:val="both"/>
              <w:rPr>
                <w:rFonts w:ascii="arial" w:hAnsi="arial"/>
                <w:color w:val="3E3935"/>
                <w:spacing w:val="0"/>
                <w:sz w:val="18"/>
              </w:rPr>
            </w:pPr>
            <w:r>
              <w:rPr>
                <w:rFonts w:ascii="arial" w:hAnsi="arial"/>
                <w:color w:val="3E3935"/>
                <w:spacing w:val="0"/>
                <w:sz w:val="18"/>
              </w:rPr>
              <w:t xml:space="preserve">Soliciting Material under </w:t>
            </w:r>
          </w:p>
          <w:p>
            <w:pPr>
              <w:pStyle w:val="TableContents"/>
              <w:bidi w:val="0"/>
              <w:spacing w:lineRule="atLeast" w:line="280" w:before="0" w:after="0"/>
              <w:jc w:val="both"/>
              <w:rPr>
                <w:rFonts w:ascii="arial" w:hAnsi="arial"/>
                <w:color w:val="3E3935"/>
                <w:spacing w:val="0"/>
                <w:sz w:val="18"/>
              </w:rPr>
            </w:pPr>
            <w:r>
              <w:rPr>
                <w:rFonts w:ascii="arial" w:hAnsi="arial"/>
                <w:color w:val="3E3935"/>
                <w:spacing w:val="0"/>
                <w:sz w:val="18"/>
              </w:rPr>
              <w:t>ss.240.14a-12</w:t>
            </w:r>
          </w:p>
        </w:tc>
      </w:tr>
    </w:tbl>
    <w:p>
      <w:pPr>
        <w:pStyle w:val="TextBody"/>
        <w:bidi w:val="0"/>
        <w:spacing w:before="240" w:after="0"/>
        <w:jc w:val="center"/>
        <w:rPr>
          <w:rFonts w:ascii="arial" w:hAnsi="arial"/>
          <w:b/>
          <w:color w:val="0071CE"/>
          <w:spacing w:val="0"/>
          <w:sz w:val="36"/>
          <w:shd w:fill="FFFFFF" w:val="clear"/>
        </w:rPr>
      </w:pPr>
      <w:r>
        <w:rPr>
          <w:rFonts w:ascii="arial" w:hAnsi="arial"/>
          <w:b/>
          <w:color w:val="0071CE"/>
          <w:spacing w:val="0"/>
          <w:sz w:val="36"/>
          <w:shd w:fill="FFFFFF" w:val="clear"/>
        </w:rPr>
        <w:t xml:space="preserve">GENERAL MOTORS COMPANY </w:t>
      </w:r>
    </w:p>
    <w:p>
      <w:pPr>
        <w:pStyle w:val="TextBody"/>
        <w:bidi w:val="0"/>
        <w:spacing w:before="0" w:after="0"/>
        <w:jc w:val="center"/>
        <w:rPr>
          <w:rFonts w:ascii="arial" w:hAnsi="arial"/>
          <w:color w:val="3E3935"/>
          <w:spacing w:val="0"/>
          <w:sz w:val="24"/>
          <w:shd w:fill="FFFFFF" w:val="clear"/>
        </w:rPr>
      </w:pPr>
      <w:r>
        <w:rPr>
          <w:rFonts w:ascii="arial" w:hAnsi="arial"/>
          <w:color w:val="3E3935"/>
          <w:spacing w:val="0"/>
          <w:sz w:val="24"/>
          <w:shd w:fill="FFFFFF" w:val="clear"/>
        </w:rPr>
        <w:t xml:space="preserve">300 Renaissance Center, Detroit, Michigan 48265 </w:t>
      </w:r>
    </w:p>
    <w:p>
      <w:pPr>
        <w:pStyle w:val="TextBody"/>
        <w:bidi w:val="0"/>
        <w:spacing w:before="240" w:after="0"/>
        <w:jc w:val="center"/>
        <w:rPr>
          <w:rFonts w:ascii="arial" w:hAnsi="arial"/>
          <w:i/>
          <w:caps w:val="false"/>
          <w:smallCaps w:val="false"/>
          <w:color w:val="3E3935"/>
          <w:spacing w:val="0"/>
          <w:sz w:val="18"/>
          <w:shd w:fill="FFFFFF" w:val="clear"/>
        </w:rPr>
      </w:pPr>
      <w:r>
        <w:rPr>
          <w:rFonts w:ascii="arial" w:hAnsi="arial"/>
          <w:i/>
          <w:caps w:val="false"/>
          <w:smallCaps w:val="false"/>
          <w:color w:val="3E3935"/>
          <w:spacing w:val="0"/>
          <w:sz w:val="18"/>
          <w:shd w:fill="FFFFFF" w:val="clear"/>
        </w:rPr>
        <w:t xml:space="preserve">(Name of Registrant as Specified In Its Charter) </w:t>
      </w:r>
    </w:p>
    <w:p>
      <w:pPr>
        <w:pStyle w:val="TextBody"/>
        <w:bidi w:val="0"/>
        <w:spacing w:before="0" w:after="0"/>
        <w:jc w:val="center"/>
        <w:rPr>
          <w:rFonts w:ascii="arial" w:hAnsi="arial"/>
          <w:i/>
          <w:caps w:val="false"/>
          <w:smallCaps w:val="false"/>
          <w:color w:val="3E3935"/>
          <w:spacing w:val="0"/>
          <w:sz w:val="18"/>
          <w:shd w:fill="FFFFFF" w:val="clear"/>
        </w:rPr>
      </w:pPr>
      <w:r>
        <w:rPr>
          <w:rFonts w:ascii="arial" w:hAnsi="arial"/>
          <w:i/>
          <w:caps w:val="false"/>
          <w:smallCaps w:val="false"/>
          <w:color w:val="3E3935"/>
          <w:spacing w:val="0"/>
          <w:sz w:val="18"/>
          <w:shd w:fill="FFFFFF" w:val="clear"/>
        </w:rPr>
        <w:t xml:space="preserve">(Name of Person(s) Filing Proxy Statement, if other than the Registrant) </w:t>
      </w:r>
    </w:p>
    <w:p>
      <w:pPr>
        <w:pStyle w:val="TextBody"/>
        <w:bidi w:val="0"/>
        <w:spacing w:before="0" w:after="0"/>
        <w:jc w:val="left"/>
        <w:rPr>
          <w:shd w:fill="FFFFFF" w:val="clear"/>
        </w:rPr>
      </w:pPr>
      <w:r>
        <w:rPr>
          <w:shd w:fill="FFFFFF" w:val="clear"/>
        </w:rPr>
        <w:t> </w:t>
      </w:r>
    </w:p>
    <w:tbl>
      <w:tblPr>
        <w:tblW w:w="7225" w:type="dxa"/>
        <w:jc w:val="left"/>
        <w:tblInd w:w="0" w:type="dxa"/>
        <w:tblLayout w:type="fixed"/>
        <w:tblCellMar>
          <w:top w:w="0" w:type="dxa"/>
          <w:left w:w="0" w:type="dxa"/>
          <w:bottom w:w="0" w:type="dxa"/>
          <w:right w:w="0" w:type="dxa"/>
        </w:tblCellMar>
      </w:tblPr>
      <w:tblGrid>
        <w:gridCol w:w="245"/>
        <w:gridCol w:w="120"/>
        <w:gridCol w:w="6860"/>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60"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op w:val="single" w:sz="6" w:space="0" w:color="3E3935"/>
              <w:left w:val="single" w:sz="6" w:space="0" w:color="3E3935"/>
              <w:right w:val="single" w:sz="6" w:space="0" w:color="3E3935"/>
            </w:tcBorders>
            <w:shd w:fill="CCF2F8" w:val="clear"/>
            <w:tcMar>
              <w:top w:w="28" w:type="dxa"/>
              <w:left w:w="160" w:type="dxa"/>
              <w:right w:w="28" w:type="dxa"/>
            </w:tcMar>
            <w:vAlign w:val="center"/>
          </w:tcPr>
          <w:p>
            <w:pPr>
              <w:pStyle w:val="TableContents"/>
              <w:bidi w:val="0"/>
              <w:spacing w:before="0" w:after="283"/>
              <w:jc w:val="left"/>
              <w:rPr/>
            </w:pPr>
            <w:r>
              <w:rPr/>
              <w:t> </w:t>
            </w:r>
          </w:p>
        </w:tc>
      </w:tr>
      <w:tr>
        <w:trPr/>
        <w:tc>
          <w:tcPr>
            <w:tcW w:w="7225" w:type="dxa"/>
            <w:gridSpan w:val="3"/>
            <w:tcBorders>
              <w:left w:val="single" w:sz="6" w:space="0" w:color="3E3935"/>
              <w:bottom w:val="single" w:sz="6" w:space="0" w:color="3E3935"/>
              <w:right w:val="single" w:sz="6" w:space="0" w:color="3E3935"/>
            </w:tcBorders>
            <w:shd w:fill="CCF2F8" w:val="clear"/>
            <w:tcMar>
              <w:left w:w="160" w:type="dxa"/>
              <w:bottom w:w="28" w:type="dxa"/>
              <w:right w:w="40" w:type="dxa"/>
            </w:tcMar>
            <w:vAlign w:val="center"/>
          </w:tcPr>
          <w:p>
            <w:pPr>
              <w:pStyle w:val="TableContents"/>
              <w:bidi w:val="0"/>
              <w:spacing w:lineRule="atLeast" w:line="280" w:before="0" w:after="0"/>
              <w:jc w:val="left"/>
              <w:rPr>
                <w:rFonts w:ascii="arial" w:hAnsi="arial"/>
                <w:b/>
                <w:color w:val="3E3935"/>
                <w:spacing w:val="0"/>
                <w:sz w:val="26"/>
              </w:rPr>
            </w:pPr>
            <w:r>
              <w:rPr>
                <w:rFonts w:ascii="arial" w:hAnsi="arial"/>
                <w:b/>
                <w:color w:val="3E3935"/>
                <w:spacing w:val="0"/>
                <w:sz w:val="26"/>
              </w:rPr>
              <w:t>Payment of Filing Fee (Check all boxes that apply):</w:t>
            </w:r>
          </w:p>
        </w:tc>
      </w:tr>
      <w:tr>
        <w:trPr/>
        <w:tc>
          <w:tcPr>
            <w:tcW w:w="245" w:type="dxa"/>
            <w:tcBorders>
              <w:left w:val="single" w:sz="6" w:space="0" w:color="3E3935"/>
              <w:bottom w:val="single" w:sz="6" w:space="0" w:color="3E3935"/>
            </w:tcBorders>
            <w:shd w:fill="CCF2F8" w:val="clear"/>
            <w:tcMar>
              <w:left w:w="160" w:type="dxa"/>
              <w:bottom w:w="28" w:type="dxa"/>
            </w:tcMar>
            <w:vAlign w:val="center"/>
          </w:tcPr>
          <w:p>
            <w:pPr>
              <w:pStyle w:val="TableContents"/>
              <w:bidi w:val="0"/>
              <w:spacing w:lineRule="atLeast" w:line="280" w:before="0" w:after="0"/>
              <w:jc w:val="left"/>
              <w:rPr>
                <w:color w:val="3E3935"/>
                <w:spacing w:val="0"/>
              </w:rPr>
            </w:pPr>
            <w:r>
              <w:rPr>
                <w:color w:val="3E3935"/>
                <w:spacing w:val="0"/>
              </w:rPr>
              <w:t> </w:t>
            </w:r>
          </w:p>
          <w:p>
            <w:pPr>
              <w:pStyle w:val="TableContents"/>
              <w:bidi w:val="0"/>
              <w:spacing w:lineRule="atLeast" w:line="280" w:before="0" w:after="0"/>
              <w:jc w:val="left"/>
              <w:rPr>
                <w:color w:val="3E3935"/>
                <w:spacing w:val="0"/>
              </w:rPr>
            </w:pPr>
            <w:r>
              <w:rPr>
                <w:color w:val="3E3935"/>
                <w:spacing w:val="0"/>
              </w:rPr>
              <w:t>☑</w:t>
            </w:r>
          </w:p>
        </w:tc>
        <w:tc>
          <w:tcPr>
            <w:tcW w:w="120" w:type="dxa"/>
            <w:tcBorders>
              <w:left w:val="single" w:sz="6" w:space="0" w:color="3E3935"/>
              <w:bottom w:val="single" w:sz="6" w:space="0" w:color="3E3935"/>
            </w:tcBorders>
            <w:shd w:fill="CCF2F8" w:val="clear"/>
            <w:tcMar>
              <w:left w:w="28" w:type="dxa"/>
              <w:bottom w:w="28" w:type="dxa"/>
            </w:tcMar>
            <w:vAlign w:val="center"/>
          </w:tcPr>
          <w:p>
            <w:pPr>
              <w:pStyle w:val="TableContents"/>
              <w:bidi w:val="0"/>
              <w:spacing w:before="0" w:after="283"/>
              <w:jc w:val="left"/>
              <w:rPr/>
            </w:pPr>
            <w:r>
              <w:rPr/>
              <w:t>  </w:t>
            </w:r>
          </w:p>
        </w:tc>
        <w:tc>
          <w:tcPr>
            <w:tcW w:w="6860" w:type="dxa"/>
            <w:tcBorders>
              <w:bottom w:val="single" w:sz="6" w:space="0" w:color="3E3935"/>
              <w:right w:val="single" w:sz="6" w:space="0" w:color="3E3935"/>
            </w:tcBorders>
            <w:shd w:fill="CCF2F8" w:val="clear"/>
            <w:tcMar>
              <w:bottom w:w="28" w:type="dxa"/>
              <w:right w:w="40" w:type="dxa"/>
            </w:tcMar>
            <w:vAlign w:val="center"/>
          </w:tcPr>
          <w:p>
            <w:pPr>
              <w:pStyle w:val="TableContents"/>
              <w:bidi w:val="0"/>
              <w:spacing w:lineRule="atLeast" w:line="280" w:before="0" w:after="0"/>
              <w:jc w:val="left"/>
              <w:rPr>
                <w:rFonts w:ascii="arial" w:hAnsi="arial"/>
                <w:b/>
                <w:color w:val="3E3935"/>
                <w:spacing w:val="0"/>
                <w:sz w:val="18"/>
              </w:rPr>
            </w:pPr>
            <w:r>
              <w:rPr>
                <w:rFonts w:ascii="arial" w:hAnsi="arial"/>
                <w:b/>
                <w:color w:val="3E3935"/>
                <w:spacing w:val="0"/>
                <w:sz w:val="18"/>
              </w:rPr>
              <w:t>No fee required</w:t>
            </w:r>
          </w:p>
        </w:tc>
      </w:tr>
      <w:tr>
        <w:trPr/>
        <w:tc>
          <w:tcPr>
            <w:tcW w:w="245" w:type="dxa"/>
            <w:tcBorders>
              <w:left w:val="single" w:sz="6" w:space="0" w:color="3E3935"/>
              <w:bottom w:val="single" w:sz="6" w:space="0" w:color="3E3935"/>
            </w:tcBorders>
            <w:shd w:fill="CCF2F8" w:val="clear"/>
            <w:tcMar>
              <w:left w:w="160" w:type="dxa"/>
              <w:bottom w:w="28" w:type="dxa"/>
            </w:tcMar>
            <w:vAlign w:val="center"/>
          </w:tcPr>
          <w:p>
            <w:pPr>
              <w:pStyle w:val="TableContents"/>
              <w:bidi w:val="0"/>
              <w:spacing w:lineRule="atLeast" w:line="280" w:before="0" w:after="0"/>
              <w:jc w:val="left"/>
              <w:rPr>
                <w:color w:val="3E3935"/>
                <w:spacing w:val="0"/>
              </w:rPr>
            </w:pPr>
            <w:r>
              <w:rPr>
                <w:color w:val="3E3935"/>
                <w:spacing w:val="0"/>
              </w:rPr>
              <w:t> </w:t>
            </w:r>
          </w:p>
          <w:p>
            <w:pPr>
              <w:pStyle w:val="TableContents"/>
              <w:bidi w:val="0"/>
              <w:spacing w:lineRule="atLeast" w:line="280" w:before="0" w:after="0"/>
              <w:jc w:val="left"/>
              <w:rPr>
                <w:color w:val="3E3935"/>
                <w:spacing w:val="0"/>
              </w:rPr>
            </w:pPr>
            <w:r>
              <w:rPr>
                <w:color w:val="3E3935"/>
                <w:spacing w:val="0"/>
              </w:rPr>
              <w:t>☐</w:t>
            </w:r>
          </w:p>
          <w:p>
            <w:pPr>
              <w:pStyle w:val="TableContents"/>
              <w:bidi w:val="0"/>
              <w:spacing w:lineRule="atLeast" w:line="280" w:before="0" w:after="0"/>
              <w:jc w:val="left"/>
              <w:rPr>
                <w:color w:val="3E3935"/>
                <w:spacing w:val="0"/>
              </w:rPr>
            </w:pPr>
            <w:r>
              <w:rPr>
                <w:color w:val="3E3935"/>
                <w:spacing w:val="0"/>
              </w:rPr>
              <w:t> </w:t>
            </w:r>
          </w:p>
        </w:tc>
        <w:tc>
          <w:tcPr>
            <w:tcW w:w="120" w:type="dxa"/>
            <w:tcBorders>
              <w:left w:val="single" w:sz="6" w:space="0" w:color="3E3935"/>
              <w:bottom w:val="single" w:sz="6" w:space="0" w:color="3E3935"/>
            </w:tcBorders>
            <w:shd w:fill="CCF2F8" w:val="clear"/>
            <w:tcMar>
              <w:left w:w="28" w:type="dxa"/>
              <w:bottom w:w="28" w:type="dxa"/>
            </w:tcMar>
            <w:vAlign w:val="center"/>
          </w:tcPr>
          <w:p>
            <w:pPr>
              <w:pStyle w:val="TableContents"/>
              <w:bidi w:val="0"/>
              <w:spacing w:before="0" w:after="283"/>
              <w:jc w:val="left"/>
              <w:rPr/>
            </w:pPr>
            <w:r>
              <w:rPr/>
              <w:t>  </w:t>
            </w:r>
          </w:p>
        </w:tc>
        <w:tc>
          <w:tcPr>
            <w:tcW w:w="6860" w:type="dxa"/>
            <w:tcBorders>
              <w:bottom w:val="single" w:sz="6" w:space="0" w:color="3E3935"/>
              <w:right w:val="single" w:sz="6" w:space="0" w:color="3E3935"/>
            </w:tcBorders>
            <w:shd w:fill="CCF2F8" w:val="clear"/>
            <w:tcMar>
              <w:bottom w:w="28" w:type="dxa"/>
              <w:right w:w="40" w:type="dxa"/>
            </w:tcMar>
            <w:vAlign w:val="center"/>
          </w:tcPr>
          <w:p>
            <w:pPr>
              <w:pStyle w:val="TableContents"/>
              <w:bidi w:val="0"/>
              <w:spacing w:lineRule="atLeast" w:line="280" w:before="0" w:after="0"/>
              <w:jc w:val="left"/>
              <w:rPr>
                <w:rFonts w:ascii="arial" w:hAnsi="arial"/>
                <w:b/>
                <w:color w:val="3E3935"/>
                <w:spacing w:val="0"/>
                <w:sz w:val="18"/>
              </w:rPr>
            </w:pPr>
            <w:r>
              <w:rPr>
                <w:rFonts w:ascii="arial" w:hAnsi="arial"/>
                <w:b/>
                <w:color w:val="3E3935"/>
                <w:spacing w:val="0"/>
                <w:sz w:val="18"/>
              </w:rPr>
              <w:t>Fee paid previously with preliminary materials</w:t>
            </w:r>
          </w:p>
        </w:tc>
      </w:tr>
      <w:tr>
        <w:trPr/>
        <w:tc>
          <w:tcPr>
            <w:tcW w:w="245" w:type="dxa"/>
            <w:tcBorders>
              <w:left w:val="single" w:sz="6" w:space="0" w:color="3E3935"/>
              <w:bottom w:val="single" w:sz="6" w:space="0" w:color="3E3935"/>
            </w:tcBorders>
            <w:shd w:fill="CCF2F8" w:val="clear"/>
            <w:tcMar>
              <w:left w:w="160" w:type="dxa"/>
              <w:bottom w:w="28" w:type="dxa"/>
            </w:tcMar>
            <w:vAlign w:val="center"/>
          </w:tcPr>
          <w:p>
            <w:pPr>
              <w:pStyle w:val="TableContents"/>
              <w:bidi w:val="0"/>
              <w:spacing w:lineRule="atLeast" w:line="280" w:before="0" w:after="0"/>
              <w:jc w:val="left"/>
              <w:rPr>
                <w:color w:val="3E3935"/>
                <w:spacing w:val="0"/>
              </w:rPr>
            </w:pPr>
            <w:r>
              <w:rPr>
                <w:color w:val="3E3935"/>
                <w:spacing w:val="0"/>
              </w:rPr>
              <w:t> </w:t>
            </w:r>
          </w:p>
          <w:p>
            <w:pPr>
              <w:pStyle w:val="TableContents"/>
              <w:bidi w:val="0"/>
              <w:spacing w:lineRule="atLeast" w:line="280" w:before="0" w:after="0"/>
              <w:jc w:val="left"/>
              <w:rPr>
                <w:color w:val="3E3935"/>
                <w:spacing w:val="0"/>
              </w:rPr>
            </w:pPr>
            <w:r>
              <w:rPr>
                <w:color w:val="3E3935"/>
                <w:spacing w:val="0"/>
              </w:rPr>
              <w:t>☐</w:t>
            </w:r>
          </w:p>
          <w:p>
            <w:pPr>
              <w:pStyle w:val="TableContents"/>
              <w:bidi w:val="0"/>
              <w:spacing w:lineRule="atLeast" w:line="280" w:before="0" w:after="0"/>
              <w:jc w:val="left"/>
              <w:rPr>
                <w:color w:val="3E3935"/>
                <w:spacing w:val="0"/>
              </w:rPr>
            </w:pPr>
            <w:r>
              <w:rPr>
                <w:color w:val="3E3935"/>
                <w:spacing w:val="0"/>
              </w:rPr>
              <w:t> </w:t>
            </w:r>
          </w:p>
        </w:tc>
        <w:tc>
          <w:tcPr>
            <w:tcW w:w="120" w:type="dxa"/>
            <w:tcBorders>
              <w:left w:val="single" w:sz="6" w:space="0" w:color="3E3935"/>
              <w:bottom w:val="single" w:sz="6" w:space="0" w:color="3E3935"/>
            </w:tcBorders>
            <w:shd w:fill="CCF2F8" w:val="clear"/>
            <w:tcMar>
              <w:left w:w="28" w:type="dxa"/>
              <w:bottom w:w="28" w:type="dxa"/>
            </w:tcMar>
            <w:vAlign w:val="center"/>
          </w:tcPr>
          <w:p>
            <w:pPr>
              <w:pStyle w:val="TableContents"/>
              <w:bidi w:val="0"/>
              <w:spacing w:before="0" w:after="283"/>
              <w:jc w:val="left"/>
              <w:rPr/>
            </w:pPr>
            <w:r>
              <w:rPr/>
              <w:t>  </w:t>
            </w:r>
          </w:p>
        </w:tc>
        <w:tc>
          <w:tcPr>
            <w:tcW w:w="6860" w:type="dxa"/>
            <w:tcBorders>
              <w:bottom w:val="single" w:sz="6" w:space="0" w:color="3E3935"/>
              <w:right w:val="single" w:sz="6" w:space="0" w:color="3E3935"/>
            </w:tcBorders>
            <w:shd w:fill="CCF2F8" w:val="clear"/>
            <w:tcMar>
              <w:bottom w:w="28" w:type="dxa"/>
              <w:right w:w="40" w:type="dxa"/>
            </w:tcMar>
            <w:vAlign w:val="center"/>
          </w:tcPr>
          <w:p>
            <w:pPr>
              <w:pStyle w:val="TableContents"/>
              <w:bidi w:val="0"/>
              <w:spacing w:lineRule="atLeast" w:line="280" w:before="0" w:after="0"/>
              <w:jc w:val="left"/>
              <w:rPr>
                <w:rFonts w:ascii="arial" w:hAnsi="arial"/>
                <w:b/>
                <w:color w:val="3E3935"/>
                <w:spacing w:val="0"/>
                <w:sz w:val="18"/>
              </w:rPr>
            </w:pPr>
            <w:r>
              <w:rPr>
                <w:rFonts w:ascii="arial" w:hAnsi="arial"/>
                <w:b/>
                <w:color w:val="3E3935"/>
                <w:spacing w:val="0"/>
                <w:sz w:val="18"/>
              </w:rPr>
              <w:t xml:space="preserve">Fee computed on table in exhibit required by Item 25(b) per Exchange Act Rules </w:t>
            </w:r>
          </w:p>
          <w:p>
            <w:pPr>
              <w:pStyle w:val="TableContents"/>
              <w:bidi w:val="0"/>
              <w:spacing w:lineRule="atLeast" w:line="280" w:before="0" w:after="0"/>
              <w:jc w:val="left"/>
              <w:rPr>
                <w:rFonts w:ascii="arial" w:hAnsi="arial"/>
                <w:b/>
                <w:color w:val="3E3935"/>
                <w:spacing w:val="0"/>
                <w:sz w:val="18"/>
              </w:rPr>
            </w:pPr>
            <w:r>
              <w:rPr>
                <w:rFonts w:ascii="arial" w:hAnsi="arial"/>
                <w:b/>
                <w:color w:val="3E3935"/>
                <w:spacing w:val="0"/>
                <w:sz w:val="18"/>
              </w:rPr>
              <w:t>14a-6(i)(1)</w:t>
            </w:r>
          </w:p>
          <w:p>
            <w:pPr>
              <w:pStyle w:val="TableContents"/>
              <w:bidi w:val="0"/>
              <w:spacing w:lineRule="atLeast" w:line="280" w:before="0" w:after="0"/>
              <w:jc w:val="left"/>
              <w:rPr>
                <w:rFonts w:ascii="arial" w:hAnsi="arial"/>
                <w:b/>
                <w:color w:val="3E3935"/>
                <w:spacing w:val="0"/>
                <w:sz w:val="18"/>
              </w:rPr>
            </w:pPr>
            <w:r>
              <w:rPr>
                <w:rFonts w:ascii="arial" w:hAnsi="arial"/>
                <w:b/>
                <w:color w:val="3E3935"/>
                <w:spacing w:val="0"/>
                <w:sz w:val="18"/>
              </w:rPr>
              <w:t xml:space="preserve">and </w:t>
            </w:r>
          </w:p>
          <w:p>
            <w:pPr>
              <w:pStyle w:val="TableContents"/>
              <w:bidi w:val="0"/>
              <w:spacing w:lineRule="atLeast" w:line="280" w:before="0" w:after="0"/>
              <w:jc w:val="left"/>
              <w:rPr>
                <w:rFonts w:ascii="arial" w:hAnsi="arial"/>
                <w:b/>
                <w:color w:val="3E3935"/>
                <w:spacing w:val="0"/>
                <w:sz w:val="18"/>
              </w:rPr>
            </w:pPr>
            <w:r>
              <w:rPr>
                <w:rFonts w:ascii="arial" w:hAnsi="arial"/>
                <w:b/>
                <w:color w:val="3E3935"/>
                <w:spacing w:val="0"/>
                <w:sz w:val="18"/>
              </w:rPr>
              <w:t>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19925"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2024 Proxy Statement and Notice of Annual Meeting gm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r>
        <w:rPr>
          <w:rFonts w:ascii="arial" w:hAnsi="arial"/>
          <w:color w:val="3E3935"/>
          <w:sz w:val="64"/>
        </w:rPr>
        <w:t xml:space="preserve">Notice of 2024 Annual Meeting of Shareholders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3175000" cy="7515225"/>
                <wp:effectExtent l="0" t="0" r="0" b="0"/>
                <wp:wrapSquare wrapText="right"/>
                <wp:docPr id="2" name="Frame2"/>
                <a:graphic xmlns:a="http://schemas.openxmlformats.org/drawingml/2006/main">
                  <a:graphicData uri="http://schemas.microsoft.com/office/word/2010/wordprocessingShape">
                    <wps:wsp>
                      <wps:cNvSpPr txBox="1"/>
                      <wps:spPr>
                        <a:xfrm>
                          <a:off x="0" y="0"/>
                          <a:ext cx="3175000" cy="75152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24"/>
                              <w:gridCol w:w="60"/>
                              <w:gridCol w:w="9402"/>
                              <w:gridCol w:w="60"/>
                              <w:gridCol w:w="260"/>
                              <w:gridCol w:w="60"/>
                              <w:gridCol w:w="39"/>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0"/>
                                    <w:jc w:val="both"/>
                                    <w:rPr>
                                      <w:color w:val="3E3935"/>
                                    </w:rPr>
                                  </w:pPr>
                                  <w:r>
                                    <w:rPr>
                                      <w:color w:val="3E3935"/>
                                    </w:rPr>
                                    <w:t>  </w:t>
                                  </w:r>
                                </w:p>
                              </w:tc>
                              <w:tc>
                                <w:tcPr>
                                  <w:tcW w:w="60" w:type="dxa"/>
                                  <w:tcBorders/>
                                  <w:shd w:fill="E2E1E0" w:val="clear"/>
                                  <w:vAlign w:val="center"/>
                                </w:tcPr>
                                <w:p>
                                  <w:pPr>
                                    <w:pStyle w:val="TableContents"/>
                                    <w:bidi w:val="0"/>
                                    <w:spacing w:before="0" w:after="283"/>
                                    <w:jc w:val="left"/>
                                    <w:rPr/>
                                  </w:pPr>
                                  <w:r>
                                    <w:rPr/>
                                    <w:t> </w:t>
                                  </w:r>
                                </w:p>
                              </w:tc>
                              <w:tc>
                                <w:tcPr>
                                  <w:tcW w:w="9402"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9462" w:type="dxa"/>
                                  <w:gridSpan w:val="2"/>
                                  <w:tcBorders/>
                                  <w:shd w:fill="CCF2F8" w:val="clear"/>
                                  <w:vAlign w:val="center"/>
                                </w:tcPr>
                                <w:p>
                                  <w:pPr>
                                    <w:pStyle w:val="TableContents"/>
                                    <w:bidi w:val="0"/>
                                    <w:spacing w:before="0" w:after="283"/>
                                    <w:jc w:val="left"/>
                                    <w:rPr>
                                      <w:sz w:val="4"/>
                                      <w:szCs w:val="4"/>
                                    </w:rPr>
                                  </w:pPr>
                                  <w:r>
                                    <w:rPr>
                                      <w:sz w:val="4"/>
                                      <w:szCs w:val="4"/>
                                    </w:rPr>
                                  </w:r>
                                </w:p>
                              </w:tc>
                              <w:tc>
                                <w:tcPr>
                                  <w:tcW w:w="320" w:type="dxa"/>
                                  <w:gridSpan w:val="2"/>
                                  <w:tcBorders/>
                                  <w:shd w:fill="E2E1E0" w:val="clear"/>
                                  <w:vAlign w:val="center"/>
                                </w:tcPr>
                                <w:p>
                                  <w:pPr>
                                    <w:pStyle w:val="TableContents"/>
                                    <w:bidi w:val="0"/>
                                    <w:spacing w:before="0" w:after="283"/>
                                    <w:jc w:val="left"/>
                                    <w:rPr>
                                      <w:sz w:val="4"/>
                                      <w:szCs w:val="4"/>
                                    </w:rPr>
                                  </w:pPr>
                                  <w:r>
                                    <w:rPr>
                                      <w:sz w:val="4"/>
                                      <w:szCs w:val="4"/>
                                    </w:rPr>
                                  </w:r>
                                </w:p>
                              </w:tc>
                              <w:tc>
                                <w:tcPr>
                                  <w:tcW w:w="99" w:type="dxa"/>
                                  <w:gridSpan w:val="2"/>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9402"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64770" cy="35560"/>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3"/>
                                                <a:stretch>
                                                  <a:fillRect/>
                                                </a:stretch>
                                              </pic:blipFill>
                                              <pic:spPr bwMode="auto">
                                                <a:xfrm>
                                                  <a:off x="0" y="0"/>
                                                  <a:ext cx="64770" cy="355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0071CE"/>
                                      <w:sz w:val="20"/>
                                    </w:rPr>
                                  </w:pPr>
                                  <w:r>
                                    <w:rPr>
                                      <w:rFonts w:ascii="arial" w:hAnsi="arial"/>
                                      <w:b/>
                                      <w:color w:val="0071CE"/>
                                      <w:sz w:val="20"/>
                                    </w:rPr>
                                    <w:t>Meeting Information</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0"/>
                                    <w:jc w:val="both"/>
                                    <w:rPr>
                                      <w:color w:val="3E3935"/>
                                    </w:rPr>
                                  </w:pPr>
                                  <w:r>
                                    <w:rPr>
                                      <w:color w:val="3E3935"/>
                                    </w:rPr>
                                    <w:t> </w:t>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9402" w:type="dxa"/>
                                  <w:tcBorders/>
                                  <w:shd w:fill="E2E1E0"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22"/>
                                    </w:rPr>
                                  </w:pPr>
                                  <w:r>
                                    <w:rPr>
                                      <w:rFonts w:ascii="arial" w:hAnsi="arial"/>
                                      <w:b/>
                                      <w:color w:val="3E3935"/>
                                      <w:sz w:val="22"/>
                                    </w:rPr>
                                    <w:t>Date:   </w:t>
                                  </w:r>
                                  <w:r>
                                    <w:rPr>
                                      <w:rFonts w:ascii="arial" w:hAnsi="arial"/>
                                      <w:color w:val="3E3935"/>
                                      <w:sz w:val="22"/>
                                    </w:rPr>
                                    <w:t>June 4, 2024</w:t>
                                  </w:r>
                                </w:p>
                                <w:p>
                                  <w:pPr>
                                    <w:pStyle w:val="TableContents"/>
                                    <w:bidi w:val="0"/>
                                    <w:spacing w:before="0" w:after="0"/>
                                    <w:jc w:val="left"/>
                                    <w:rPr/>
                                  </w:pPr>
                                  <w:r>
                                    <w:rPr/>
                                    <w:t> </w:t>
                                  </w:r>
                                </w:p>
                                <w:p>
                                  <w:pPr>
                                    <w:pStyle w:val="TableContents"/>
                                    <w:bidi w:val="0"/>
                                    <w:spacing w:before="0" w:after="0"/>
                                    <w:jc w:val="left"/>
                                    <w:rPr>
                                      <w:rFonts w:ascii="arial" w:hAnsi="arial"/>
                                      <w:color w:val="3E3935"/>
                                      <w:sz w:val="22"/>
                                    </w:rPr>
                                  </w:pPr>
                                  <w:r>
                                    <w:rPr>
                                      <w:rFonts w:ascii="arial" w:hAnsi="arial"/>
                                      <w:b/>
                                      <w:color w:val="3E3935"/>
                                      <w:sz w:val="22"/>
                                    </w:rPr>
                                    <w:t>Time:  </w:t>
                                  </w:r>
                                  <w:r>
                                    <w:rPr>
                                      <w:rFonts w:ascii="arial" w:hAnsi="arial"/>
                                      <w:color w:val="3E3935"/>
                                      <w:sz w:val="22"/>
                                    </w:rPr>
                                    <w:t>11:00 a.m. Eastern Time</w:t>
                                  </w:r>
                                </w:p>
                                <w:p>
                                  <w:pPr>
                                    <w:pStyle w:val="TableContents"/>
                                    <w:bidi w:val="0"/>
                                    <w:spacing w:before="0" w:after="0"/>
                                    <w:jc w:val="left"/>
                                    <w:rPr/>
                                  </w:pPr>
                                  <w:r>
                                    <w:rPr/>
                                    <w:t> </w:t>
                                  </w:r>
                                </w:p>
                                <w:p>
                                  <w:pPr>
                                    <w:pStyle w:val="TableContents"/>
                                    <w:bidi w:val="0"/>
                                    <w:spacing w:before="0" w:after="0"/>
                                    <w:jc w:val="left"/>
                                    <w:rPr>
                                      <w:rFonts w:ascii="arial" w:hAnsi="arial"/>
                                      <w:color w:val="3E3935"/>
                                      <w:sz w:val="22"/>
                                    </w:rPr>
                                  </w:pPr>
                                  <w:r>
                                    <w:rPr>
                                      <w:rFonts w:ascii="arial" w:hAnsi="arial"/>
                                      <w:b/>
                                      <w:color w:val="3E3935"/>
                                      <w:sz w:val="22"/>
                                    </w:rPr>
                                    <w:t>Place:  </w:t>
                                  </w:r>
                                  <w:r>
                                    <w:rPr>
                                      <w:rFonts w:ascii="arial" w:hAnsi="arial"/>
                                      <w:color w:val="3E3935"/>
                                      <w:sz w:val="22"/>
                                    </w:rPr>
                                    <w:t>Online via live webcast at:</w:t>
                                  </w:r>
                                </w:p>
                                <w:p>
                                  <w:pPr>
                                    <w:pStyle w:val="TableContents"/>
                                    <w:bidi w:val="0"/>
                                    <w:spacing w:before="0" w:after="0"/>
                                    <w:jc w:val="left"/>
                                    <w:rPr/>
                                  </w:pPr>
                                  <w:r>
                                    <w:rPr/>
                                    <w:t> </w:t>
                                  </w:r>
                                </w:p>
                                <w:p>
                                  <w:pPr>
                                    <w:pStyle w:val="TableContents"/>
                                    <w:bidi w:val="0"/>
                                    <w:spacing w:before="0" w:after="0"/>
                                    <w:jc w:val="center"/>
                                    <w:rPr>
                                      <w:rFonts w:ascii="arial" w:hAnsi="arial"/>
                                      <w:i/>
                                      <w:color w:val="0071CE"/>
                                      <w:sz w:val="22"/>
                                    </w:rPr>
                                  </w:pPr>
                                  <w:r>
                                    <w:rPr>
                                      <w:rFonts w:ascii="arial" w:hAnsi="arial"/>
                                      <w:i/>
                                      <w:color w:val="0071CE"/>
                                      <w:sz w:val="22"/>
                                    </w:rPr>
                                    <w:t>virtualshareholdermeeting.com/GM2024</w:t>
                                  </w:r>
                                </w:p>
                                <w:p>
                                  <w:pPr>
                                    <w:pStyle w:val="TableContents"/>
                                    <w:bidi w:val="0"/>
                                    <w:spacing w:before="0" w:after="0"/>
                                    <w:jc w:val="left"/>
                                    <w:rPr/>
                                  </w:pPr>
                                  <w:r>
                                    <w:rPr/>
                                    <w:t> </w:t>
                                  </w:r>
                                </w:p>
                                <w:p>
                                  <w:pPr>
                                    <w:pStyle w:val="TableContents"/>
                                    <w:bidi w:val="0"/>
                                    <w:spacing w:before="0" w:after="0"/>
                                    <w:jc w:val="left"/>
                                    <w:rPr>
                                      <w:rFonts w:ascii="arial" w:hAnsi="arial"/>
                                      <w:color w:val="3E3935"/>
                                      <w:sz w:val="22"/>
                                    </w:rPr>
                                  </w:pPr>
                                  <w:r>
                                    <w:rPr>
                                      <w:rFonts w:ascii="arial" w:hAnsi="arial"/>
                                      <w:b/>
                                      <w:color w:val="3E3935"/>
                                      <w:sz w:val="22"/>
                                    </w:rPr>
                                    <w:t>Record Date: </w:t>
                                  </w:r>
                                  <w:r>
                                    <w:rPr>
                                      <w:rFonts w:ascii="arial" w:hAnsi="arial"/>
                                      <w:color w:val="3E3935"/>
                                      <w:sz w:val="22"/>
                                    </w:rPr>
                                    <w:t> April 15, 2024</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9402"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8100" cy="38100"/>
                                        <wp:effectExtent l="0" t="0" r="0" b="0"/>
                                        <wp:docPr id="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descr=""/>
                                                <pic:cNvPicPr>
                                                  <a:picLocks noChangeAspect="1" noChangeArrowheads="1"/>
                                                </pic:cNvPicPr>
                                              </pic:nvPicPr>
                                              <pic:blipFill>
                                                <a:blip r:embed="rId4"/>
                                                <a:stretch>
                                                  <a:fillRect/>
                                                </a:stretch>
                                              </pic:blipFill>
                                              <pic:spPr bwMode="auto">
                                                <a:xfrm>
                                                  <a:off x="0" y="0"/>
                                                  <a:ext cx="38100" cy="381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0071CE"/>
                                      <w:sz w:val="20"/>
                                    </w:rPr>
                                  </w:pPr>
                                  <w:r>
                                    <w:rPr>
                                      <w:rFonts w:ascii="arial" w:hAnsi="arial"/>
                                      <w:b/>
                                      <w:color w:val="0071CE"/>
                                      <w:sz w:val="20"/>
                                    </w:rPr>
                                    <w:t>Your Vote Is Important</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vMerge w:val="restart"/>
                                  <w:tcBorders/>
                                  <w:shd w:fill="E2E1E0" w:val="clear"/>
                                  <w:vAlign w:val="center"/>
                                </w:tcPr>
                                <w:p>
                                  <w:pPr>
                                    <w:pStyle w:val="TableContents"/>
                                    <w:bidi w:val="0"/>
                                    <w:spacing w:before="0" w:after="283"/>
                                    <w:jc w:val="left"/>
                                    <w:rPr>
                                      <w:sz w:val="4"/>
                                      <w:szCs w:val="4"/>
                                    </w:rPr>
                                  </w:pPr>
                                  <w:r>
                                    <w:rPr>
                                      <w:sz w:val="4"/>
                                      <w:szCs w:val="4"/>
                                    </w:rPr>
                                  </w:r>
                                </w:p>
                              </w:tc>
                              <w:tc>
                                <w:tcPr>
                                  <w:tcW w:w="60" w:type="dxa"/>
                                  <w:vMerge w:val="restart"/>
                                  <w:tcBorders/>
                                  <w:shd w:fill="E2E1E0" w:val="clear"/>
                                  <w:vAlign w:val="center"/>
                                </w:tcPr>
                                <w:p>
                                  <w:pPr>
                                    <w:pStyle w:val="TableContents"/>
                                    <w:bidi w:val="0"/>
                                    <w:spacing w:before="0" w:after="283"/>
                                    <w:jc w:val="left"/>
                                    <w:rPr/>
                                  </w:pPr>
                                  <w:r>
                                    <w:rPr/>
                                    <w:t> </w:t>
                                  </w:r>
                                </w:p>
                              </w:tc>
                              <w:tc>
                                <w:tcPr>
                                  <w:tcW w:w="9402" w:type="dxa"/>
                                  <w:vMerge w:val="restart"/>
                                  <w:tcBorders/>
                                  <w:shd w:fill="E2E1E0"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6"/>
                                    </w:rPr>
                                  </w:pPr>
                                  <w:r>
                                    <w:rPr>
                                      <w:rFonts w:ascii="arial" w:hAnsi="arial"/>
                                      <w:color w:val="3E3935"/>
                                      <w:sz w:val="16"/>
                                    </w:rPr>
                                    <w:t>Please promptly submit your vote by internet or telephone, or by signing, dating, and returning the enclosed proxy card or voting instruction form in the postage-paid envelope provided so that your shares will be represented and voted at the meeting.</w:t>
                                  </w:r>
                                </w:p>
                                <w:p>
                                  <w:pPr>
                                    <w:pStyle w:val="TableContents"/>
                                    <w:bidi w:val="0"/>
                                    <w:spacing w:before="0" w:after="0"/>
                                    <w:jc w:val="left"/>
                                    <w:rPr/>
                                  </w:pPr>
                                  <w:r>
                                    <w:rPr/>
                                    <w:t> </w:t>
                                  </w:r>
                                </w:p>
                                <w:p>
                                  <w:pPr>
                                    <w:pStyle w:val="TableContents"/>
                                    <w:bidi w:val="0"/>
                                    <w:spacing w:before="0" w:after="0"/>
                                    <w:jc w:val="left"/>
                                    <w:rPr>
                                      <w:rFonts w:ascii="arial" w:hAnsi="arial"/>
                                      <w:color w:val="3E3935"/>
                                      <w:sz w:val="16"/>
                                    </w:rPr>
                                  </w:pPr>
                                  <w:r>
                                    <w:rPr>
                                      <w:rFonts w:ascii="arial" w:hAnsi="arial"/>
                                      <w:color w:val="3E3935"/>
                                      <w:sz w:val="16"/>
                                    </w:rPr>
                                    <w:t>We are first mailing these proxy materials to our shareholders on or about April 24, 2024.</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vMerge w:val="continue"/>
                                  <w:tcBorders/>
                                  <w:shd w:fill="E2E1E0" w:val="clear"/>
                                  <w:vAlign w:val="center"/>
                                </w:tcPr>
                                <w:p>
                                  <w:pPr>
                                    <w:pStyle w:val="Normal"/>
                                    <w:bidi w:val="0"/>
                                    <w:jc w:val="left"/>
                                    <w:rPr/>
                                  </w:pPr>
                                  <w:r>
                                    <w:rPr/>
                                  </w:r>
                                </w:p>
                              </w:tc>
                              <w:tc>
                                <w:tcPr>
                                  <w:tcW w:w="60" w:type="dxa"/>
                                  <w:vMerge w:val="continue"/>
                                  <w:tcBorders/>
                                  <w:shd w:fill="E2E1E0" w:val="clear"/>
                                  <w:vAlign w:val="center"/>
                                </w:tcPr>
                                <w:p>
                                  <w:pPr>
                                    <w:pStyle w:val="Normal"/>
                                    <w:bidi w:val="0"/>
                                    <w:jc w:val="left"/>
                                    <w:rPr/>
                                  </w:pPr>
                                  <w:r>
                                    <w:rPr/>
                                  </w:r>
                                </w:p>
                              </w:tc>
                              <w:tc>
                                <w:tcPr>
                                  <w:tcW w:w="9402" w:type="dxa"/>
                                  <w:vMerge w:val="continue"/>
                                  <w:tcBorders/>
                                  <w:shd w:fill="E2E1E0" w:val="clear"/>
                                  <w:vAlign w:val="center"/>
                                </w:tcPr>
                                <w:p>
                                  <w:pPr>
                                    <w:pStyle w:val="Normal"/>
                                    <w:bidi w:val="0"/>
                                    <w:jc w:val="left"/>
                                    <w:rPr/>
                                  </w:pPr>
                                  <w:r>
                                    <w:rPr/>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9402"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1CE"/>
                                      <w:sz w:val="20"/>
                                    </w:rPr>
                                  </w:pPr>
                                  <w:r>
                                    <w:rPr>
                                      <w:rFonts w:ascii="arial" w:hAnsi="arial"/>
                                      <w:b/>
                                      <w:color w:val="0071CE"/>
                                      <w:sz w:val="20"/>
                                    </w:rPr>
                                    <w:t>How to Access the Proxy Materials Online</w:t>
                                  </w:r>
                                </w:p>
                                <w:p>
                                  <w:pPr>
                                    <w:pStyle w:val="TableContents"/>
                                    <w:bidi w:val="0"/>
                                    <w:spacing w:before="0" w:after="0"/>
                                    <w:jc w:val="left"/>
                                    <w:rPr/>
                                  </w:pPr>
                                  <w:r>
                                    <w:rPr/>
                                    <w:t> </w:t>
                                  </w:r>
                                </w:p>
                                <w:p>
                                  <w:pPr>
                                    <w:pStyle w:val="TableContents"/>
                                    <w:bidi w:val="0"/>
                                    <w:spacing w:before="0" w:after="0"/>
                                    <w:jc w:val="left"/>
                                    <w:rPr>
                                      <w:rFonts w:ascii="arial" w:hAnsi="arial"/>
                                      <w:b/>
                                      <w:color w:val="3E3935"/>
                                      <w:sz w:val="18"/>
                                    </w:rPr>
                                  </w:pPr>
                                  <w:r>
                                    <w:rPr>
                                      <w:rFonts w:ascii="arial" w:hAnsi="arial"/>
                                      <w:b/>
                                      <w:color w:val="3E3935"/>
                                      <w:sz w:val="18"/>
                                    </w:rPr>
                                    <w:t>Important Notice Regarding the Availability of Proxy Materials for the 2024 Annual Meeting of Shareholders to be Held on June 4, 2024:</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color w:val="3E3935"/>
                                      <w:sz w:val="18"/>
                                    </w:rPr>
                                    <w:t xml:space="preserve">Our Proxy Statement and 2023 Annual Report are available at </w:t>
                                  </w:r>
                                  <w:r>
                                    <w:rPr>
                                      <w:rFonts w:ascii="arial" w:hAnsi="arial"/>
                                      <w:i/>
                                      <w:color w:val="0071CE"/>
                                      <w:sz w:val="18"/>
                                    </w:rPr>
                                    <w:t>investor.gm.com/shareholder</w:t>
                                  </w:r>
                                  <w:r>
                                    <w:rPr>
                                      <w:rFonts w:ascii="arial" w:hAnsi="arial"/>
                                      <w:color w:val="3E3935"/>
                                      <w:sz w:val="18"/>
                                    </w:rPr>
                                    <w:t>. You may also scan the QR code below with your smartphone or other mobile device to view our Proxy Statement and Annual Report.</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8900" cy="88900"/>
                                        <wp:effectExtent l="0" t="0" r="0" b="0"/>
                                        <wp:docPr id="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 descr=""/>
                                                <pic:cNvPicPr>
                                                  <a:picLocks noChangeAspect="1" noChangeArrowheads="1"/>
                                                </pic:cNvPicPr>
                                              </pic:nvPicPr>
                                              <pic:blipFill>
                                                <a:blip r:embed="rId5"/>
                                                <a:stretch>
                                                  <a:fillRect/>
                                                </a:stretch>
                                              </pic:blipFill>
                                              <pic:spPr bwMode="auto">
                                                <a:xfrm>
                                                  <a:off x="0" y="0"/>
                                                  <a:ext cx="88900" cy="8890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9402" w:type="dxa"/>
                                  <w:tcBorders/>
                                  <w:shd w:fill="E2E1E0" w:val="clear"/>
                                  <w:vAlign w:val="center"/>
                                </w:tcPr>
                                <w:p>
                                  <w:pPr>
                                    <w:pStyle w:val="TableContents"/>
                                    <w:bidi w:val="0"/>
                                    <w:spacing w:before="0" w:after="283"/>
                                    <w:jc w:val="left"/>
                                    <w:rPr>
                                      <w:color w:val="3E3935"/>
                                    </w:rPr>
                                  </w:pPr>
                                  <w:r>
                                    <w:rPr>
                                      <w:color w:val="3E3935"/>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1.7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324"/>
                        <w:gridCol w:w="60"/>
                        <w:gridCol w:w="9402"/>
                        <w:gridCol w:w="60"/>
                        <w:gridCol w:w="260"/>
                        <w:gridCol w:w="60"/>
                        <w:gridCol w:w="39"/>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0"/>
                              <w:jc w:val="both"/>
                              <w:rPr>
                                <w:color w:val="3E3935"/>
                              </w:rPr>
                            </w:pPr>
                            <w:r>
                              <w:rPr>
                                <w:color w:val="3E3935"/>
                              </w:rPr>
                              <w:t>  </w:t>
                            </w:r>
                          </w:p>
                        </w:tc>
                        <w:tc>
                          <w:tcPr>
                            <w:tcW w:w="60" w:type="dxa"/>
                            <w:tcBorders/>
                            <w:shd w:fill="E2E1E0" w:val="clear"/>
                            <w:vAlign w:val="center"/>
                          </w:tcPr>
                          <w:p>
                            <w:pPr>
                              <w:pStyle w:val="TableContents"/>
                              <w:bidi w:val="0"/>
                              <w:spacing w:before="0" w:after="283"/>
                              <w:jc w:val="left"/>
                              <w:rPr/>
                            </w:pPr>
                            <w:r>
                              <w:rPr/>
                              <w:t> </w:t>
                            </w:r>
                          </w:p>
                        </w:tc>
                        <w:tc>
                          <w:tcPr>
                            <w:tcW w:w="9402"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9462" w:type="dxa"/>
                            <w:gridSpan w:val="2"/>
                            <w:tcBorders/>
                            <w:shd w:fill="CCF2F8" w:val="clear"/>
                            <w:vAlign w:val="center"/>
                          </w:tcPr>
                          <w:p>
                            <w:pPr>
                              <w:pStyle w:val="TableContents"/>
                              <w:bidi w:val="0"/>
                              <w:spacing w:before="0" w:after="283"/>
                              <w:jc w:val="left"/>
                              <w:rPr>
                                <w:sz w:val="4"/>
                                <w:szCs w:val="4"/>
                              </w:rPr>
                            </w:pPr>
                            <w:r>
                              <w:rPr>
                                <w:sz w:val="4"/>
                                <w:szCs w:val="4"/>
                              </w:rPr>
                            </w:r>
                          </w:p>
                        </w:tc>
                        <w:tc>
                          <w:tcPr>
                            <w:tcW w:w="320" w:type="dxa"/>
                            <w:gridSpan w:val="2"/>
                            <w:tcBorders/>
                            <w:shd w:fill="E2E1E0" w:val="clear"/>
                            <w:vAlign w:val="center"/>
                          </w:tcPr>
                          <w:p>
                            <w:pPr>
                              <w:pStyle w:val="TableContents"/>
                              <w:bidi w:val="0"/>
                              <w:spacing w:before="0" w:after="283"/>
                              <w:jc w:val="left"/>
                              <w:rPr>
                                <w:sz w:val="4"/>
                                <w:szCs w:val="4"/>
                              </w:rPr>
                            </w:pPr>
                            <w:r>
                              <w:rPr>
                                <w:sz w:val="4"/>
                                <w:szCs w:val="4"/>
                              </w:rPr>
                            </w:r>
                          </w:p>
                        </w:tc>
                        <w:tc>
                          <w:tcPr>
                            <w:tcW w:w="99" w:type="dxa"/>
                            <w:gridSpan w:val="2"/>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9402"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64770" cy="3556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6"/>
                                          <a:stretch>
                                            <a:fillRect/>
                                          </a:stretch>
                                        </pic:blipFill>
                                        <pic:spPr bwMode="auto">
                                          <a:xfrm>
                                            <a:off x="0" y="0"/>
                                            <a:ext cx="64770" cy="355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0071CE"/>
                                <w:sz w:val="20"/>
                              </w:rPr>
                            </w:pPr>
                            <w:r>
                              <w:rPr>
                                <w:rFonts w:ascii="arial" w:hAnsi="arial"/>
                                <w:b/>
                                <w:color w:val="0071CE"/>
                                <w:sz w:val="20"/>
                              </w:rPr>
                              <w:t>Meeting Information</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0"/>
                              <w:jc w:val="both"/>
                              <w:rPr>
                                <w:color w:val="3E3935"/>
                              </w:rPr>
                            </w:pPr>
                            <w:r>
                              <w:rPr>
                                <w:color w:val="3E3935"/>
                              </w:rPr>
                              <w:t> </w:t>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9402" w:type="dxa"/>
                            <w:tcBorders/>
                            <w:shd w:fill="E2E1E0"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22"/>
                              </w:rPr>
                            </w:pPr>
                            <w:r>
                              <w:rPr>
                                <w:rFonts w:ascii="arial" w:hAnsi="arial"/>
                                <w:b/>
                                <w:color w:val="3E3935"/>
                                <w:sz w:val="22"/>
                              </w:rPr>
                              <w:t>Date:   </w:t>
                            </w:r>
                            <w:r>
                              <w:rPr>
                                <w:rFonts w:ascii="arial" w:hAnsi="arial"/>
                                <w:color w:val="3E3935"/>
                                <w:sz w:val="22"/>
                              </w:rPr>
                              <w:t>June 4, 2024</w:t>
                            </w:r>
                          </w:p>
                          <w:p>
                            <w:pPr>
                              <w:pStyle w:val="TableContents"/>
                              <w:bidi w:val="0"/>
                              <w:spacing w:before="0" w:after="0"/>
                              <w:jc w:val="left"/>
                              <w:rPr/>
                            </w:pPr>
                            <w:r>
                              <w:rPr/>
                              <w:t> </w:t>
                            </w:r>
                          </w:p>
                          <w:p>
                            <w:pPr>
                              <w:pStyle w:val="TableContents"/>
                              <w:bidi w:val="0"/>
                              <w:spacing w:before="0" w:after="0"/>
                              <w:jc w:val="left"/>
                              <w:rPr>
                                <w:rFonts w:ascii="arial" w:hAnsi="arial"/>
                                <w:color w:val="3E3935"/>
                                <w:sz w:val="22"/>
                              </w:rPr>
                            </w:pPr>
                            <w:r>
                              <w:rPr>
                                <w:rFonts w:ascii="arial" w:hAnsi="arial"/>
                                <w:b/>
                                <w:color w:val="3E3935"/>
                                <w:sz w:val="22"/>
                              </w:rPr>
                              <w:t>Time:  </w:t>
                            </w:r>
                            <w:r>
                              <w:rPr>
                                <w:rFonts w:ascii="arial" w:hAnsi="arial"/>
                                <w:color w:val="3E3935"/>
                                <w:sz w:val="22"/>
                              </w:rPr>
                              <w:t>11:00 a.m. Eastern Time</w:t>
                            </w:r>
                          </w:p>
                          <w:p>
                            <w:pPr>
                              <w:pStyle w:val="TableContents"/>
                              <w:bidi w:val="0"/>
                              <w:spacing w:before="0" w:after="0"/>
                              <w:jc w:val="left"/>
                              <w:rPr/>
                            </w:pPr>
                            <w:r>
                              <w:rPr/>
                              <w:t> </w:t>
                            </w:r>
                          </w:p>
                          <w:p>
                            <w:pPr>
                              <w:pStyle w:val="TableContents"/>
                              <w:bidi w:val="0"/>
                              <w:spacing w:before="0" w:after="0"/>
                              <w:jc w:val="left"/>
                              <w:rPr>
                                <w:rFonts w:ascii="arial" w:hAnsi="arial"/>
                                <w:color w:val="3E3935"/>
                                <w:sz w:val="22"/>
                              </w:rPr>
                            </w:pPr>
                            <w:r>
                              <w:rPr>
                                <w:rFonts w:ascii="arial" w:hAnsi="arial"/>
                                <w:b/>
                                <w:color w:val="3E3935"/>
                                <w:sz w:val="22"/>
                              </w:rPr>
                              <w:t>Place:  </w:t>
                            </w:r>
                            <w:r>
                              <w:rPr>
                                <w:rFonts w:ascii="arial" w:hAnsi="arial"/>
                                <w:color w:val="3E3935"/>
                                <w:sz w:val="22"/>
                              </w:rPr>
                              <w:t>Online via live webcast at:</w:t>
                            </w:r>
                          </w:p>
                          <w:p>
                            <w:pPr>
                              <w:pStyle w:val="TableContents"/>
                              <w:bidi w:val="0"/>
                              <w:spacing w:before="0" w:after="0"/>
                              <w:jc w:val="left"/>
                              <w:rPr/>
                            </w:pPr>
                            <w:r>
                              <w:rPr/>
                              <w:t> </w:t>
                            </w:r>
                          </w:p>
                          <w:p>
                            <w:pPr>
                              <w:pStyle w:val="TableContents"/>
                              <w:bidi w:val="0"/>
                              <w:spacing w:before="0" w:after="0"/>
                              <w:jc w:val="center"/>
                              <w:rPr>
                                <w:rFonts w:ascii="arial" w:hAnsi="arial"/>
                                <w:i/>
                                <w:color w:val="0071CE"/>
                                <w:sz w:val="22"/>
                              </w:rPr>
                            </w:pPr>
                            <w:r>
                              <w:rPr>
                                <w:rFonts w:ascii="arial" w:hAnsi="arial"/>
                                <w:i/>
                                <w:color w:val="0071CE"/>
                                <w:sz w:val="22"/>
                              </w:rPr>
                              <w:t>virtualshareholdermeeting.com/GM2024</w:t>
                            </w:r>
                          </w:p>
                          <w:p>
                            <w:pPr>
                              <w:pStyle w:val="TableContents"/>
                              <w:bidi w:val="0"/>
                              <w:spacing w:before="0" w:after="0"/>
                              <w:jc w:val="left"/>
                              <w:rPr/>
                            </w:pPr>
                            <w:r>
                              <w:rPr/>
                              <w:t> </w:t>
                            </w:r>
                          </w:p>
                          <w:p>
                            <w:pPr>
                              <w:pStyle w:val="TableContents"/>
                              <w:bidi w:val="0"/>
                              <w:spacing w:before="0" w:after="0"/>
                              <w:jc w:val="left"/>
                              <w:rPr>
                                <w:rFonts w:ascii="arial" w:hAnsi="arial"/>
                                <w:color w:val="3E3935"/>
                                <w:sz w:val="22"/>
                              </w:rPr>
                            </w:pPr>
                            <w:r>
                              <w:rPr>
                                <w:rFonts w:ascii="arial" w:hAnsi="arial"/>
                                <w:b/>
                                <w:color w:val="3E3935"/>
                                <w:sz w:val="22"/>
                              </w:rPr>
                              <w:t>Record Date: </w:t>
                            </w:r>
                            <w:r>
                              <w:rPr>
                                <w:rFonts w:ascii="arial" w:hAnsi="arial"/>
                                <w:color w:val="3E3935"/>
                                <w:sz w:val="22"/>
                              </w:rPr>
                              <w:t> April 15, 2024</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9402"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8100" cy="381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7"/>
                                          <a:stretch>
                                            <a:fillRect/>
                                          </a:stretch>
                                        </pic:blipFill>
                                        <pic:spPr bwMode="auto">
                                          <a:xfrm>
                                            <a:off x="0" y="0"/>
                                            <a:ext cx="38100" cy="381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0071CE"/>
                                <w:sz w:val="20"/>
                              </w:rPr>
                            </w:pPr>
                            <w:r>
                              <w:rPr>
                                <w:rFonts w:ascii="arial" w:hAnsi="arial"/>
                                <w:b/>
                                <w:color w:val="0071CE"/>
                                <w:sz w:val="20"/>
                              </w:rPr>
                              <w:t>Your Vote Is Important</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vMerge w:val="restart"/>
                            <w:tcBorders/>
                            <w:shd w:fill="E2E1E0" w:val="clear"/>
                            <w:vAlign w:val="center"/>
                          </w:tcPr>
                          <w:p>
                            <w:pPr>
                              <w:pStyle w:val="TableContents"/>
                              <w:bidi w:val="0"/>
                              <w:spacing w:before="0" w:after="283"/>
                              <w:jc w:val="left"/>
                              <w:rPr>
                                <w:sz w:val="4"/>
                                <w:szCs w:val="4"/>
                              </w:rPr>
                            </w:pPr>
                            <w:r>
                              <w:rPr>
                                <w:sz w:val="4"/>
                                <w:szCs w:val="4"/>
                              </w:rPr>
                            </w:r>
                          </w:p>
                        </w:tc>
                        <w:tc>
                          <w:tcPr>
                            <w:tcW w:w="60" w:type="dxa"/>
                            <w:vMerge w:val="restart"/>
                            <w:tcBorders/>
                            <w:shd w:fill="E2E1E0" w:val="clear"/>
                            <w:vAlign w:val="center"/>
                          </w:tcPr>
                          <w:p>
                            <w:pPr>
                              <w:pStyle w:val="TableContents"/>
                              <w:bidi w:val="0"/>
                              <w:spacing w:before="0" w:after="283"/>
                              <w:jc w:val="left"/>
                              <w:rPr/>
                            </w:pPr>
                            <w:r>
                              <w:rPr/>
                              <w:t> </w:t>
                            </w:r>
                          </w:p>
                        </w:tc>
                        <w:tc>
                          <w:tcPr>
                            <w:tcW w:w="9402" w:type="dxa"/>
                            <w:vMerge w:val="restart"/>
                            <w:tcBorders/>
                            <w:shd w:fill="E2E1E0"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6"/>
                              </w:rPr>
                            </w:pPr>
                            <w:r>
                              <w:rPr>
                                <w:rFonts w:ascii="arial" w:hAnsi="arial"/>
                                <w:color w:val="3E3935"/>
                                <w:sz w:val="16"/>
                              </w:rPr>
                              <w:t>Please promptly submit your vote by internet or telephone, or by signing, dating, and returning the enclosed proxy card or voting instruction form in the postage-paid envelope provided so that your shares will be represented and voted at the meeting.</w:t>
                            </w:r>
                          </w:p>
                          <w:p>
                            <w:pPr>
                              <w:pStyle w:val="TableContents"/>
                              <w:bidi w:val="0"/>
                              <w:spacing w:before="0" w:after="0"/>
                              <w:jc w:val="left"/>
                              <w:rPr/>
                            </w:pPr>
                            <w:r>
                              <w:rPr/>
                              <w:t> </w:t>
                            </w:r>
                          </w:p>
                          <w:p>
                            <w:pPr>
                              <w:pStyle w:val="TableContents"/>
                              <w:bidi w:val="0"/>
                              <w:spacing w:before="0" w:after="0"/>
                              <w:jc w:val="left"/>
                              <w:rPr>
                                <w:rFonts w:ascii="arial" w:hAnsi="arial"/>
                                <w:color w:val="3E3935"/>
                                <w:sz w:val="16"/>
                              </w:rPr>
                            </w:pPr>
                            <w:r>
                              <w:rPr>
                                <w:rFonts w:ascii="arial" w:hAnsi="arial"/>
                                <w:color w:val="3E3935"/>
                                <w:sz w:val="16"/>
                              </w:rPr>
                              <w:t>We are first mailing these proxy materials to our shareholders on or about April 24, 2024.</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vMerge w:val="continue"/>
                            <w:tcBorders/>
                            <w:shd w:fill="E2E1E0" w:val="clear"/>
                            <w:vAlign w:val="center"/>
                          </w:tcPr>
                          <w:p>
                            <w:pPr>
                              <w:pStyle w:val="Normal"/>
                              <w:bidi w:val="0"/>
                              <w:jc w:val="left"/>
                              <w:rPr/>
                            </w:pPr>
                            <w:r>
                              <w:rPr/>
                            </w:r>
                          </w:p>
                        </w:tc>
                        <w:tc>
                          <w:tcPr>
                            <w:tcW w:w="60" w:type="dxa"/>
                            <w:vMerge w:val="continue"/>
                            <w:tcBorders/>
                            <w:shd w:fill="E2E1E0" w:val="clear"/>
                            <w:vAlign w:val="center"/>
                          </w:tcPr>
                          <w:p>
                            <w:pPr>
                              <w:pStyle w:val="Normal"/>
                              <w:bidi w:val="0"/>
                              <w:jc w:val="left"/>
                              <w:rPr/>
                            </w:pPr>
                            <w:r>
                              <w:rPr/>
                            </w:r>
                          </w:p>
                        </w:tc>
                        <w:tc>
                          <w:tcPr>
                            <w:tcW w:w="9402" w:type="dxa"/>
                            <w:vMerge w:val="continue"/>
                            <w:tcBorders/>
                            <w:shd w:fill="E2E1E0" w:val="clear"/>
                            <w:vAlign w:val="center"/>
                          </w:tcPr>
                          <w:p>
                            <w:pPr>
                              <w:pStyle w:val="Normal"/>
                              <w:bidi w:val="0"/>
                              <w:jc w:val="left"/>
                              <w:rPr/>
                            </w:pPr>
                            <w:r>
                              <w:rPr/>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9402"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1CE"/>
                                <w:sz w:val="20"/>
                              </w:rPr>
                            </w:pPr>
                            <w:r>
                              <w:rPr>
                                <w:rFonts w:ascii="arial" w:hAnsi="arial"/>
                                <w:b/>
                                <w:color w:val="0071CE"/>
                                <w:sz w:val="20"/>
                              </w:rPr>
                              <w:t>How to Access the Proxy Materials Online</w:t>
                            </w:r>
                          </w:p>
                          <w:p>
                            <w:pPr>
                              <w:pStyle w:val="TableContents"/>
                              <w:bidi w:val="0"/>
                              <w:spacing w:before="0" w:after="0"/>
                              <w:jc w:val="left"/>
                              <w:rPr/>
                            </w:pPr>
                            <w:r>
                              <w:rPr/>
                              <w:t> </w:t>
                            </w:r>
                          </w:p>
                          <w:p>
                            <w:pPr>
                              <w:pStyle w:val="TableContents"/>
                              <w:bidi w:val="0"/>
                              <w:spacing w:before="0" w:after="0"/>
                              <w:jc w:val="left"/>
                              <w:rPr>
                                <w:rFonts w:ascii="arial" w:hAnsi="arial"/>
                                <w:b/>
                                <w:color w:val="3E3935"/>
                                <w:sz w:val="18"/>
                              </w:rPr>
                            </w:pPr>
                            <w:r>
                              <w:rPr>
                                <w:rFonts w:ascii="arial" w:hAnsi="arial"/>
                                <w:b/>
                                <w:color w:val="3E3935"/>
                                <w:sz w:val="18"/>
                              </w:rPr>
                              <w:t>Important Notice Regarding the Availability of Proxy Materials for the 2024 Annual Meeting of Shareholders to be Held on June 4, 2024:</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color w:val="3E3935"/>
                                <w:sz w:val="18"/>
                              </w:rPr>
                              <w:t xml:space="preserve">Our Proxy Statement and 2023 Annual Report are available at </w:t>
                            </w:r>
                            <w:r>
                              <w:rPr>
                                <w:rFonts w:ascii="arial" w:hAnsi="arial"/>
                                <w:i/>
                                <w:color w:val="0071CE"/>
                                <w:sz w:val="18"/>
                              </w:rPr>
                              <w:t>investor.gm.com/shareholder</w:t>
                            </w:r>
                            <w:r>
                              <w:rPr>
                                <w:rFonts w:ascii="arial" w:hAnsi="arial"/>
                                <w:color w:val="3E3935"/>
                                <w:sz w:val="18"/>
                              </w:rPr>
                              <w:t>. You may also scan the QR code below with your smartphone or other mobile device to view our Proxy Statement and Annual Report.</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8900" cy="889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8"/>
                                          <a:stretch>
                                            <a:fillRect/>
                                          </a:stretch>
                                        </pic:blipFill>
                                        <pic:spPr bwMode="auto">
                                          <a:xfrm>
                                            <a:off x="0" y="0"/>
                                            <a:ext cx="88900" cy="8890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r>
                        <w:trPr/>
                        <w:tc>
                          <w:tcPr>
                            <w:tcW w:w="324"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9402" w:type="dxa"/>
                            <w:tcBorders/>
                            <w:shd w:fill="E2E1E0" w:val="clear"/>
                            <w:vAlign w:val="center"/>
                          </w:tcPr>
                          <w:p>
                            <w:pPr>
                              <w:pStyle w:val="TableContents"/>
                              <w:bidi w:val="0"/>
                              <w:spacing w:before="0" w:after="283"/>
                              <w:jc w:val="left"/>
                              <w:rPr>
                                <w:color w:val="3E3935"/>
                              </w:rPr>
                            </w:pPr>
                            <w:r>
                              <w:rPr>
                                <w:color w:val="3E3935"/>
                              </w:rPr>
                              <w:t> </w:t>
                            </w:r>
                          </w:p>
                        </w:tc>
                        <w:tc>
                          <w:tcPr>
                            <w:tcW w:w="60" w:type="dxa"/>
                            <w:tcBorders/>
                            <w:shd w:fill="E2E1E0" w:val="clear"/>
                            <w:vAlign w:val="center"/>
                          </w:tcPr>
                          <w:p>
                            <w:pPr>
                              <w:pStyle w:val="TableContents"/>
                              <w:bidi w:val="0"/>
                              <w:spacing w:before="0" w:after="283"/>
                              <w:jc w:val="left"/>
                              <w:rPr/>
                            </w:pPr>
                            <w:r>
                              <w:rPr/>
                              <w:t> </w:t>
                            </w:r>
                          </w:p>
                        </w:tc>
                        <w:tc>
                          <w:tcPr>
                            <w:tcW w:w="260" w:type="dxa"/>
                            <w:tcBorders/>
                            <w:shd w:fill="E2E1E0" w:val="clear"/>
                            <w:vAlign w:val="center"/>
                          </w:tcPr>
                          <w:p>
                            <w:pPr>
                              <w:pStyle w:val="TableContents"/>
                              <w:bidi w:val="0"/>
                              <w:spacing w:before="0" w:after="283"/>
                              <w:jc w:val="left"/>
                              <w:rPr>
                                <w:sz w:val="4"/>
                                <w:szCs w:val="4"/>
                              </w:rPr>
                            </w:pPr>
                            <w:r>
                              <w:rPr>
                                <w:sz w:val="4"/>
                                <w:szCs w:val="4"/>
                              </w:rPr>
                            </w:r>
                          </w:p>
                        </w:tc>
                        <w:tc>
                          <w:tcPr>
                            <w:tcW w:w="60" w:type="dxa"/>
                            <w:tcBorders/>
                            <w:shd w:fill="E2E1E0" w:val="clear"/>
                            <w:vAlign w:val="center"/>
                          </w:tcPr>
                          <w:p>
                            <w:pPr>
                              <w:pStyle w:val="TableContents"/>
                              <w:bidi w:val="0"/>
                              <w:spacing w:before="0" w:after="283"/>
                              <w:jc w:val="left"/>
                              <w:rPr/>
                            </w:pPr>
                            <w:r>
                              <w:rPr/>
                              <w:t> </w:t>
                            </w:r>
                          </w:p>
                        </w:tc>
                        <w:tc>
                          <w:tcPr>
                            <w:tcW w:w="39" w:type="dxa"/>
                            <w:tcBorders/>
                            <w:shd w:fill="E2E1E0"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3110230" cy="7396480"/>
                <wp:effectExtent l="0" t="0" r="0" b="0"/>
                <wp:wrapSquare wrapText="right"/>
                <wp:docPr id="9" name="Frame1"/>
                <a:graphic xmlns:a="http://schemas.openxmlformats.org/drawingml/2006/main">
                  <a:graphicData uri="http://schemas.microsoft.com/office/word/2010/wordprocessingShape">
                    <wps:wsp>
                      <wps:cNvSpPr txBox="1"/>
                      <wps:spPr>
                        <a:xfrm>
                          <a:off x="0" y="0"/>
                          <a:ext cx="3110230" cy="7396480"/>
                        </a:xfrm>
                        <a:prstGeom prst="rect"/>
                        <a:solidFill>
                          <a:srgbClr val="FFFFFF"/>
                        </a:solidFill>
                      </wps:spPr>
                      <wps:txbx>
                        <w:txbxContent>
                          <w:p>
                            <w:pPr>
                              <w:pStyle w:val="TextBody"/>
                              <w:bidi w:val="0"/>
                              <w:spacing w:before="0" w:after="0"/>
                              <w:jc w:val="left"/>
                              <w:rPr>
                                <w:rFonts w:ascii="arial" w:hAnsi="arial"/>
                                <w:b/>
                                <w:color w:val="0071CE"/>
                                <w:sz w:val="28"/>
                              </w:rPr>
                            </w:pPr>
                            <w:r>
                              <w:rPr>
                                <w:rFonts w:ascii="arial" w:hAnsi="arial"/>
                                <w:b/>
                                <w:color w:val="0071CE"/>
                                <w:sz w:val="28"/>
                              </w:rPr>
                              <w:t xml:space="preserve">April 24, 2024 </w:t>
                            </w:r>
                          </w:p>
                          <w:p>
                            <w:pPr>
                              <w:pStyle w:val="TextBody"/>
                              <w:bidi w:val="0"/>
                              <w:spacing w:before="240" w:after="0"/>
                              <w:jc w:val="left"/>
                              <w:rPr>
                                <w:rFonts w:ascii="arial" w:hAnsi="arial"/>
                                <w:b/>
                                <w:color w:val="0071CE"/>
                                <w:sz w:val="28"/>
                              </w:rPr>
                            </w:pPr>
                            <w:r>
                              <w:rPr>
                                <w:rFonts w:ascii="arial" w:hAnsi="arial"/>
                                <w:b/>
                                <w:color w:val="0071CE"/>
                                <w:sz w:val="28"/>
                              </w:rPr>
                              <w:t xml:space="preserve">Dear Shareholders: </w:t>
                            </w:r>
                          </w:p>
                          <w:p>
                            <w:pPr>
                              <w:pStyle w:val="TextBody"/>
                              <w:bidi w:val="0"/>
                              <w:spacing w:before="120" w:after="0"/>
                              <w:jc w:val="both"/>
                              <w:rPr>
                                <w:rFonts w:ascii="arial" w:hAnsi="arial"/>
                                <w:color w:val="3E3935"/>
                                <w:sz w:val="18"/>
                              </w:rPr>
                            </w:pPr>
                            <w:r>
                              <w:rPr>
                                <w:rFonts w:ascii="arial" w:hAnsi="arial"/>
                                <w:color w:val="3E3935"/>
                                <w:sz w:val="18"/>
                              </w:rPr>
                              <w:t xml:space="preserve">The Board of Directors of General Motors Company invites you to attend the 2024 Annual Meeting of Shareholders. </w:t>
                            </w:r>
                          </w:p>
                          <w:p>
                            <w:pPr>
                              <w:pStyle w:val="TextBody"/>
                              <w:bidi w:val="0"/>
                              <w:spacing w:before="120" w:after="0"/>
                              <w:jc w:val="both"/>
                              <w:rPr>
                                <w:rFonts w:ascii="arial" w:hAnsi="arial"/>
                                <w:color w:val="3E3935"/>
                                <w:sz w:val="18"/>
                              </w:rPr>
                            </w:pPr>
                            <w:r>
                              <w:rPr>
                                <w:rFonts w:ascii="arial" w:hAnsi="arial"/>
                                <w:color w:val="3E3935"/>
                                <w:sz w:val="18"/>
                              </w:rPr>
                              <w:t xml:space="preserve">At the Annual Meeting, you will be asked to: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Elect the 12 Board-recommended director nominees named in this Proxy Statement;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Ratify the selection of Ernst &amp; Young LLP as the Company’s independent registered public accounting firm for 2024;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Approve, on an advisory basis, named executive officer compensation;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Vote on Rule 14a-8 shareholder proposals, if properly presented at the meeting; and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Transact any other business that is properly presented at the meeting. </w:t>
                                  </w:r>
                                </w:p>
                              </w:tc>
                            </w:tr>
                          </w:tbl>
                          <w:p>
                            <w:pPr>
                              <w:pStyle w:val="TextBody"/>
                              <w:bidi w:val="0"/>
                              <w:spacing w:before="120" w:after="0"/>
                              <w:jc w:val="both"/>
                              <w:rPr>
                                <w:rFonts w:ascii="arial" w:hAnsi="arial"/>
                                <w:sz w:val="18"/>
                              </w:rPr>
                            </w:pPr>
                            <w:r>
                              <w:rPr>
                                <w:rFonts w:ascii="arial" w:hAnsi="arial"/>
                                <w:color w:val="3E3935"/>
                                <w:sz w:val="18"/>
                              </w:rPr>
                              <w:t xml:space="preserve">A list of the Company’s registered shareholders will be available for examination for any purpose that is germane to the meeting for ten business days before the Annual Meeting. Shareholders may request to review the list by emailing the Company at </w:t>
                            </w:r>
                            <w:r>
                              <w:rPr>
                                <w:rFonts w:ascii="arial" w:hAnsi="arial"/>
                                <w:i/>
                                <w:color w:val="0071CE"/>
                                <w:sz w:val="18"/>
                              </w:rPr>
                              <w:t>shareholder.relations@gm.com</w:t>
                            </w:r>
                            <w:r>
                              <w:rPr>
                                <w:rFonts w:ascii="arial" w:hAnsi="arial"/>
                                <w:color w:val="3E3935"/>
                                <w:sz w:val="18"/>
                              </w:rPr>
                              <w:t xml:space="preserve">. </w:t>
                            </w:r>
                          </w:p>
                          <w:p>
                            <w:pPr>
                              <w:pStyle w:val="TextBody"/>
                              <w:bidi w:val="0"/>
                              <w:spacing w:before="120" w:after="0"/>
                              <w:jc w:val="both"/>
                              <w:rPr>
                                <w:rFonts w:ascii="arial" w:hAnsi="arial"/>
                                <w:color w:val="3E3935"/>
                                <w:sz w:val="18"/>
                              </w:rPr>
                            </w:pPr>
                            <w:r>
                              <w:rPr>
                                <w:rFonts w:ascii="arial" w:hAnsi="arial"/>
                                <w:color w:val="3E3935"/>
                                <w:sz w:val="18"/>
                              </w:rPr>
                              <w:t xml:space="preserve">This Proxy Statement is provided in conjunction with GM’s solicitation of proxies to be used at the Annual Meeting. For additional information about how to attend our Annual Meeting, see “General Information About the Annual Meeting” starting on page 87. </w:t>
                            </w:r>
                          </w:p>
                          <w:p>
                            <w:pPr>
                              <w:pStyle w:val="TextBody"/>
                              <w:bidi w:val="0"/>
                              <w:spacing w:before="120" w:after="0"/>
                              <w:jc w:val="both"/>
                              <w:rPr>
                                <w:rFonts w:ascii="arial" w:hAnsi="arial"/>
                                <w:color w:val="3E3935"/>
                                <w:sz w:val="18"/>
                              </w:rPr>
                            </w:pPr>
                            <w:r>
                              <w:rPr>
                                <w:rFonts w:ascii="arial" w:hAnsi="arial"/>
                                <w:color w:val="3E3935"/>
                                <w:sz w:val="18"/>
                              </w:rPr>
                              <w:t xml:space="preserve">Thank you for your continued investment in General Motors Company. </w:t>
                            </w:r>
                          </w:p>
                          <w:p>
                            <w:pPr>
                              <w:pStyle w:val="TextBody"/>
                              <w:bidi w:val="0"/>
                              <w:spacing w:before="120" w:after="0"/>
                              <w:jc w:val="both"/>
                              <w:rPr>
                                <w:rFonts w:ascii="arial" w:hAnsi="arial"/>
                                <w:color w:val="3E3935"/>
                                <w:sz w:val="18"/>
                              </w:rPr>
                            </w:pPr>
                            <w:r>
                              <w:rPr>
                                <w:rFonts w:ascii="arial" w:hAnsi="arial"/>
                                <w:color w:val="3E3935"/>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15570" cy="2476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9"/>
                                          <a:stretch>
                                            <a:fillRect/>
                                          </a:stretch>
                                        </pic:blipFill>
                                        <pic:spPr bwMode="auto">
                                          <a:xfrm>
                                            <a:off x="0" y="0"/>
                                            <a:ext cx="115570" cy="24765"/>
                                          </a:xfrm>
                                          <a:prstGeom prst="rect">
                                            <a:avLst/>
                                          </a:prstGeom>
                                        </pic:spPr>
                                      </pic:pic>
                                    </a:graphicData>
                                  </a:graphic>
                                </wp:inline>
                              </w:drawing>
                            </w:r>
                            <w:r>
                              <w:rPr/>
                              <w:t xml:space="preserve">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140"/>
                              <w:gridCol w:w="60"/>
                              <w:gridCol w:w="2075"/>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20"/>
                                    <w:jc w:val="center"/>
                                    <w:rPr/>
                                  </w:pPr>
                                  <w:r>
                                    <w:rPr/>
                                    <w:drawing>
                                      <wp:inline distT="0" distB="0" distL="0" distR="0">
                                        <wp:extent cx="41275" cy="4508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10"/>
                                                <a:stretch>
                                                  <a:fillRect/>
                                                </a:stretch>
                                              </pic:blipFill>
                                              <pic:spPr bwMode="auto">
                                                <a:xfrm>
                                                  <a:off x="0" y="0"/>
                                                  <a:ext cx="41275" cy="4508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arial" w:hAnsi="arial"/>
                                      <w:b/>
                                      <w:color w:val="3E3935"/>
                                      <w:sz w:val="18"/>
                                    </w:rPr>
                                  </w:pPr>
                                  <w:r>
                                    <w:rPr>
                                      <w:rFonts w:ascii="arial" w:hAnsi="arial"/>
                                      <w:b/>
                                      <w:color w:val="3E3935"/>
                                      <w:sz w:val="18"/>
                                    </w:rPr>
                                    <w:t>Craig Glidden</w:t>
                                  </w:r>
                                </w:p>
                                <w:p>
                                  <w:pPr>
                                    <w:pStyle w:val="TableContents"/>
                                    <w:bidi w:val="0"/>
                                    <w:spacing w:before="0" w:after="0"/>
                                    <w:jc w:val="left"/>
                                    <w:rPr>
                                      <w:rFonts w:ascii="arial" w:hAnsi="arial"/>
                                      <w:color w:val="3E3935"/>
                                      <w:sz w:val="18"/>
                                    </w:rPr>
                                  </w:pPr>
                                  <w:r>
                                    <w:rPr>
                                      <w:rFonts w:ascii="arial" w:hAnsi="arial"/>
                                      <w:color w:val="3E3935"/>
                                      <w:sz w:val="18"/>
                                    </w:rPr>
                                    <w:t>Corporate Secretary</w:t>
                                  </w:r>
                                </w:p>
                                <w:p>
                                  <w:pPr>
                                    <w:pStyle w:val="TableContents"/>
                                    <w:bidi w:val="0"/>
                                    <w:spacing w:before="0" w:after="0"/>
                                    <w:jc w:val="left"/>
                                    <w:rPr>
                                      <w:rFonts w:ascii="arial" w:hAnsi="arial"/>
                                      <w:color w:val="3E3935"/>
                                      <w:sz w:val="18"/>
                                    </w:rPr>
                                  </w:pPr>
                                  <w:r>
                                    <w:rPr>
                                      <w:rFonts w:ascii="arial" w:hAnsi="arial"/>
                                      <w:color w:val="3E3935"/>
                                      <w:sz w:val="18"/>
                                    </w:rPr>
                                    <w:t>300 Renaissance Center</w:t>
                                  </w:r>
                                </w:p>
                                <w:p>
                                  <w:pPr>
                                    <w:pStyle w:val="TableContents"/>
                                    <w:bidi w:val="0"/>
                                    <w:spacing w:before="0" w:after="20"/>
                                    <w:jc w:val="left"/>
                                    <w:rPr>
                                      <w:rFonts w:ascii="arial" w:hAnsi="arial"/>
                                      <w:color w:val="3E3935"/>
                                      <w:sz w:val="18"/>
                                    </w:rPr>
                                  </w:pPr>
                                  <w:r>
                                    <w:rPr>
                                      <w:rFonts w:ascii="arial" w:hAnsi="arial"/>
                                      <w:color w:val="3E3935"/>
                                      <w:sz w:val="18"/>
                                    </w:rPr>
                                    <w:t>Detroit, Michigan 48265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2.4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b/>
                          <w:color w:val="0071CE"/>
                          <w:sz w:val="28"/>
                        </w:rPr>
                      </w:pPr>
                      <w:r>
                        <w:rPr>
                          <w:rFonts w:ascii="arial" w:hAnsi="arial"/>
                          <w:b/>
                          <w:color w:val="0071CE"/>
                          <w:sz w:val="28"/>
                        </w:rPr>
                        <w:t xml:space="preserve">April 24, 2024 </w:t>
                      </w:r>
                    </w:p>
                    <w:p>
                      <w:pPr>
                        <w:pStyle w:val="TextBody"/>
                        <w:bidi w:val="0"/>
                        <w:spacing w:before="240" w:after="0"/>
                        <w:jc w:val="left"/>
                        <w:rPr>
                          <w:rFonts w:ascii="arial" w:hAnsi="arial"/>
                          <w:b/>
                          <w:color w:val="0071CE"/>
                          <w:sz w:val="28"/>
                        </w:rPr>
                      </w:pPr>
                      <w:r>
                        <w:rPr>
                          <w:rFonts w:ascii="arial" w:hAnsi="arial"/>
                          <w:b/>
                          <w:color w:val="0071CE"/>
                          <w:sz w:val="28"/>
                        </w:rPr>
                        <w:t xml:space="preserve">Dear Shareholders: </w:t>
                      </w:r>
                    </w:p>
                    <w:p>
                      <w:pPr>
                        <w:pStyle w:val="TextBody"/>
                        <w:bidi w:val="0"/>
                        <w:spacing w:before="120" w:after="0"/>
                        <w:jc w:val="both"/>
                        <w:rPr>
                          <w:rFonts w:ascii="arial" w:hAnsi="arial"/>
                          <w:color w:val="3E3935"/>
                          <w:sz w:val="18"/>
                        </w:rPr>
                      </w:pPr>
                      <w:r>
                        <w:rPr>
                          <w:rFonts w:ascii="arial" w:hAnsi="arial"/>
                          <w:color w:val="3E3935"/>
                          <w:sz w:val="18"/>
                        </w:rPr>
                        <w:t xml:space="preserve">The Board of Directors of General Motors Company invites you to attend the 2024 Annual Meeting of Shareholders. </w:t>
                      </w:r>
                    </w:p>
                    <w:p>
                      <w:pPr>
                        <w:pStyle w:val="TextBody"/>
                        <w:bidi w:val="0"/>
                        <w:spacing w:before="120" w:after="0"/>
                        <w:jc w:val="both"/>
                        <w:rPr>
                          <w:rFonts w:ascii="arial" w:hAnsi="arial"/>
                          <w:color w:val="3E3935"/>
                          <w:sz w:val="18"/>
                        </w:rPr>
                      </w:pPr>
                      <w:r>
                        <w:rPr>
                          <w:rFonts w:ascii="arial" w:hAnsi="arial"/>
                          <w:color w:val="3E3935"/>
                          <w:sz w:val="18"/>
                        </w:rPr>
                        <w:t xml:space="preserve">At the Annual Meeting, you will be asked to: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Elect the 12 Board-recommended director nominees named in this Proxy Statement;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Ratify the selection of Ernst &amp; Young LLP as the Company’s independent registered public accounting firm for 2024;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Approve, on an advisory basis, named executive officer compensation;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Vote on Rule 14a-8 shareholder proposals, if properly presented at the meeting; and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both"/>
                              <w:rPr>
                                <w:rFonts w:ascii="arial" w:hAnsi="arial"/>
                                <w:i/>
                                <w:color w:val="3E3935"/>
                                <w:sz w:val="18"/>
                              </w:rPr>
                            </w:pPr>
                            <w:r>
                              <w:rPr>
                                <w:rFonts w:ascii="arial" w:hAnsi="arial"/>
                                <w:i/>
                                <w:color w:val="3E3935"/>
                                <w:sz w:val="18"/>
                              </w:rPr>
                              <w:t xml:space="preserve">Transact any other business that is properly presented at the meeting. </w:t>
                            </w:r>
                          </w:p>
                        </w:tc>
                      </w:tr>
                    </w:tbl>
                    <w:p>
                      <w:pPr>
                        <w:pStyle w:val="TextBody"/>
                        <w:bidi w:val="0"/>
                        <w:spacing w:before="120" w:after="0"/>
                        <w:jc w:val="both"/>
                        <w:rPr>
                          <w:rFonts w:ascii="arial" w:hAnsi="arial"/>
                          <w:sz w:val="18"/>
                        </w:rPr>
                      </w:pPr>
                      <w:r>
                        <w:rPr>
                          <w:rFonts w:ascii="arial" w:hAnsi="arial"/>
                          <w:color w:val="3E3935"/>
                          <w:sz w:val="18"/>
                        </w:rPr>
                        <w:t xml:space="preserve">A list of the Company’s registered shareholders will be available for examination for any purpose that is germane to the meeting for ten business days before the Annual Meeting. Shareholders may request to review the list by emailing the Company at </w:t>
                      </w:r>
                      <w:r>
                        <w:rPr>
                          <w:rFonts w:ascii="arial" w:hAnsi="arial"/>
                          <w:i/>
                          <w:color w:val="0071CE"/>
                          <w:sz w:val="18"/>
                        </w:rPr>
                        <w:t>shareholder.relations@gm.com</w:t>
                      </w:r>
                      <w:r>
                        <w:rPr>
                          <w:rFonts w:ascii="arial" w:hAnsi="arial"/>
                          <w:color w:val="3E3935"/>
                          <w:sz w:val="18"/>
                        </w:rPr>
                        <w:t xml:space="preserve">. </w:t>
                      </w:r>
                    </w:p>
                    <w:p>
                      <w:pPr>
                        <w:pStyle w:val="TextBody"/>
                        <w:bidi w:val="0"/>
                        <w:spacing w:before="120" w:after="0"/>
                        <w:jc w:val="both"/>
                        <w:rPr>
                          <w:rFonts w:ascii="arial" w:hAnsi="arial"/>
                          <w:color w:val="3E3935"/>
                          <w:sz w:val="18"/>
                        </w:rPr>
                      </w:pPr>
                      <w:r>
                        <w:rPr>
                          <w:rFonts w:ascii="arial" w:hAnsi="arial"/>
                          <w:color w:val="3E3935"/>
                          <w:sz w:val="18"/>
                        </w:rPr>
                        <w:t xml:space="preserve">This Proxy Statement is provided in conjunction with GM’s solicitation of proxies to be used at the Annual Meeting. For additional information about how to attend our Annual Meeting, see “General Information About the Annual Meeting” starting on page 87. </w:t>
                      </w:r>
                    </w:p>
                    <w:p>
                      <w:pPr>
                        <w:pStyle w:val="TextBody"/>
                        <w:bidi w:val="0"/>
                        <w:spacing w:before="120" w:after="0"/>
                        <w:jc w:val="both"/>
                        <w:rPr>
                          <w:rFonts w:ascii="arial" w:hAnsi="arial"/>
                          <w:color w:val="3E3935"/>
                          <w:sz w:val="18"/>
                        </w:rPr>
                      </w:pPr>
                      <w:r>
                        <w:rPr>
                          <w:rFonts w:ascii="arial" w:hAnsi="arial"/>
                          <w:color w:val="3E3935"/>
                          <w:sz w:val="18"/>
                        </w:rPr>
                        <w:t xml:space="preserve">Thank you for your continued investment in General Motors Company. </w:t>
                      </w:r>
                    </w:p>
                    <w:p>
                      <w:pPr>
                        <w:pStyle w:val="TextBody"/>
                        <w:bidi w:val="0"/>
                        <w:spacing w:before="120" w:after="0"/>
                        <w:jc w:val="both"/>
                        <w:rPr>
                          <w:rFonts w:ascii="arial" w:hAnsi="arial"/>
                          <w:color w:val="3E3935"/>
                          <w:sz w:val="18"/>
                        </w:rPr>
                      </w:pPr>
                      <w:r>
                        <w:rPr>
                          <w:rFonts w:ascii="arial" w:hAnsi="arial"/>
                          <w:color w:val="3E3935"/>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15570" cy="2476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11"/>
                                    <a:stretch>
                                      <a:fillRect/>
                                    </a:stretch>
                                  </pic:blipFill>
                                  <pic:spPr bwMode="auto">
                                    <a:xfrm>
                                      <a:off x="0" y="0"/>
                                      <a:ext cx="115570" cy="24765"/>
                                    </a:xfrm>
                                    <a:prstGeom prst="rect">
                                      <a:avLst/>
                                    </a:prstGeom>
                                  </pic:spPr>
                                </pic:pic>
                              </a:graphicData>
                            </a:graphic>
                          </wp:inline>
                        </w:drawing>
                      </w:r>
                      <w:r>
                        <w:rPr/>
                        <w:t xml:space="preserve">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140"/>
                        <w:gridCol w:w="60"/>
                        <w:gridCol w:w="2075"/>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20"/>
                              <w:jc w:val="center"/>
                              <w:rPr/>
                            </w:pPr>
                            <w:r>
                              <w:rPr/>
                              <w:drawing>
                                <wp:inline distT="0" distB="0" distL="0" distR="0">
                                  <wp:extent cx="41275" cy="4508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12"/>
                                          <a:stretch>
                                            <a:fillRect/>
                                          </a:stretch>
                                        </pic:blipFill>
                                        <pic:spPr bwMode="auto">
                                          <a:xfrm>
                                            <a:off x="0" y="0"/>
                                            <a:ext cx="41275" cy="4508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arial" w:hAnsi="arial"/>
                                <w:b/>
                                <w:color w:val="3E3935"/>
                                <w:sz w:val="18"/>
                              </w:rPr>
                            </w:pPr>
                            <w:r>
                              <w:rPr>
                                <w:rFonts w:ascii="arial" w:hAnsi="arial"/>
                                <w:b/>
                                <w:color w:val="3E3935"/>
                                <w:sz w:val="18"/>
                              </w:rPr>
                              <w:t>Craig Glidden</w:t>
                            </w:r>
                          </w:p>
                          <w:p>
                            <w:pPr>
                              <w:pStyle w:val="TableContents"/>
                              <w:bidi w:val="0"/>
                              <w:spacing w:before="0" w:after="0"/>
                              <w:jc w:val="left"/>
                              <w:rPr>
                                <w:rFonts w:ascii="arial" w:hAnsi="arial"/>
                                <w:color w:val="3E3935"/>
                                <w:sz w:val="18"/>
                              </w:rPr>
                            </w:pPr>
                            <w:r>
                              <w:rPr>
                                <w:rFonts w:ascii="arial" w:hAnsi="arial"/>
                                <w:color w:val="3E3935"/>
                                <w:sz w:val="18"/>
                              </w:rPr>
                              <w:t>Corporate Secretary</w:t>
                            </w:r>
                          </w:p>
                          <w:p>
                            <w:pPr>
                              <w:pStyle w:val="TableContents"/>
                              <w:bidi w:val="0"/>
                              <w:spacing w:before="0" w:after="0"/>
                              <w:jc w:val="left"/>
                              <w:rPr>
                                <w:rFonts w:ascii="arial" w:hAnsi="arial"/>
                                <w:color w:val="3E3935"/>
                                <w:sz w:val="18"/>
                              </w:rPr>
                            </w:pPr>
                            <w:r>
                              <w:rPr>
                                <w:rFonts w:ascii="arial" w:hAnsi="arial"/>
                                <w:color w:val="3E3935"/>
                                <w:sz w:val="18"/>
                              </w:rPr>
                              <w:t>300 Renaissance Center</w:t>
                            </w:r>
                          </w:p>
                          <w:p>
                            <w:pPr>
                              <w:pStyle w:val="TableContents"/>
                              <w:bidi w:val="0"/>
                              <w:spacing w:before="0" w:after="20"/>
                              <w:jc w:val="left"/>
                              <w:rPr>
                                <w:rFonts w:ascii="arial" w:hAnsi="arial"/>
                                <w:color w:val="3E3935"/>
                                <w:sz w:val="18"/>
                              </w:rPr>
                            </w:pPr>
                            <w:r>
                              <w:rPr>
                                <w:rFonts w:ascii="arial" w:hAnsi="arial"/>
                                <w:color w:val="3E3935"/>
                                <w:sz w:val="18"/>
                              </w:rPr>
                              <w:t>Detroit, Michigan 48265</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854"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255"/>
        <w:gridCol w:w="120"/>
        <w:gridCol w:w="60"/>
        <w:gridCol w:w="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80" w:type="dxa"/>
            <w:tcBorders/>
            <w:vAlign w:val="center"/>
          </w:tcPr>
          <w:p>
            <w:pPr>
              <w:pStyle w:val="TableContents"/>
              <w:bidi w:val="0"/>
              <w:spacing w:before="0" w:after="283"/>
              <w:jc w:val="right"/>
              <w:rPr>
                <w:b/>
                <w:color w:val="0071CE"/>
              </w:rPr>
            </w:pPr>
            <w:r>
              <w:rPr>
                <w:b/>
                <w:color w:val="0071CE"/>
              </w:rPr>
              <w:t>i</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0071CE"/>
          <w:sz w:val="64"/>
        </w:rPr>
      </w:pPr>
      <w:r>
        <w:rPr>
          <w:rFonts w:ascii="arial" w:hAnsi="arial"/>
          <w:color w:val="0071CE"/>
          <w:sz w:val="64"/>
        </w:rPr>
        <w:t xml:space="preserve">To Our Fellow Shareholders, </w:t>
      </w:r>
    </w:p>
    <w:p>
      <w:pPr>
        <w:pStyle w:val="TextBody"/>
        <w:bidi w:val="0"/>
        <w:spacing w:before="360" w:after="0"/>
        <w:jc w:val="left"/>
        <w:rPr>
          <w:rFonts w:ascii="arial" w:hAnsi="arial"/>
          <w:b/>
          <w:color w:val="3E3935"/>
          <w:sz w:val="26"/>
        </w:rPr>
      </w:pPr>
      <w:r>
        <w:rPr>
          <w:rFonts w:ascii="arial" w:hAnsi="arial"/>
          <w:b/>
          <w:color w:val="3E3935"/>
          <w:sz w:val="26"/>
        </w:rPr>
        <w:t xml:space="preserve">2023 Performance Fueling 2024 Execution </w:t>
      </w:r>
    </w:p>
    <w:p>
      <w:pPr>
        <w:pStyle w:val="TextBody"/>
        <w:bidi w:val="0"/>
        <w:spacing w:before="120" w:after="0"/>
        <w:jc w:val="both"/>
        <w:rPr>
          <w:rFonts w:ascii="arial" w:hAnsi="arial"/>
          <w:color w:val="3E3935"/>
          <w:sz w:val="18"/>
        </w:rPr>
      </w:pPr>
      <w:r>
        <w:rPr>
          <w:rFonts w:ascii="arial" w:hAnsi="arial"/>
          <w:color w:val="3E3935"/>
          <w:sz w:val="18"/>
        </w:rPr>
        <w:t xml:space="preserve">As 2024 progresses, the Board believes GM is well-positioned for a year of strong financial and operational performance that will build on everything the Company accomplished – and learned – in 2023. Last year, we succeeded in optimizing our core business to continue investing in our future. In addition to growing our revenue by approximately 10 percent year-over-over, we reported net income attributable to stockholders of $10.1 billion and EBIT-adjusted of $12.4 billion, which marked the third consecutive year of reaching or exceeding our financial targets. According to J.D. Power, GM led the industry in initial quality for the second year in a row, so it is no surprise that we also led the industry in U.S. sales, and all our U.S. brands grew their sales year-over-year. We gained U.S. market share while maintaining healthy margins thanks to stable pricing and incentive discipline. We also generated very strong free cash flow, which is allowing us to return significant capital to shareholders, including through the $10.0 billion accelerated share repurchase program we announced in November 2023, and through additional share repurchases and an increased quarterly dividend rate this year. </w:t>
      </w:r>
    </w:p>
    <w:p>
      <w:pPr>
        <w:pStyle w:val="TextBody"/>
        <w:bidi w:val="0"/>
        <w:spacing w:before="120" w:after="0"/>
        <w:jc w:val="both"/>
        <w:rPr>
          <w:rFonts w:ascii="arial" w:hAnsi="arial"/>
          <w:color w:val="3E3935"/>
          <w:sz w:val="18"/>
        </w:rPr>
      </w:pPr>
      <w:r>
        <w:rPr>
          <w:rFonts w:ascii="arial" w:hAnsi="arial"/>
          <w:color w:val="3E3935"/>
          <w:sz w:val="18"/>
        </w:rPr>
        <w:t xml:space="preserve">As GM makes progress on its path of fundamental transformation, we continue to refine our plan. We learned a lot from the challenges of 2023, and those learnings are helping us build on our strengths, address our issues, and make the necessary changes to create an even stronger GM. Our priorities and commitments for 2024 and beyond are clear: We plan to maximize the opportunities we have with our winning ICE portfolio, grow our EV business profitably, deliver innovative software and services solutions, and continue progressing AV technology and relaunching AV operations through Cruise – all while driving strong financial performance and maintaining our commitments to safety, culture, and a leading customer experience. We are well-positioned for success in 2024 with refreshed ICE launches, including the next-generation Chevrolet Traverse and Equinox and GMC Acadia, higher production of Ultium EVs like the Cadillac LYRIQ, GMC HUMMER EV, and Chevrolet Blazer EV, and new EV launches, including the Chevrolet Equinox EV and Silverado EV RST, GMC Sierra EV Denali, and Cadillac Escalade IQ, all of which are arriving in showrooms this year.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1301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13"/>
                    <a:stretch>
                      <a:fillRect/>
                    </a:stretch>
                  </pic:blipFill>
                  <pic:spPr bwMode="auto">
                    <a:xfrm>
                      <a:off x="0" y="0"/>
                      <a:ext cx="567055" cy="130175"/>
                    </a:xfrm>
                    <a:prstGeom prst="rect">
                      <a:avLst/>
                    </a:prstGeom>
                  </pic:spPr>
                </pic:pic>
              </a:graphicData>
            </a:graphic>
          </wp:inline>
        </w:drawing>
      </w:r>
      <w:r>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Driving Accountability </w:t>
      </w:r>
    </w:p>
    <w:p>
      <w:pPr>
        <w:pStyle w:val="TextBody"/>
        <w:bidi w:val="0"/>
        <w:spacing w:before="120" w:after="0"/>
        <w:jc w:val="both"/>
        <w:rPr>
          <w:rFonts w:ascii="arial" w:hAnsi="arial"/>
          <w:color w:val="3E3935"/>
          <w:sz w:val="18"/>
        </w:rPr>
      </w:pPr>
      <w:r>
        <w:rPr>
          <w:rFonts w:ascii="arial" w:hAnsi="arial"/>
          <w:color w:val="3E3935"/>
          <w:sz w:val="18"/>
        </w:rPr>
        <w:t xml:space="preserve">With these priorities in mind, the Compensation Committee made several key enhancements to our compensation plans for 2024 that we believe will drive execution and hold management accountable for performance against specific, near-term strategic goals aligned with the four strategic pillars identified above. Moving forward, short-term incentive compensation for eligible employees will depend both upon financial performance and the Company’s ability to achieve certain goals mapped to these pillars. At the same time, we are evolving our long-term incentive programs to more closely align compensation with total shareholder returns. Together, these enhancements will drive near-term execution, long-term shareholder value, and help attract and retain key talent. For a full description of these enhancements, please see Compensation Committee Chair Wes Bush’s letter to shareholders and the Compensation Discussion and Analysis beginning on page 42. </w:t>
      </w:r>
    </w:p>
    <w:p>
      <w:pPr>
        <w:pStyle w:val="TextBody"/>
        <w:bidi w:val="0"/>
        <w:spacing w:before="0" w:after="0"/>
        <w:jc w:val="left"/>
        <w:rPr/>
      </w:pPr>
      <w:r>
        <w:rPr/>
        <w:t> </w:t>
      </w:r>
    </w:p>
    <w:tbl>
      <w:tblPr>
        <w:tblW w:w="731" w:type="dxa"/>
        <w:jc w:val="left"/>
        <w:tblInd w:w="0" w:type="dxa"/>
        <w:tblLayout w:type="fixed"/>
        <w:tblCellMar>
          <w:top w:w="0" w:type="dxa"/>
          <w:left w:w="0" w:type="dxa"/>
          <w:bottom w:w="0" w:type="dxa"/>
          <w:right w:w="0" w:type="dxa"/>
        </w:tblCellMar>
      </w:tblPr>
      <w:tblGrid>
        <w:gridCol w:w="155"/>
        <w:gridCol w:w="60"/>
        <w:gridCol w:w="192"/>
        <w:gridCol w:w="60"/>
        <w:gridCol w:w="23"/>
        <w:gridCol w:w="60"/>
        <w:gridCol w:w="23"/>
        <w:gridCol w:w="12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1CE"/>
              </w:rPr>
            </w:pPr>
            <w:r>
              <w:rPr>
                <w:b/>
                <w:color w:val="0071CE"/>
              </w:rPr>
              <w:t>ii</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14"/>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9606"/>
        <w:gridCol w:w="60"/>
        <w:gridCol w:w="23"/>
        <w:gridCol w:w="60"/>
        <w:gridCol w:w="456"/>
      </w:tblGrid>
      <w:tr>
        <w:trPr/>
        <w:tc>
          <w:tcPr>
            <w:tcW w:w="9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9606"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9606"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3E3935"/>
                <w:sz w:val="26"/>
              </w:rPr>
            </w:pPr>
            <w:r>
              <w:rPr>
                <w:rFonts w:ascii="arial" w:hAnsi="arial"/>
                <w:b/>
                <w:color w:val="3E3935"/>
                <w:sz w:val="26"/>
              </w:rPr>
              <w:t>Accelerating a Winning Team</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color w:val="3E3935"/>
                <w:sz w:val="18"/>
              </w:rPr>
              <w:t>Over the past few years, we have made a number of important moves that will help the Company execute its strategic plan, manage succession, and create shareholder value. They include enhancing the blend of relevant skills and experience on the Board with new directors Joanne Crevoiserat, Jon McNeill, Mark Tatum, and Jan Tighe. As we continue this work, Aneel Bhusri will not stand for re-election at the Annual Meeting. The Board is grateful for Aneel’s service and contributions to GM since 2021 - particularly his insights on software and technology that have helped shape our strategy. While Aneel will no longer serve on our Board, we are pleased to announce that the Company will continue to benefit from his expertise as he will be joining the GM Cruise Holdings LLC board of directors in support of our AV future.</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color w:val="3E3935"/>
                <w:sz w:val="18"/>
              </w:rPr>
              <w:t>In addition to changes to Board Composition, we have made changes to our senior leadership team to support the Company’s continued transformation and growth. We have promoted internal leaders following purposeful professional development and injected the team with fresh perspectives from complex, global companies and technology leaders like Apple, Google, and CVS Health, among others. These new leaders have broadened our perspectives and shifted the team closer to our customer composition, while making us more willing to ask the tough questions, quicker to solve the hard problems, and better positioned to compete smarter.</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color w:val="3E3935"/>
                <w:sz w:val="18"/>
              </w:rPr>
              <w:t>Providing for continuity of leadership at the senior management level is among the most important things we do on the Board. It is critical to the Company’s success, and the Board will continue to place a high priority on robust talent development and attraction.</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color w:val="3E3935"/>
                <w:sz w:val="18"/>
              </w:rPr>
              <w:t>For details regarding our Board refreshment and succession planning, see page 17, and for details regarding our CEO and senior management succession planning, see page 31.</w:t>
            </w:r>
          </w:p>
          <w:p>
            <w:pPr>
              <w:pStyle w:val="TableContents"/>
              <w:bidi w:val="0"/>
              <w:spacing w:before="0" w:after="0"/>
              <w:jc w:val="left"/>
              <w:rPr/>
            </w:pPr>
            <w:r>
              <w:rPr/>
              <w:t> </w:t>
            </w:r>
          </w:p>
          <w:p>
            <w:pPr>
              <w:pStyle w:val="TableContents"/>
              <w:bidi w:val="0"/>
              <w:spacing w:before="0" w:after="0"/>
              <w:jc w:val="left"/>
              <w:rPr>
                <w:rFonts w:ascii="arial" w:hAnsi="arial"/>
                <w:b/>
                <w:color w:val="3E3935"/>
                <w:sz w:val="26"/>
              </w:rPr>
            </w:pPr>
            <w:r>
              <w:rPr>
                <w:rFonts w:ascii="arial" w:hAnsi="arial"/>
                <w:b/>
                <w:color w:val="3E3935"/>
                <w:sz w:val="26"/>
              </w:rPr>
              <w:t>Annual Meeting Preview</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color w:val="3E3935"/>
                <w:sz w:val="18"/>
              </w:rPr>
              <w:t>At the Annual Meeting, we will provide an update on the Company’s transformation and performance, vote on several items related to our business, and shareholders will have the opportunity to ask questions. We encourage you to review this Proxy Statement to learn more about the Board, our governance practices, compensation programs and philosophy, and other important developments and priorities at GM.</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Sincerely,</w:t>
            </w:r>
          </w:p>
          <w:p>
            <w:pPr>
              <w:pStyle w:val="TableContents"/>
              <w:bidi w:val="0"/>
              <w:spacing w:before="0" w:after="0"/>
              <w:jc w:val="left"/>
              <w:rPr/>
            </w:pPr>
            <w:r>
              <w:rPr/>
              <w:t> </w:t>
            </w:r>
          </w:p>
          <w:p>
            <w:pPr>
              <w:pStyle w:val="TableContents"/>
              <w:bidi w:val="0"/>
              <w:spacing w:before="0" w:after="20"/>
              <w:jc w:val="left"/>
              <w:rPr>
                <w:rFonts w:ascii="arial" w:hAnsi="arial"/>
                <w:color w:val="3E3935"/>
                <w:sz w:val="18"/>
              </w:rPr>
            </w:pPr>
            <w:r>
              <w:rPr>
                <w:rFonts w:ascii="arial" w:hAnsi="arial"/>
                <w:color w:val="3E3935"/>
                <w:sz w:val="18"/>
              </w:rPr>
              <w:t>Your 2024 GM Board of Directors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0"/>
              <w:jc w:val="both"/>
              <w:rPr/>
            </w:pPr>
            <w:r>
              <w:rPr/>
              <w:drawing>
                <wp:inline distT="0" distB="0" distL="0" distR="0">
                  <wp:extent cx="274955" cy="106299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5"/>
                          <a:stretch>
                            <a:fillRect/>
                          </a:stretch>
                        </pic:blipFill>
                        <pic:spPr bwMode="auto">
                          <a:xfrm>
                            <a:off x="0" y="0"/>
                            <a:ext cx="274955" cy="106299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t> </w:t>
      </w:r>
    </w:p>
    <w:tbl>
      <w:tblPr>
        <w:tblW w:w="2974"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255"/>
        <w:gridCol w:w="120"/>
        <w:gridCol w:w="60"/>
        <w:gridCol w:w="20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00" w:type="dxa"/>
            <w:tcBorders/>
            <w:vAlign w:val="center"/>
          </w:tcPr>
          <w:p>
            <w:pPr>
              <w:pStyle w:val="TableContents"/>
              <w:bidi w:val="0"/>
              <w:spacing w:before="0" w:after="283"/>
              <w:jc w:val="right"/>
              <w:rPr>
                <w:b/>
                <w:color w:val="0071CE"/>
              </w:rPr>
            </w:pPr>
            <w:r>
              <w:rPr>
                <w:b/>
                <w:color w:val="0071CE"/>
              </w:rPr>
              <w:t>iii</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bookmarkStart w:id="2" w:name="toc"/>
      <w:bookmarkEnd w:id="2"/>
      <w:r>
        <w:rPr>
          <w:rFonts w:ascii="arial" w:hAnsi="arial"/>
          <w:color w:val="3E3935"/>
          <w:sz w:val="64"/>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3110230" cy="9972040"/>
                <wp:effectExtent l="0" t="0" r="0" b="0"/>
                <wp:wrapSquare wrapText="right"/>
                <wp:docPr id="17" name="Frame3"/>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1">
                                    <w:r>
                                      <w:rPr>
                                        <w:rStyle w:val="InternetLink"/>
                                        <w:b/>
                                        <w:color w:val="3E3935"/>
                                      </w:rPr>
                                      <w:t>Proxy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2">
                                    <w:r>
                                      <w:rPr>
                                        <w:rStyle w:val="InternetLink"/>
                                        <w:b/>
                                        <w:color w:val="3E3935"/>
                                      </w:rPr>
                                      <w:t>ITEM NO. 1 — Annual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9</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3">
                                    <w:r>
                                      <w:rPr>
                                        <w:rStyle w:val="InternetLink"/>
                                        <w:rFonts w:ascii="arial" w:hAnsi="arial"/>
                                        <w:color w:val="3E3935"/>
                                        <w:sz w:val="18"/>
                                      </w:rPr>
                                      <w:t>Board experience and expertise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10</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4">
                                    <w:r>
                                      <w:rPr>
                                        <w:rStyle w:val="InternetLink"/>
                                        <w:rFonts w:ascii="arial" w:hAnsi="arial"/>
                                        <w:color w:val="3E3935"/>
                                        <w:sz w:val="18"/>
                                      </w:rPr>
                                      <w:t>Skills matrix</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10</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5">
                                    <w:r>
                                      <w:rPr>
                                        <w:rStyle w:val="InternetLink"/>
                                        <w:rFonts w:ascii="arial" w:hAnsi="arial"/>
                                        <w:color w:val="3E3935"/>
                                        <w:sz w:val="18"/>
                                      </w:rPr>
                                      <w:t>Director nominee biographies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6">
                                    <w:r>
                                      <w:rPr>
                                        <w:rStyle w:val="InternetLink"/>
                                        <w:rFonts w:ascii="arial" w:hAnsi="arial"/>
                                        <w:color w:val="3E3935"/>
                                        <w:sz w:val="18"/>
                                      </w:rPr>
                                      <w:t>Board membership criteria, refreshment, and succession planning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17</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7">
                                    <w:r>
                                      <w:rPr>
                                        <w:rStyle w:val="InternetLink"/>
                                        <w:rFonts w:ascii="arial" w:hAnsi="arial"/>
                                        <w:color w:val="3E3935"/>
                                        <w:sz w:val="18"/>
                                      </w:rPr>
                                      <w:t>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18</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8">
                                    <w:r>
                                      <w:rPr>
                                        <w:rStyle w:val="InternetLink"/>
                                        <w:b/>
                                        <w:color w:val="3E3935"/>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22</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9">
                                    <w:r>
                                      <w:rPr>
                                        <w:rStyle w:val="InternetLink"/>
                                        <w:rFonts w:ascii="arial" w:hAnsi="arial"/>
                                        <w:color w:val="3E3935"/>
                                        <w:sz w:val="18"/>
                                      </w:rPr>
                                      <w:t>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22</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0">
                                    <w:r>
                                      <w:rPr>
                                        <w:rStyle w:val="InternetLink"/>
                                        <w:rFonts w:ascii="arial" w:hAnsi="arial"/>
                                        <w:color w:val="3E3935"/>
                                        <w:sz w:val="18"/>
                                      </w:rPr>
                                      <w:t>Board leadership structure and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22</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1">
                                    <w:r>
                                      <w:rPr>
                                        <w:rStyle w:val="InternetLink"/>
                                        <w:rFonts w:ascii="arial" w:hAnsi="arial"/>
                                        <w:color w:val="3E3935"/>
                                        <w:sz w:val="18"/>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23</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2">
                                    <w:r>
                                      <w:rPr>
                                        <w:rStyle w:val="InternetLink"/>
                                        <w:rFonts w:ascii="arial" w:hAnsi="arial"/>
                                        <w:color w:val="3E3935"/>
                                        <w:sz w:val="18"/>
                                      </w:rPr>
                                      <w:t>Board and committee oversight of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28</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3">
                                    <w:r>
                                      <w:rPr>
                                        <w:rStyle w:val="InternetLink"/>
                                        <w:rFonts w:ascii="arial" w:hAnsi="arial"/>
                                        <w:color w:val="3E3935"/>
                                        <w:sz w:val="18"/>
                                      </w:rPr>
                                      <w:t>The board’s governance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31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4">
                                    <w:r>
                                      <w:rPr>
                                        <w:rStyle w:val="InternetLink"/>
                                        <w:rFonts w:ascii="arial" w:hAnsi="arial"/>
                                        <w:color w:val="3E3935"/>
                                        <w:sz w:val="18"/>
                                      </w:rPr>
                                      <w:t>Corporate political contributions and lobbying expenditures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33</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5">
                                    <w:r>
                                      <w:rPr>
                                        <w:rStyle w:val="InternetLink"/>
                                        <w:rFonts w:ascii="arial" w:hAnsi="arial"/>
                                        <w:color w:val="3E3935"/>
                                        <w:sz w:val="18"/>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34</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16">
                                    <w:r>
                                      <w:rPr>
                                        <w:rStyle w:val="InternetLink"/>
                                        <w:b/>
                                        <w:color w:val="3E3935"/>
                                      </w:rPr>
                                      <w:t>Security Ownership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36</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17">
                                    <w:r>
                                      <w:rPr>
                                        <w:rStyle w:val="InternetLink"/>
                                        <w:b/>
                                        <w:color w:val="3E3935"/>
                                      </w:rPr>
                                      <w:t>ITEM NO. 2 — Proposal to Ratify the Selection of Ernst &amp; Young LLP as the Company’s Independent Registered Public Accounting Firm for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38</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18">
                                    <w:r>
                                      <w:rPr>
                                        <w:rStyle w:val="InternetLink"/>
                                        <w:b/>
                                        <w:color w:val="3E3935"/>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39</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9">
                                    <w:r>
                                      <w:rPr>
                                        <w:rStyle w:val="InternetLink"/>
                                        <w:rFonts w:ascii="arial" w:hAnsi="arial"/>
                                        <w:color w:val="3E3935"/>
                                        <w:sz w:val="18"/>
                                      </w:rPr>
                                      <w:t>Fees paid to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40</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20">
                                    <w:r>
                                      <w:rPr>
                                        <w:rStyle w:val="InternetLink"/>
                                        <w:b/>
                                        <w:color w:val="3E3935"/>
                                      </w:rPr>
                                      <w:t>ITEM NO. 3 — Proposal to Approve, on an Advisory Basis,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41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21">
                                    <w:r>
                                      <w:rPr>
                                        <w:rStyle w:val="InternetLink"/>
                                        <w:b/>
                                        <w:color w:val="3E3935"/>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42</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22">
                                    <w:r>
                                      <w:rPr>
                                        <w:rStyle w:val="InternetLink"/>
                                        <w:rFonts w:ascii="arial" w:hAnsi="arial"/>
                                        <w:color w:val="3E3935"/>
                                        <w:sz w:val="18"/>
                                      </w:rPr>
                                      <w:t>Our company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43</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23">
                                    <w:r>
                                      <w:rPr>
                                        <w:rStyle w:val="InternetLink"/>
                                        <w:rFonts w:ascii="arial" w:hAnsi="arial"/>
                                        <w:color w:val="3E3935"/>
                                        <w:sz w:val="18"/>
                                      </w:rPr>
                                      <w:t>Compensation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45</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25">
                                    <w:r>
                                      <w:rPr>
                                        <w:rStyle w:val="InternetLink"/>
                                        <w:rFonts w:ascii="arial" w:hAnsi="arial"/>
                                        <w:color w:val="3E3935"/>
                                        <w:sz w:val="18"/>
                                      </w:rPr>
                                      <w:t>Compensation elements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51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26">
                                    <w:r>
                                      <w:rPr>
                                        <w:rStyle w:val="InternetLink"/>
                                        <w:rFonts w:ascii="arial" w:hAnsi="arial"/>
                                        <w:color w:val="3E3935"/>
                                        <w:sz w:val="18"/>
                                      </w:rPr>
                                      <w:t>Performance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52</w:t>
                                  </w:r>
                                </w:p>
                              </w:tc>
                              <w:tc>
                                <w:tcPr>
                                  <w:tcW w:w="75" w:type="dxa"/>
                                  <w:tcBorders/>
                                  <w:vAlign w:val="center"/>
                                </w:tcPr>
                                <w:p>
                                  <w:pPr>
                                    <w:pStyle w:val="TableContents"/>
                                    <w:bidi w:val="0"/>
                                    <w:spacing w:before="0" w:after="283"/>
                                    <w:jc w:val="left"/>
                                    <w:rPr>
                                      <w:color w:val="3E3935"/>
                                    </w:rPr>
                                  </w:pPr>
                                  <w:r>
                                    <w:rPr>
                                      <w:color w:val="3E3935"/>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1">
                              <w:r>
                                <w:rPr>
                                  <w:rStyle w:val="InternetLink"/>
                                  <w:b/>
                                  <w:color w:val="3E3935"/>
                                </w:rPr>
                                <w:t>Proxy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2">
                              <w:r>
                                <w:rPr>
                                  <w:rStyle w:val="InternetLink"/>
                                  <w:b/>
                                  <w:color w:val="3E3935"/>
                                </w:rPr>
                                <w:t>ITEM NO. 1 — Annual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9</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3">
                              <w:r>
                                <w:rPr>
                                  <w:rStyle w:val="InternetLink"/>
                                  <w:rFonts w:ascii="arial" w:hAnsi="arial"/>
                                  <w:color w:val="3E3935"/>
                                  <w:sz w:val="18"/>
                                </w:rPr>
                                <w:t>Board experience and expertise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10</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4">
                              <w:r>
                                <w:rPr>
                                  <w:rStyle w:val="InternetLink"/>
                                  <w:rFonts w:ascii="arial" w:hAnsi="arial"/>
                                  <w:color w:val="3E3935"/>
                                  <w:sz w:val="18"/>
                                </w:rPr>
                                <w:t>Skills matrix</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10</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5">
                              <w:r>
                                <w:rPr>
                                  <w:rStyle w:val="InternetLink"/>
                                  <w:rFonts w:ascii="arial" w:hAnsi="arial"/>
                                  <w:color w:val="3E3935"/>
                                  <w:sz w:val="18"/>
                                </w:rPr>
                                <w:t>Director nominee biographies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6">
                              <w:r>
                                <w:rPr>
                                  <w:rStyle w:val="InternetLink"/>
                                  <w:rFonts w:ascii="arial" w:hAnsi="arial"/>
                                  <w:color w:val="3E3935"/>
                                  <w:sz w:val="18"/>
                                </w:rPr>
                                <w:t>Board membership criteria, refreshment, and succession planning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17</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7">
                              <w:r>
                                <w:rPr>
                                  <w:rStyle w:val="InternetLink"/>
                                  <w:rFonts w:ascii="arial" w:hAnsi="arial"/>
                                  <w:color w:val="3E3935"/>
                                  <w:sz w:val="18"/>
                                </w:rPr>
                                <w:t>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18</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8">
                              <w:r>
                                <w:rPr>
                                  <w:rStyle w:val="InternetLink"/>
                                  <w:b/>
                                  <w:color w:val="3E3935"/>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22</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9">
                              <w:r>
                                <w:rPr>
                                  <w:rStyle w:val="InternetLink"/>
                                  <w:rFonts w:ascii="arial" w:hAnsi="arial"/>
                                  <w:color w:val="3E3935"/>
                                  <w:sz w:val="18"/>
                                </w:rPr>
                                <w:t>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22</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0">
                              <w:r>
                                <w:rPr>
                                  <w:rStyle w:val="InternetLink"/>
                                  <w:rFonts w:ascii="arial" w:hAnsi="arial"/>
                                  <w:color w:val="3E3935"/>
                                  <w:sz w:val="18"/>
                                </w:rPr>
                                <w:t>Board leadership structure and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22</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1">
                              <w:r>
                                <w:rPr>
                                  <w:rStyle w:val="InternetLink"/>
                                  <w:rFonts w:ascii="arial" w:hAnsi="arial"/>
                                  <w:color w:val="3E3935"/>
                                  <w:sz w:val="18"/>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23</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2">
                              <w:r>
                                <w:rPr>
                                  <w:rStyle w:val="InternetLink"/>
                                  <w:rFonts w:ascii="arial" w:hAnsi="arial"/>
                                  <w:color w:val="3E3935"/>
                                  <w:sz w:val="18"/>
                                </w:rPr>
                                <w:t>Board and committee oversight of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28</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3">
                              <w:r>
                                <w:rPr>
                                  <w:rStyle w:val="InternetLink"/>
                                  <w:rFonts w:ascii="arial" w:hAnsi="arial"/>
                                  <w:color w:val="3E3935"/>
                                  <w:sz w:val="18"/>
                                </w:rPr>
                                <w:t>The board’s governance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31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4">
                              <w:r>
                                <w:rPr>
                                  <w:rStyle w:val="InternetLink"/>
                                  <w:rFonts w:ascii="arial" w:hAnsi="arial"/>
                                  <w:color w:val="3E3935"/>
                                  <w:sz w:val="18"/>
                                </w:rPr>
                                <w:t>Corporate political contributions and lobbying expenditures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33</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5">
                              <w:r>
                                <w:rPr>
                                  <w:rStyle w:val="InternetLink"/>
                                  <w:rFonts w:ascii="arial" w:hAnsi="arial"/>
                                  <w:color w:val="3E3935"/>
                                  <w:sz w:val="18"/>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34</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16">
                              <w:r>
                                <w:rPr>
                                  <w:rStyle w:val="InternetLink"/>
                                  <w:b/>
                                  <w:color w:val="3E3935"/>
                                </w:rPr>
                                <w:t>Security Ownership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36</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17">
                              <w:r>
                                <w:rPr>
                                  <w:rStyle w:val="InternetLink"/>
                                  <w:b/>
                                  <w:color w:val="3E3935"/>
                                </w:rPr>
                                <w:t>ITEM NO. 2 — Proposal to Ratify the Selection of Ernst &amp; Young LLP as the Company’s Independent Registered Public Accounting Firm for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38</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18">
                              <w:r>
                                <w:rPr>
                                  <w:rStyle w:val="InternetLink"/>
                                  <w:b/>
                                  <w:color w:val="3E3935"/>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39</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19">
                              <w:r>
                                <w:rPr>
                                  <w:rStyle w:val="InternetLink"/>
                                  <w:rFonts w:ascii="arial" w:hAnsi="arial"/>
                                  <w:color w:val="3E3935"/>
                                  <w:sz w:val="18"/>
                                </w:rPr>
                                <w:t>Fees paid to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40</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20">
                              <w:r>
                                <w:rPr>
                                  <w:rStyle w:val="InternetLink"/>
                                  <w:b/>
                                  <w:color w:val="3E3935"/>
                                </w:rPr>
                                <w:t>ITEM NO. 3 — Proposal to Approve, on an Advisory Basis,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41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648661_21">
                              <w:r>
                                <w:rPr>
                                  <w:rStyle w:val="InternetLink"/>
                                  <w:b/>
                                  <w:color w:val="3E3935"/>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b/>
                                <w:color w:val="3E3935"/>
                              </w:rPr>
                            </w:pPr>
                            <w:r>
                              <w:rPr>
                                <w:b/>
                                <w:color w:val="3E3935"/>
                              </w:rPr>
                              <w:t>42</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22">
                              <w:r>
                                <w:rPr>
                                  <w:rStyle w:val="InternetLink"/>
                                  <w:rFonts w:ascii="arial" w:hAnsi="arial"/>
                                  <w:color w:val="3E3935"/>
                                  <w:sz w:val="18"/>
                                </w:rPr>
                                <w:t>Our company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43</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23">
                              <w:r>
                                <w:rPr>
                                  <w:rStyle w:val="InternetLink"/>
                                  <w:rFonts w:ascii="arial" w:hAnsi="arial"/>
                                  <w:color w:val="3E3935"/>
                                  <w:sz w:val="18"/>
                                </w:rPr>
                                <w:t>Compensation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45</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25">
                              <w:r>
                                <w:rPr>
                                  <w:rStyle w:val="InternetLink"/>
                                  <w:rFonts w:ascii="arial" w:hAnsi="arial"/>
                                  <w:color w:val="3E3935"/>
                                  <w:sz w:val="18"/>
                                </w:rPr>
                                <w:t>Compensation elements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51</w:t>
                            </w:r>
                          </w:p>
                        </w:tc>
                        <w:tc>
                          <w:tcPr>
                            <w:tcW w:w="75" w:type="dxa"/>
                            <w:tcBorders/>
                            <w:vAlign w:val="center"/>
                          </w:tcPr>
                          <w:p>
                            <w:pPr>
                              <w:pStyle w:val="TableContents"/>
                              <w:bidi w:val="0"/>
                              <w:spacing w:before="0" w:after="283"/>
                              <w:jc w:val="left"/>
                              <w:rPr>
                                <w:color w:val="3E3935"/>
                              </w:rPr>
                            </w:pPr>
                            <w:r>
                              <w:rPr>
                                <w:color w:val="3E3935"/>
                              </w:rPr>
                              <w:t> </w:t>
                            </w:r>
                          </w:p>
                        </w:tc>
                      </w:tr>
                      <w:tr>
                        <w:trPr/>
                        <w:tc>
                          <w:tcPr>
                            <w:tcW w:w="9690" w:type="dxa"/>
                            <w:tcBorders/>
                            <w:vAlign w:val="center"/>
                          </w:tcPr>
                          <w:p>
                            <w:pPr>
                              <w:pStyle w:val="TableContents"/>
                              <w:bidi w:val="0"/>
                              <w:spacing w:before="0" w:after="0"/>
                              <w:jc w:val="left"/>
                              <w:rPr/>
                            </w:pPr>
                            <w:r>
                              <w:rPr>
                                <w:color w:val="00C1DE"/>
                              </w:rPr>
                              <w:t>•</w:t>
                            </w:r>
                            <w:r>
                              <w:rPr>
                                <w:color w:val="3E3935"/>
                              </w:rPr>
                              <w:t> </w:t>
                            </w:r>
                            <w:hyperlink w:anchor="toc648661_26">
                              <w:r>
                                <w:rPr>
                                  <w:rStyle w:val="InternetLink"/>
                                  <w:rFonts w:ascii="arial" w:hAnsi="arial"/>
                                  <w:color w:val="3E3935"/>
                                  <w:sz w:val="18"/>
                                </w:rPr>
                                <w:t>Performance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260" w:type="dxa"/>
                            <w:tcBorders/>
                            <w:vAlign w:val="center"/>
                          </w:tcPr>
                          <w:p>
                            <w:pPr>
                              <w:pStyle w:val="TableContents"/>
                              <w:bidi w:val="0"/>
                              <w:spacing w:before="0" w:after="283"/>
                              <w:jc w:val="right"/>
                              <w:rPr>
                                <w:color w:val="3E3935"/>
                              </w:rPr>
                            </w:pPr>
                            <w:r>
                              <w:rPr>
                                <w:color w:val="3E3935"/>
                              </w:rPr>
                              <w:t>52</w:t>
                            </w:r>
                          </w:p>
                        </w:tc>
                        <w:tc>
                          <w:tcPr>
                            <w:tcW w:w="75" w:type="dxa"/>
                            <w:tcBorders/>
                            <w:vAlign w:val="center"/>
                          </w:tcPr>
                          <w:p>
                            <w:pPr>
                              <w:pStyle w:val="TableContents"/>
                              <w:bidi w:val="0"/>
                              <w:spacing w:before="0" w:after="283"/>
                              <w:jc w:val="left"/>
                              <w:rPr>
                                <w:color w:val="3E3935"/>
                              </w:rPr>
                            </w:pPr>
                            <w:r>
                              <w:rPr>
                                <w:color w:val="3E3935"/>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175000" cy="9972040"/>
                <wp:effectExtent l="0" t="0" r="0" b="0"/>
                <wp:wrapSquare wrapText="right"/>
                <wp:docPr id="18" name="Frame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03"/>
                              <w:gridCol w:w="120"/>
                              <w:gridCol w:w="60"/>
                              <w:gridCol w:w="346"/>
                              <w:gridCol w:w="76"/>
                            </w:tblGrid>
                            <w:tr>
                              <w:trPr/>
                              <w:tc>
                                <w:tcPr>
                                  <w:tcW w:w="96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27">
                                    <w:r>
                                      <w:rPr>
                                        <w:rStyle w:val="InternetLink"/>
                                        <w:rFonts w:ascii="arial" w:hAnsi="arial"/>
                                        <w:color w:val="3E3935"/>
                                        <w:sz w:val="18"/>
                                      </w:rPr>
                                      <w:t>Performance results and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56</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28">
                                    <w:r>
                                      <w:rPr>
                                        <w:rStyle w:val="InternetLink"/>
                                        <w:rFonts w:ascii="arial" w:hAnsi="arial"/>
                                        <w:color w:val="3E3935"/>
                                        <w:sz w:val="18"/>
                                      </w:rPr>
                                      <w:t>Compensation policies and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62</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29">
                                    <w:r>
                                      <w:rPr>
                                        <w:rStyle w:val="InternetLink"/>
                                        <w:rFonts w:ascii="arial" w:hAnsi="arial"/>
                                        <w:color w:val="3E3935"/>
                                        <w:sz w:val="18"/>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65</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30">
                                    <w:r>
                                      <w:rPr>
                                        <w:rStyle w:val="InternetLink"/>
                                        <w:b/>
                                        <w:color w:val="3E3935"/>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66</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1">
                                    <w:r>
                                      <w:rPr>
                                        <w:rStyle w:val="InternetLink"/>
                                        <w:rFonts w:ascii="arial" w:hAnsi="arial"/>
                                        <w:color w:val="3E3935"/>
                                        <w:sz w:val="18"/>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66</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2">
                                    <w:r>
                                      <w:rPr>
                                        <w:rStyle w:val="InternetLink"/>
                                        <w:rFonts w:ascii="arial" w:hAnsi="arial"/>
                                        <w:color w:val="3E3935"/>
                                        <w:sz w:val="18"/>
                                      </w:rPr>
                                      <w:t>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68</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3">
                                    <w:r>
                                      <w:rPr>
                                        <w:rStyle w:val="InternetLink"/>
                                        <w:rFonts w:ascii="arial" w:hAnsi="arial"/>
                                        <w:color w:val="3E3935"/>
                                        <w:sz w:val="18"/>
                                      </w:rPr>
                                      <w:t>Outstanding equity awards at fiscal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69</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4">
                                    <w:r>
                                      <w:rPr>
                                        <w:rStyle w:val="InternetLink"/>
                                        <w:rFonts w:ascii="arial" w:hAnsi="arial"/>
                                        <w:color w:val="3E3935"/>
                                        <w:sz w:val="18"/>
                                      </w:rPr>
                                      <w:t>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69</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5">
                                    <w:r>
                                      <w:rPr>
                                        <w:rStyle w:val="InternetLink"/>
                                        <w:rFonts w:ascii="arial" w:hAnsi="arial"/>
                                        <w:color w:val="3E3935"/>
                                        <w:sz w:val="18"/>
                                      </w:rPr>
                                      <w:t>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70</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6">
                                    <w:r>
                                      <w:rPr>
                                        <w:rStyle w:val="InternetLink"/>
                                        <w:rFonts w:ascii="arial" w:hAnsi="arial"/>
                                        <w:color w:val="3E3935"/>
                                        <w:sz w:val="18"/>
                                      </w:rPr>
                                      <w:t>Nonqualified deferred compensation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71</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7">
                                    <w:r>
                                      <w:rPr>
                                        <w:rStyle w:val="InternetLink"/>
                                        <w:rFonts w:ascii="arial" w:hAnsi="arial"/>
                                        <w:color w:val="3E3935"/>
                                        <w:sz w:val="18"/>
                                      </w:rPr>
                                      <w:t>Potential payments upon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72</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8">
                                    <w:r>
                                      <w:rPr>
                                        <w:rStyle w:val="InternetLink"/>
                                        <w:rFonts w:ascii="arial" w:hAnsi="arial"/>
                                        <w:color w:val="3E3935"/>
                                        <w:sz w:val="18"/>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74</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9">
                                    <w:r>
                                      <w:rPr>
                                        <w:rStyle w:val="InternetLink"/>
                                        <w:rFonts w:ascii="arial" w:hAnsi="arial"/>
                                        <w:color w:val="3E3935"/>
                                        <w:sz w:val="18"/>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75</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40">
                                    <w:r>
                                      <w:rPr>
                                        <w:rStyle w:val="InternetLink"/>
                                        <w:rFonts w:ascii="arial" w:hAnsi="arial"/>
                                        <w:color w:val="3E3935"/>
                                        <w:sz w:val="18"/>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77</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1">
                                    <w:r>
                                      <w:rPr>
                                        <w:rStyle w:val="InternetLink"/>
                                        <w:b/>
                                        <w:color w:val="3E3935"/>
                                      </w:rPr>
                                      <w:t xml:space="preserve">ITEM NO. 4 — Shareholder Proposal Requesting a Report on the Use of Child Labor in Connection with the Company’s EV Supply Chain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79</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2">
                                    <w:r>
                                      <w:rPr>
                                        <w:rStyle w:val="InternetLink"/>
                                        <w:b/>
                                        <w:color w:val="3E3935"/>
                                      </w:rPr>
                                      <w:t>ITEM NO. 5 — Shareholder Proposal to Eliminate EV Targets From Incentive Compensation Programs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81</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3">
                                    <w:r>
                                      <w:rPr>
                                        <w:rStyle w:val="InternetLink"/>
                                        <w:b/>
                                        <w:color w:val="3E3935"/>
                                      </w:rPr>
                                      <w:t>ITEM NO. 6 — Shareholder Proposal Requesting a Report on the Company’s Use of Deep-Sea Mined Minerals in its Production and Supply Chains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83</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154aa">
                                    <w:r>
                                      <w:rPr>
                                        <w:rStyle w:val="InternetLink"/>
                                        <w:b/>
                                        <w:color w:val="3E3935"/>
                                      </w:rPr>
                                      <w:t xml:space="preserve">ITEM NO. 7 — Shareholder Proposal Requesting a Report on Sustainability Risk In The Company’s Supply Chain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85</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5">
                                    <w:r>
                                      <w:rPr>
                                        <w:rStyle w:val="InternetLink"/>
                                        <w:b/>
                                        <w:color w:val="3E3935"/>
                                      </w:rPr>
                                      <w:t>General Information About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87</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6">
                                    <w:r>
                                      <w:rPr>
                                        <w:rStyle w:val="InternetLink"/>
                                        <w:b/>
                                        <w:color w:val="3E3935"/>
                                      </w:rPr>
                                      <w:t>Defined Terms and Commonly Used Acronyms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91</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7">
                                    <w:r>
                                      <w:rPr>
                                        <w:rStyle w:val="InternetLink"/>
                                        <w:b/>
                                        <w:color w:val="3E3935"/>
                                      </w:rPr>
                                      <w:t>Appendix A: Non-GAAP Financial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A-1</w:t>
                                  </w:r>
                                </w:p>
                              </w:tc>
                              <w:tc>
                                <w:tcPr>
                                  <w:tcW w:w="76" w:type="dxa"/>
                                  <w:tcBorders/>
                                  <w:vAlign w:val="center"/>
                                </w:tcPr>
                                <w:p>
                                  <w:pPr>
                                    <w:pStyle w:val="TableContents"/>
                                    <w:bidi w:val="0"/>
                                    <w:spacing w:before="0" w:after="283"/>
                                    <w:jc w:val="left"/>
                                    <w:rPr>
                                      <w:color w:val="3E3935"/>
                                    </w:rPr>
                                  </w:pPr>
                                  <w:r>
                                    <w:rPr>
                                      <w:color w:val="3E3935"/>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03"/>
                        <w:gridCol w:w="120"/>
                        <w:gridCol w:w="60"/>
                        <w:gridCol w:w="346"/>
                        <w:gridCol w:w="76"/>
                      </w:tblGrid>
                      <w:tr>
                        <w:trPr/>
                        <w:tc>
                          <w:tcPr>
                            <w:tcW w:w="96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27">
                              <w:r>
                                <w:rPr>
                                  <w:rStyle w:val="InternetLink"/>
                                  <w:rFonts w:ascii="arial" w:hAnsi="arial"/>
                                  <w:color w:val="3E3935"/>
                                  <w:sz w:val="18"/>
                                </w:rPr>
                                <w:t>Performance results and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56</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28">
                              <w:r>
                                <w:rPr>
                                  <w:rStyle w:val="InternetLink"/>
                                  <w:rFonts w:ascii="arial" w:hAnsi="arial"/>
                                  <w:color w:val="3E3935"/>
                                  <w:sz w:val="18"/>
                                </w:rPr>
                                <w:t>Compensation policies and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62</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29">
                              <w:r>
                                <w:rPr>
                                  <w:rStyle w:val="InternetLink"/>
                                  <w:rFonts w:ascii="arial" w:hAnsi="arial"/>
                                  <w:color w:val="3E3935"/>
                                  <w:sz w:val="18"/>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65</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30">
                              <w:r>
                                <w:rPr>
                                  <w:rStyle w:val="InternetLink"/>
                                  <w:b/>
                                  <w:color w:val="3E3935"/>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66</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1">
                              <w:r>
                                <w:rPr>
                                  <w:rStyle w:val="InternetLink"/>
                                  <w:rFonts w:ascii="arial" w:hAnsi="arial"/>
                                  <w:color w:val="3E3935"/>
                                  <w:sz w:val="18"/>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66</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2">
                              <w:r>
                                <w:rPr>
                                  <w:rStyle w:val="InternetLink"/>
                                  <w:rFonts w:ascii="arial" w:hAnsi="arial"/>
                                  <w:color w:val="3E3935"/>
                                  <w:sz w:val="18"/>
                                </w:rPr>
                                <w:t>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68</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3">
                              <w:r>
                                <w:rPr>
                                  <w:rStyle w:val="InternetLink"/>
                                  <w:rFonts w:ascii="arial" w:hAnsi="arial"/>
                                  <w:color w:val="3E3935"/>
                                  <w:sz w:val="18"/>
                                </w:rPr>
                                <w:t>Outstanding equity awards at fiscal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69</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4">
                              <w:r>
                                <w:rPr>
                                  <w:rStyle w:val="InternetLink"/>
                                  <w:rFonts w:ascii="arial" w:hAnsi="arial"/>
                                  <w:color w:val="3E3935"/>
                                  <w:sz w:val="18"/>
                                </w:rPr>
                                <w:t>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69</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5">
                              <w:r>
                                <w:rPr>
                                  <w:rStyle w:val="InternetLink"/>
                                  <w:rFonts w:ascii="arial" w:hAnsi="arial"/>
                                  <w:color w:val="3E3935"/>
                                  <w:sz w:val="18"/>
                                </w:rPr>
                                <w:t>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70</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6">
                              <w:r>
                                <w:rPr>
                                  <w:rStyle w:val="InternetLink"/>
                                  <w:rFonts w:ascii="arial" w:hAnsi="arial"/>
                                  <w:color w:val="3E3935"/>
                                  <w:sz w:val="18"/>
                                </w:rPr>
                                <w:t>Nonqualified deferred compensation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71</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7">
                              <w:r>
                                <w:rPr>
                                  <w:rStyle w:val="InternetLink"/>
                                  <w:rFonts w:ascii="arial" w:hAnsi="arial"/>
                                  <w:color w:val="3E3935"/>
                                  <w:sz w:val="18"/>
                                </w:rPr>
                                <w:t>Potential payments upon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72</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8">
                              <w:r>
                                <w:rPr>
                                  <w:rStyle w:val="InternetLink"/>
                                  <w:rFonts w:ascii="arial" w:hAnsi="arial"/>
                                  <w:color w:val="3E3935"/>
                                  <w:sz w:val="18"/>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74</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39">
                              <w:r>
                                <w:rPr>
                                  <w:rStyle w:val="InternetLink"/>
                                  <w:rFonts w:ascii="arial" w:hAnsi="arial"/>
                                  <w:color w:val="3E3935"/>
                                  <w:sz w:val="18"/>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75</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0"/>
                              <w:jc w:val="left"/>
                              <w:rPr/>
                            </w:pPr>
                            <w:r>
                              <w:rPr>
                                <w:color w:val="00C1DE"/>
                              </w:rPr>
                              <w:t>•</w:t>
                            </w:r>
                            <w:r>
                              <w:rPr>
                                <w:color w:val="3E3935"/>
                              </w:rPr>
                              <w:t> </w:t>
                            </w:r>
                            <w:hyperlink w:anchor="toc648661_40">
                              <w:r>
                                <w:rPr>
                                  <w:rStyle w:val="InternetLink"/>
                                  <w:rFonts w:ascii="arial" w:hAnsi="arial"/>
                                  <w:color w:val="3E3935"/>
                                  <w:sz w:val="18"/>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color w:val="3E3935"/>
                              </w:rPr>
                            </w:pPr>
                            <w:r>
                              <w:rPr>
                                <w:color w:val="3E3935"/>
                              </w:rPr>
                              <w:t>77</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1">
                              <w:r>
                                <w:rPr>
                                  <w:rStyle w:val="InternetLink"/>
                                  <w:b/>
                                  <w:color w:val="3E3935"/>
                                </w:rPr>
                                <w:t xml:space="preserve">ITEM NO. 4 — Shareholder Proposal Requesting a Report on the Use of Child Labor in Connection with the Company’s EV Supply Chain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79</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2">
                              <w:r>
                                <w:rPr>
                                  <w:rStyle w:val="InternetLink"/>
                                  <w:b/>
                                  <w:color w:val="3E3935"/>
                                </w:rPr>
                                <w:t>ITEM NO. 5 — Shareholder Proposal to Eliminate EV Targets From Incentive Compensation Programs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81</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3">
                              <w:r>
                                <w:rPr>
                                  <w:rStyle w:val="InternetLink"/>
                                  <w:b/>
                                  <w:color w:val="3E3935"/>
                                </w:rPr>
                                <w:t>ITEM NO. 6 — Shareholder Proposal Requesting a Report on the Company’s Use of Deep-Sea Mined Minerals in its Production and Supply Chains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83</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154aa">
                              <w:r>
                                <w:rPr>
                                  <w:rStyle w:val="InternetLink"/>
                                  <w:b/>
                                  <w:color w:val="3E3935"/>
                                </w:rPr>
                                <w:t xml:space="preserve">ITEM NO. 7 — Shareholder Proposal Requesting a Report on Sustainability Risk In The Company’s Supply Chain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85</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5">
                              <w:r>
                                <w:rPr>
                                  <w:rStyle w:val="InternetLink"/>
                                  <w:b/>
                                  <w:color w:val="3E3935"/>
                                </w:rPr>
                                <w:t>General Information About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87</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6">
                              <w:r>
                                <w:rPr>
                                  <w:rStyle w:val="InternetLink"/>
                                  <w:b/>
                                  <w:color w:val="3E3935"/>
                                </w:rPr>
                                <w:t>Defined Terms and Commonly Used Acronyms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91</w:t>
                            </w:r>
                          </w:p>
                        </w:tc>
                        <w:tc>
                          <w:tcPr>
                            <w:tcW w:w="76" w:type="dxa"/>
                            <w:tcBorders/>
                            <w:vAlign w:val="center"/>
                          </w:tcPr>
                          <w:p>
                            <w:pPr>
                              <w:pStyle w:val="TableContents"/>
                              <w:bidi w:val="0"/>
                              <w:spacing w:before="0" w:after="283"/>
                              <w:jc w:val="left"/>
                              <w:rPr>
                                <w:color w:val="3E3935"/>
                              </w:rPr>
                            </w:pPr>
                            <w:r>
                              <w:rPr>
                                <w:color w:val="3E3935"/>
                              </w:rPr>
                              <w:t> </w:t>
                            </w:r>
                          </w:p>
                        </w:tc>
                      </w:tr>
                      <w:tr>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vAlign w:val="center"/>
                          </w:tcPr>
                          <w:p>
                            <w:pPr>
                              <w:pStyle w:val="TableContents"/>
                              <w:bidi w:val="0"/>
                              <w:spacing w:before="0" w:after="283"/>
                              <w:jc w:val="left"/>
                              <w:rPr/>
                            </w:pPr>
                            <w:hyperlink w:anchor="toc648661_47">
                              <w:r>
                                <w:rPr>
                                  <w:rStyle w:val="InternetLink"/>
                                  <w:b/>
                                  <w:color w:val="3E3935"/>
                                </w:rPr>
                                <w:t>Appendix A: Non-GAAP Financial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46" w:type="dxa"/>
                            <w:tcBorders/>
                            <w:vAlign w:val="center"/>
                          </w:tcPr>
                          <w:p>
                            <w:pPr>
                              <w:pStyle w:val="TableContents"/>
                              <w:bidi w:val="0"/>
                              <w:spacing w:before="0" w:after="283"/>
                              <w:jc w:val="right"/>
                              <w:rPr>
                                <w:b/>
                                <w:color w:val="3E3935"/>
                              </w:rPr>
                            </w:pPr>
                            <w:r>
                              <w:rPr>
                                <w:b/>
                                <w:color w:val="3E3935"/>
                              </w:rPr>
                              <w:t>A-1</w:t>
                            </w:r>
                          </w:p>
                        </w:tc>
                        <w:tc>
                          <w:tcPr>
                            <w:tcW w:w="76" w:type="dxa"/>
                            <w:tcBorders/>
                            <w:vAlign w:val="center"/>
                          </w:tcPr>
                          <w:p>
                            <w:pPr>
                              <w:pStyle w:val="TableContents"/>
                              <w:bidi w:val="0"/>
                              <w:spacing w:before="0" w:after="283"/>
                              <w:jc w:val="left"/>
                              <w:rPr>
                                <w:color w:val="3E3935"/>
                              </w:rPr>
                            </w:pPr>
                            <w:r>
                              <w:rPr>
                                <w:color w:val="3E3935"/>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10205"/>
      </w:tblGrid>
      <w:tr>
        <w:trPr/>
        <w:tc>
          <w:tcPr>
            <w:tcW w:w="10205" w:type="dxa"/>
            <w:tcBorders/>
            <w:shd w:fill="CCF2F8" w:val="clear"/>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5"/>
              </w:rPr>
            </w:pPr>
            <w:r>
              <w:rPr>
                <w:rFonts w:ascii="arial" w:hAnsi="arial"/>
                <w:b/>
                <w:color w:val="3E3935"/>
                <w:sz w:val="15"/>
              </w:rPr>
              <w:t>Cautionary Note on Forward-Looking Statements:</w:t>
            </w:r>
            <w:r>
              <w:rPr>
                <w:rFonts w:ascii="arial" w:hAnsi="arial"/>
                <w:color w:val="3E3935"/>
                <w:sz w:val="15"/>
              </w:rPr>
              <w:t xml:space="preserve"> This Proxy Statement may include “forward-looking statements” within the meaning of the U.S. federal securities laws. Forward-looking statements are any statements other than statements of historical fact. Forward-looking statements represent our current judgement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judgements are reasonable, but these statements are not guarantees of any future events or financial results, and our actual results may differ materially due to a variety of factors, many of which are described in our 2023 Form 10-K and our other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pStyle w:val="TableContents"/>
              <w:bidi w:val="0"/>
              <w:spacing w:before="0" w:after="0"/>
              <w:jc w:val="left"/>
              <w:rPr/>
            </w:pPr>
            <w:r>
              <w:rPr/>
              <w:t> </w:t>
            </w:r>
          </w:p>
          <w:p>
            <w:pPr>
              <w:pStyle w:val="TableContents"/>
              <w:bidi w:val="0"/>
              <w:spacing w:before="0" w:after="0"/>
              <w:jc w:val="left"/>
              <w:rPr>
                <w:rFonts w:ascii="arial" w:hAnsi="arial"/>
                <w:color w:val="3E3935"/>
                <w:sz w:val="15"/>
              </w:rPr>
            </w:pPr>
            <w:r>
              <w:rPr>
                <w:rFonts w:ascii="arial" w:hAnsi="arial"/>
                <w:b/>
                <w:color w:val="3E3935"/>
                <w:sz w:val="15"/>
              </w:rPr>
              <w:t>Non-GAAP financial measures:</w:t>
            </w:r>
            <w:r>
              <w:rPr>
                <w:rFonts w:ascii="arial" w:hAnsi="arial"/>
                <w:color w:val="3E3935"/>
                <w:sz w:val="15"/>
              </w:rPr>
              <w:t xml:space="preserve"> See our 2023 Form 10-K and our other filings with the SEC for a description of certain non-GAAP measures used in this Proxy Statement, along with a description of various uses for such measures. Our calculation of these non-GAAP measures are set forth within these reports and Appendix A to this Proxy Statement,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When we present our total company EBIT-adjusted, GM Financial is presented on an EBT-adjusted basis.</w:t>
            </w:r>
          </w:p>
          <w:p>
            <w:pPr>
              <w:pStyle w:val="TableContents"/>
              <w:bidi w:val="0"/>
              <w:spacing w:before="0" w:after="0"/>
              <w:jc w:val="left"/>
              <w:rPr/>
            </w:pPr>
            <w:r>
              <w:rPr/>
              <w:t> </w:t>
            </w:r>
          </w:p>
          <w:p>
            <w:pPr>
              <w:pStyle w:val="TableContents"/>
              <w:bidi w:val="0"/>
              <w:spacing w:before="0" w:after="0"/>
              <w:jc w:val="left"/>
              <w:rPr>
                <w:rFonts w:ascii="arial" w:hAnsi="arial"/>
                <w:color w:val="3E3935"/>
                <w:sz w:val="15"/>
              </w:rPr>
            </w:pPr>
            <w:r>
              <w:rPr>
                <w:rFonts w:ascii="arial" w:hAnsi="arial"/>
                <w:b/>
                <w:color w:val="3E3935"/>
                <w:sz w:val="15"/>
              </w:rPr>
              <w:t xml:space="preserve">Additional Information: </w:t>
            </w:r>
            <w:r>
              <w:rPr>
                <w:rFonts w:ascii="arial" w:hAnsi="arial"/>
                <w:color w:val="3E3935"/>
                <w:sz w:val="15"/>
              </w:rPr>
              <w:t>References to “record” or “best” performance (or similar statements) in this Proxy Statement refer to General Motors Company, as established in 2009. In addition, certain figures included in the charts and tables in this Proxy Statement may not sum due to rounding. Simulated models and pre-production models are shown throughout; production vehicles will vary. For information on models shown, including availability, see each GM brand website for details.</w:t>
            </w:r>
          </w:p>
          <w:p>
            <w:pPr>
              <w:pStyle w:val="TableContents"/>
              <w:bidi w:val="0"/>
              <w:spacing w:before="0" w:after="20"/>
              <w:jc w:val="left"/>
              <w:rPr/>
            </w:pPr>
            <w:r>
              <w:rPr/>
              <w:t> </w:t>
            </w:r>
          </w:p>
        </w:tc>
      </w:tr>
    </w:tbl>
    <w:p>
      <w:pPr>
        <w:pStyle w:val="TextBody"/>
        <w:bidi w:val="0"/>
        <w:spacing w:before="0" w:after="0"/>
        <w:jc w:val="left"/>
        <w:rPr/>
      </w:pPr>
      <w:r>
        <w:rPr/>
        <w:t> </w:t>
      </w:r>
    </w:p>
    <w:tbl>
      <w:tblPr>
        <w:tblW w:w="1979" w:type="dxa"/>
        <w:jc w:val="left"/>
        <w:tblInd w:w="0" w:type="dxa"/>
        <w:tblLayout w:type="fixed"/>
        <w:tblCellMar>
          <w:top w:w="0" w:type="dxa"/>
          <w:left w:w="0" w:type="dxa"/>
          <w:bottom w:w="0" w:type="dxa"/>
          <w:right w:w="0" w:type="dxa"/>
        </w:tblCellMar>
      </w:tblPr>
      <w:tblGrid>
        <w:gridCol w:w="215"/>
        <w:gridCol w:w="60"/>
        <w:gridCol w:w="1380"/>
        <w:gridCol w:w="60"/>
        <w:gridCol w:w="23"/>
        <w:gridCol w:w="60"/>
        <w:gridCol w:w="23"/>
        <w:gridCol w:w="120"/>
        <w:gridCol w:w="38"/>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left"/>
              <w:rPr>
                <w:b/>
                <w:color w:val="0071CE"/>
              </w:rPr>
            </w:pPr>
            <w:r>
              <w:rPr>
                <w:b/>
                <w:color w:val="0071CE"/>
              </w:rPr>
              <w:t>iv</w:t>
            </w:r>
          </w:p>
        </w:tc>
        <w:tc>
          <w:tcPr>
            <w:tcW w:w="60"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left"/>
              <w:rPr/>
            </w:pPr>
            <w:r>
              <w:rPr/>
              <w:drawing>
                <wp:inline distT="0" distB="0" distL="0" distR="0">
                  <wp:extent cx="838200" cy="107315"/>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6"/>
                          <a:stretch>
                            <a:fillRect/>
                          </a:stretch>
                        </pic:blipFill>
                        <pic:spPr bwMode="auto">
                          <a:xfrm>
                            <a:off x="0" y="0"/>
                            <a:ext cx="838200" cy="1073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bookmarkStart w:id="3" w:name="toc648661_1"/>
      <w:bookmarkEnd w:id="3"/>
      <w:r>
        <w:rPr>
          <w:rFonts w:ascii="arial" w:hAnsi="arial"/>
          <w:color w:val="3E3935"/>
          <w:sz w:val="64"/>
        </w:rPr>
        <w:t xml:space="preserve">Proxy Summary </w:t>
      </w:r>
    </w:p>
    <w:p>
      <w:pPr>
        <w:pStyle w:val="TextBody"/>
        <w:bidi w:val="0"/>
        <w:spacing w:before="480" w:after="0"/>
        <w:jc w:val="left"/>
        <w:rPr>
          <w:rFonts w:ascii="arial" w:hAnsi="arial"/>
          <w:b/>
          <w:color w:val="0071CE"/>
          <w:sz w:val="28"/>
        </w:rPr>
      </w:pPr>
      <w:r>
        <w:rPr>
          <w:rFonts w:ascii="arial" w:hAnsi="arial"/>
          <w:b/>
          <w:color w:val="0071CE"/>
          <w:sz w:val="28"/>
        </w:rPr>
        <w:t xml:space="preserve">Annual Meeting Overview </w:t>
      </w:r>
    </w:p>
    <w:p>
      <w:pPr>
        <w:pStyle w:val="TextBody"/>
        <w:bidi w:val="0"/>
        <w:spacing w:before="0" w:after="0"/>
        <w:jc w:val="left"/>
        <w:rPr/>
      </w:pPr>
      <w:r>
        <w:rPr/>
        <w:t> </w:t>
      </w:r>
    </w:p>
    <w:tbl>
      <w:tblPr>
        <w:tblW w:w="9380" w:type="dxa"/>
        <w:jc w:val="left"/>
        <w:tblInd w:w="0" w:type="dxa"/>
        <w:tblLayout w:type="fixed"/>
        <w:tblCellMar>
          <w:top w:w="0" w:type="dxa"/>
          <w:left w:w="0" w:type="dxa"/>
          <w:bottom w:w="0" w:type="dxa"/>
          <w:right w:w="0" w:type="dxa"/>
        </w:tblCellMar>
      </w:tblPr>
      <w:tblGrid>
        <w:gridCol w:w="2015"/>
        <w:gridCol w:w="60"/>
        <w:gridCol w:w="3305"/>
        <w:gridCol w:w="60"/>
        <w:gridCol w:w="1415"/>
        <w:gridCol w:w="120"/>
        <w:gridCol w:w="2405"/>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0"/>
              <w:jc w:val="center"/>
              <w:rPr/>
            </w:pPr>
            <w:r>
              <w:rPr/>
              <w:drawing>
                <wp:inline distT="0" distB="0" distL="0" distR="0">
                  <wp:extent cx="45085" cy="4508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7"/>
                          <a:stretch>
                            <a:fillRect/>
                          </a:stretch>
                        </pic:blipFill>
                        <pic:spPr bwMode="auto">
                          <a:xfrm>
                            <a:off x="0" y="0"/>
                            <a:ext cx="45085" cy="45085"/>
                          </a:xfrm>
                          <a:prstGeom prst="rect">
                            <a:avLst/>
                          </a:prstGeom>
                        </pic:spPr>
                      </pic:pic>
                    </a:graphicData>
                  </a:graphic>
                </wp:inline>
              </w:drawing>
            </w:r>
            <w:r>
              <w:rPr/>
              <w:t xml:space="preserve"> </w:t>
            </w:r>
          </w:p>
          <w:p>
            <w:pPr>
              <w:pStyle w:val="TableContents"/>
              <w:bidi w:val="0"/>
              <w:spacing w:before="0" w:after="20"/>
              <w:jc w:val="center"/>
              <w:rPr>
                <w:rFonts w:ascii="arial" w:hAnsi="arial"/>
                <w:b/>
                <w:color w:val="0071CE"/>
                <w:sz w:val="18"/>
              </w:rPr>
            </w:pPr>
            <w:r>
              <w:rPr>
                <w:rFonts w:ascii="arial" w:hAnsi="arial"/>
                <w:b/>
                <w:color w:val="0071CE"/>
                <w:sz w:val="18"/>
              </w:rPr>
              <w:t>TIME &amp; DATE</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pPr>
            <w:r>
              <w:rPr/>
              <w:drawing>
                <wp:inline distT="0" distB="0" distL="0" distR="0">
                  <wp:extent cx="45720" cy="4572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8"/>
                          <a:stretch>
                            <a:fillRect/>
                          </a:stretch>
                        </pic:blipFill>
                        <pic:spPr bwMode="auto">
                          <a:xfrm>
                            <a:off x="0" y="0"/>
                            <a:ext cx="45720" cy="45720"/>
                          </a:xfrm>
                          <a:prstGeom prst="rect">
                            <a:avLst/>
                          </a:prstGeom>
                        </pic:spPr>
                      </pic:pic>
                    </a:graphicData>
                  </a:graphic>
                </wp:inline>
              </w:drawing>
            </w:r>
            <w:r>
              <w:rPr/>
              <w:t xml:space="preserve"> </w:t>
            </w:r>
          </w:p>
          <w:p>
            <w:pPr>
              <w:pStyle w:val="TableContents"/>
              <w:bidi w:val="0"/>
              <w:spacing w:before="0" w:after="20"/>
              <w:jc w:val="center"/>
              <w:rPr>
                <w:rFonts w:ascii="arial" w:hAnsi="arial"/>
                <w:b/>
                <w:color w:val="0071CE"/>
                <w:sz w:val="18"/>
              </w:rPr>
            </w:pPr>
            <w:r>
              <w:rPr>
                <w:rFonts w:ascii="arial" w:hAnsi="arial"/>
                <w:b/>
                <w:color w:val="0071CE"/>
                <w:sz w:val="18"/>
              </w:rPr>
              <w:t>PLACE</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center"/>
              <w:rPr/>
            </w:pPr>
            <w:r>
              <w:rPr/>
              <w:drawing>
                <wp:inline distT="0" distB="0" distL="0" distR="0">
                  <wp:extent cx="42545" cy="4381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9"/>
                          <a:stretch>
                            <a:fillRect/>
                          </a:stretch>
                        </pic:blipFill>
                        <pic:spPr bwMode="auto">
                          <a:xfrm>
                            <a:off x="0" y="0"/>
                            <a:ext cx="42545" cy="438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arial" w:hAnsi="arial"/>
                <w:b/>
                <w:color w:val="0071CE"/>
                <w:sz w:val="18"/>
              </w:rPr>
            </w:pPr>
            <w:r>
              <w:rPr>
                <w:rFonts w:ascii="arial" w:hAnsi="arial"/>
                <w:b/>
                <w:color w:val="0071CE"/>
                <w:sz w:val="18"/>
              </w:rPr>
              <w:t>RECORD DATE</w:t>
            </w:r>
          </w:p>
        </w:tc>
        <w:tc>
          <w:tcPr>
            <w:tcW w:w="1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center"/>
              <w:rPr/>
            </w:pPr>
            <w:r>
              <w:rPr/>
              <w:drawing>
                <wp:inline distT="0" distB="0" distL="0" distR="0">
                  <wp:extent cx="48895" cy="3556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20"/>
                          <a:stretch>
                            <a:fillRect/>
                          </a:stretch>
                        </pic:blipFill>
                        <pic:spPr bwMode="auto">
                          <a:xfrm>
                            <a:off x="0" y="0"/>
                            <a:ext cx="48895" cy="355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arial" w:hAnsi="arial"/>
                <w:b/>
                <w:color w:val="0071CE"/>
                <w:sz w:val="18"/>
              </w:rPr>
            </w:pPr>
            <w:r>
              <w:rPr>
                <w:rFonts w:ascii="arial" w:hAnsi="arial"/>
                <w:b/>
                <w:color w:val="0071CE"/>
                <w:sz w:val="18"/>
              </w:rPr>
              <w:t>MATERIALS</w:t>
            </w:r>
          </w:p>
        </w:tc>
      </w:tr>
      <w:tr>
        <w:trPr/>
        <w:tc>
          <w:tcPr>
            <w:tcW w:w="2015" w:type="dxa"/>
            <w:tcBorders/>
            <w:vAlign w:val="center"/>
          </w:tcPr>
          <w:p>
            <w:pPr>
              <w:pStyle w:val="TableContents"/>
              <w:bidi w:val="0"/>
              <w:spacing w:before="0" w:after="0"/>
              <w:jc w:val="center"/>
              <w:rPr>
                <w:rFonts w:ascii="arial" w:hAnsi="arial"/>
                <w:color w:val="3E3935"/>
                <w:sz w:val="18"/>
              </w:rPr>
            </w:pPr>
            <w:r>
              <w:rPr>
                <w:rFonts w:ascii="arial" w:hAnsi="arial"/>
                <w:color w:val="3E3935"/>
                <w:sz w:val="18"/>
              </w:rPr>
              <w:t>11:00 a.m. Eastern Time</w:t>
            </w:r>
          </w:p>
          <w:p>
            <w:pPr>
              <w:pStyle w:val="TableContents"/>
              <w:bidi w:val="0"/>
              <w:spacing w:before="0" w:after="20"/>
              <w:jc w:val="center"/>
              <w:rPr>
                <w:rFonts w:ascii="arial" w:hAnsi="arial"/>
                <w:color w:val="3E3935"/>
                <w:sz w:val="18"/>
              </w:rPr>
            </w:pPr>
            <w:r>
              <w:rPr>
                <w:rFonts w:ascii="arial" w:hAnsi="arial"/>
                <w:color w:val="3E3935"/>
                <w:sz w:val="18"/>
              </w:rPr>
              <w:t>June 4, 2024</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rFonts w:ascii="arial" w:hAnsi="arial"/>
                <w:color w:val="3E3935"/>
                <w:sz w:val="18"/>
              </w:rPr>
            </w:pPr>
            <w:r>
              <w:rPr>
                <w:rFonts w:ascii="arial" w:hAnsi="arial"/>
                <w:color w:val="3E3935"/>
                <w:sz w:val="18"/>
              </w:rPr>
              <w:t>Virtual Meeting</w:t>
            </w:r>
          </w:p>
          <w:p>
            <w:pPr>
              <w:pStyle w:val="TableContents"/>
              <w:bidi w:val="0"/>
              <w:spacing w:before="0" w:after="20"/>
              <w:jc w:val="center"/>
              <w:rPr>
                <w:rFonts w:ascii="arial" w:hAnsi="arial"/>
                <w:i/>
                <w:color w:val="0071CE"/>
                <w:sz w:val="18"/>
              </w:rPr>
            </w:pPr>
            <w:r>
              <w:rPr>
                <w:rFonts w:ascii="arial" w:hAnsi="arial"/>
                <w:i/>
                <w:color w:val="0071CE"/>
                <w:sz w:val="18"/>
              </w:rPr>
              <w:t>virtualshareholdermeeting.com/GM2024</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color w:val="3E3935"/>
              </w:rPr>
            </w:pPr>
            <w:r>
              <w:rPr>
                <w:color w:val="3E3935"/>
              </w:rPr>
              <w:t>April 15, 2024</w:t>
            </w:r>
          </w:p>
        </w:tc>
        <w:tc>
          <w:tcPr>
            <w:tcW w:w="1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center"/>
              <w:rPr>
                <w:rFonts w:ascii="arial" w:hAnsi="arial"/>
                <w:color w:val="3E3935"/>
                <w:sz w:val="18"/>
              </w:rPr>
            </w:pPr>
            <w:r>
              <w:rPr>
                <w:rFonts w:ascii="arial" w:hAnsi="arial"/>
                <w:color w:val="3E3935"/>
                <w:sz w:val="18"/>
              </w:rPr>
              <w:t>Available at</w:t>
            </w:r>
          </w:p>
          <w:p>
            <w:pPr>
              <w:pStyle w:val="TableContents"/>
              <w:bidi w:val="0"/>
              <w:spacing w:before="0" w:after="20"/>
              <w:jc w:val="center"/>
              <w:rPr>
                <w:rFonts w:ascii="arial" w:hAnsi="arial"/>
                <w:i/>
                <w:color w:val="0071CE"/>
                <w:sz w:val="18"/>
              </w:rPr>
            </w:pPr>
            <w:r>
              <w:rPr>
                <w:rFonts w:ascii="arial" w:hAnsi="arial"/>
                <w:i/>
                <w:color w:val="0071CE"/>
                <w:sz w:val="18"/>
              </w:rPr>
              <w:t>investor.gm.com/shareholder</w:t>
            </w:r>
          </w:p>
        </w:tc>
      </w:tr>
    </w:tbl>
    <w:p>
      <w:pPr>
        <w:pStyle w:val="TextBody"/>
        <w:bidi w:val="0"/>
        <w:spacing w:before="360" w:after="0"/>
        <w:jc w:val="left"/>
        <w:rPr>
          <w:rFonts w:ascii="arial" w:hAnsi="arial"/>
          <w:b/>
          <w:color w:val="0071CE"/>
          <w:sz w:val="28"/>
        </w:rPr>
      </w:pPr>
      <w:r>
        <w:rPr>
          <w:rFonts w:ascii="arial" w:hAnsi="arial"/>
          <w:b/>
          <w:color w:val="0071CE"/>
          <w:sz w:val="28"/>
        </w:rPr>
        <w:t xml:space="preserve">Proxy Voting Roadmap </w:t>
      </w:r>
    </w:p>
    <w:p>
      <w:pPr>
        <w:pStyle w:val="TextBody"/>
        <w:bidi w:val="0"/>
        <w:spacing w:before="120" w:after="0"/>
        <w:jc w:val="both"/>
        <w:rPr>
          <w:rFonts w:ascii="arial" w:hAnsi="arial"/>
          <w:color w:val="3E3935"/>
          <w:sz w:val="18"/>
        </w:rPr>
      </w:pPr>
      <w:r>
        <w:rPr>
          <w:rFonts w:ascii="arial" w:hAnsi="arial"/>
          <w:color w:val="3E3935"/>
          <w:sz w:val="18"/>
        </w:rPr>
        <w:t xml:space="preserve">Shareholders will be asked to vote on the following matters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9"/>
        <w:gridCol w:w="60"/>
        <w:gridCol w:w="6470"/>
        <w:gridCol w:w="240"/>
        <w:gridCol w:w="1640"/>
        <w:gridCol w:w="240"/>
        <w:gridCol w:w="936"/>
      </w:tblGrid>
      <w:tr>
        <w:trPr/>
        <w:tc>
          <w:tcPr>
            <w:tcW w:w="6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Voting Matter</w:t>
            </w:r>
          </w:p>
        </w:tc>
        <w:tc>
          <w:tcPr>
            <w:tcW w:w="24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tcBorders>
              <w:bottom w:val="single" w:sz="6" w:space="0" w:color="0071CE"/>
            </w:tcBorders>
            <w:tcMar>
              <w:bottom w:w="80" w:type="dxa"/>
            </w:tcMar>
            <w:vAlign w:val="center"/>
          </w:tcPr>
          <w:p>
            <w:pPr>
              <w:pStyle w:val="TableContents"/>
              <w:bidi w:val="0"/>
              <w:jc w:val="center"/>
              <w:rPr>
                <w:b/>
                <w:color w:val="3E3935"/>
              </w:rPr>
            </w:pPr>
            <w:r>
              <w:rPr>
                <w:b/>
                <w:color w:val="3E3935"/>
              </w:rPr>
              <w:t>Board Vote</w:t>
            </w:r>
          </w:p>
          <w:p>
            <w:pPr>
              <w:pStyle w:val="TableContents"/>
              <w:bidi w:val="0"/>
              <w:spacing w:before="0" w:after="20"/>
              <w:jc w:val="center"/>
              <w:rPr>
                <w:rFonts w:ascii="arial" w:hAnsi="arial"/>
                <w:b/>
                <w:color w:val="3E3935"/>
                <w:sz w:val="18"/>
              </w:rPr>
            </w:pPr>
            <w:r>
              <w:rPr>
                <w:rFonts w:ascii="arial" w:hAnsi="arial"/>
                <w:b/>
                <w:color w:val="3E3935"/>
                <w:sz w:val="18"/>
              </w:rPr>
              <w:t>Recommendation</w:t>
            </w:r>
          </w:p>
        </w:tc>
        <w:tc>
          <w:tcPr>
            <w:tcW w:w="240" w:type="dxa"/>
            <w:tcBorders>
              <w:bottom w:val="single" w:sz="6" w:space="0" w:color="0071CE"/>
            </w:tcBorders>
            <w:tcMar>
              <w:bottom w:w="28" w:type="dxa"/>
            </w:tcMar>
            <w:vAlign w:val="center"/>
          </w:tcPr>
          <w:p>
            <w:pPr>
              <w:pStyle w:val="TableContents"/>
              <w:bidi w:val="0"/>
              <w:spacing w:before="0" w:after="283"/>
              <w:jc w:val="left"/>
              <w:rPr/>
            </w:pPr>
            <w:r>
              <w:rPr/>
              <w:t>    </w:t>
            </w:r>
          </w:p>
        </w:tc>
        <w:tc>
          <w:tcPr>
            <w:tcW w:w="936" w:type="dxa"/>
            <w:tcBorders>
              <w:bottom w:val="single" w:sz="6" w:space="0" w:color="0071CE"/>
            </w:tcBorders>
            <w:tcMar>
              <w:bottom w:w="80" w:type="dxa"/>
            </w:tcMar>
            <w:vAlign w:val="center"/>
          </w:tcPr>
          <w:p>
            <w:pPr>
              <w:pStyle w:val="TableContents"/>
              <w:bidi w:val="0"/>
              <w:jc w:val="center"/>
              <w:rPr>
                <w:b/>
                <w:color w:val="3E3935"/>
              </w:rPr>
            </w:pPr>
            <w:r>
              <w:rPr>
                <w:b/>
                <w:color w:val="3E3935"/>
              </w:rPr>
              <w:t>Page</w:t>
            </w:r>
          </w:p>
          <w:p>
            <w:pPr>
              <w:pStyle w:val="TableContents"/>
              <w:bidi w:val="0"/>
              <w:spacing w:before="0" w:after="20"/>
              <w:jc w:val="center"/>
              <w:rPr>
                <w:rFonts w:ascii="arial" w:hAnsi="arial"/>
                <w:b/>
                <w:color w:val="3E3935"/>
                <w:sz w:val="18"/>
              </w:rPr>
            </w:pPr>
            <w:r>
              <w:rPr>
                <w:rFonts w:ascii="arial" w:hAnsi="arial"/>
                <w:b/>
                <w:color w:val="3E3935"/>
                <w:sz w:val="18"/>
              </w:rPr>
              <w:t>Reference</w:t>
            </w:r>
          </w:p>
        </w:tc>
      </w:tr>
      <w:tr>
        <w:trPr/>
        <w:tc>
          <w:tcPr>
            <w:tcW w:w="619" w:type="dxa"/>
            <w:tcBorders/>
            <w:vAlign w:val="center"/>
          </w:tcPr>
          <w:p>
            <w:pPr>
              <w:pStyle w:val="TableContents"/>
              <w:bidi w:val="0"/>
              <w:spacing w:before="0" w:after="283"/>
              <w:jc w:val="left"/>
              <w:rPr>
                <w:sz w:val="4"/>
                <w:szCs w:val="4"/>
              </w:rPr>
            </w:pPr>
            <w:r>
              <w:rPr>
                <w:sz w:val="4"/>
                <w:szCs w:val="4"/>
              </w:rPr>
            </w:r>
          </w:p>
        </w:tc>
        <w:tc>
          <w:tcPr>
            <w:tcW w:w="653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Item 1:  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3E3935"/>
                <w:sz w:val="17"/>
              </w:rPr>
            </w:pPr>
            <w:r>
              <w:rPr>
                <w:rFonts w:ascii="arial" w:hAnsi="arial"/>
                <w:color w:val="3E3935"/>
                <w:sz w:val="17"/>
              </w:rPr>
              <w:t>Annual Election of Directors</w:t>
            </w:r>
          </w:p>
        </w:tc>
        <w:tc>
          <w:tcPr>
            <w:tcW w:w="24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jc w:val="center"/>
              <w:rPr>
                <w:b/>
                <w:color w:val="0071CE"/>
              </w:rPr>
            </w:pPr>
            <w:r>
              <w:rPr>
                <w:b/>
                <w:color w:val="0071CE"/>
              </w:rPr>
              <w:t>FOR</w:t>
            </w:r>
          </w:p>
          <w:p>
            <w:pPr>
              <w:pStyle w:val="TableContents"/>
              <w:bidi w:val="0"/>
              <w:spacing w:before="0" w:after="20"/>
              <w:jc w:val="center"/>
              <w:rPr>
                <w:rFonts w:ascii="arial" w:hAnsi="arial"/>
                <w:color w:val="0071CE"/>
                <w:sz w:val="17"/>
              </w:rPr>
            </w:pPr>
            <w:r>
              <w:rPr>
                <w:rFonts w:ascii="arial" w:hAnsi="arial"/>
                <w:color w:val="0071CE"/>
                <w:sz w:val="17"/>
              </w:rPr>
              <w:t>each director nominee</w:t>
            </w:r>
          </w:p>
        </w:tc>
        <w:tc>
          <w:tcPr>
            <w:tcW w:w="240"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9</w:t>
            </w:r>
          </w:p>
        </w:tc>
      </w:tr>
      <w:tr>
        <w:trPr/>
        <w:tc>
          <w:tcPr>
            <w:tcW w:w="619" w:type="dxa"/>
            <w:tcBorders/>
            <w:shd w:fill="CCF2F8" w:val="clear"/>
            <w:vAlign w:val="center"/>
          </w:tcPr>
          <w:p>
            <w:pPr>
              <w:pStyle w:val="TableContents"/>
              <w:bidi w:val="0"/>
              <w:spacing w:before="0" w:after="283"/>
              <w:jc w:val="left"/>
              <w:rPr>
                <w:sz w:val="4"/>
                <w:szCs w:val="4"/>
              </w:rPr>
            </w:pPr>
            <w:r>
              <w:rPr>
                <w:sz w:val="4"/>
                <w:szCs w:val="4"/>
              </w:rPr>
            </w:r>
          </w:p>
        </w:tc>
        <w:tc>
          <w:tcPr>
            <w:tcW w:w="6530" w:type="dxa"/>
            <w:gridSpan w:val="2"/>
            <w:tcBorders/>
            <w:shd w:fill="CCF2F8" w:val="clear"/>
            <w:vAlign w:val="center"/>
          </w:tcPr>
          <w:p>
            <w:pPr>
              <w:pStyle w:val="TableContents"/>
              <w:bidi w:val="0"/>
              <w:spacing w:before="0" w:after="283"/>
              <w:jc w:val="left"/>
              <w:rPr>
                <w:sz w:val="4"/>
                <w:szCs w:val="4"/>
              </w:rPr>
            </w:pPr>
            <w:r>
              <w:rPr>
                <w:sz w:val="4"/>
                <w:szCs w:val="4"/>
              </w:rPr>
            </w:r>
          </w:p>
        </w:tc>
        <w:tc>
          <w:tcPr>
            <w:tcW w:w="1880" w:type="dxa"/>
            <w:gridSpan w:val="2"/>
            <w:tcBorders/>
            <w:shd w:fill="CCF2F8" w:val="clear"/>
            <w:vAlign w:val="center"/>
          </w:tcPr>
          <w:p>
            <w:pPr>
              <w:pStyle w:val="TableContents"/>
              <w:bidi w:val="0"/>
              <w:spacing w:before="0" w:after="283"/>
              <w:jc w:val="left"/>
              <w:rPr>
                <w:sz w:val="4"/>
                <w:szCs w:val="4"/>
              </w:rPr>
            </w:pPr>
            <w:r>
              <w:rPr>
                <w:sz w:val="4"/>
                <w:szCs w:val="4"/>
              </w:rPr>
            </w:r>
          </w:p>
        </w:tc>
        <w:tc>
          <w:tcPr>
            <w:tcW w:w="1176"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19"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Item 2:    </w:t>
            </w:r>
          </w:p>
        </w:tc>
        <w:tc>
          <w:tcPr>
            <w:tcW w:w="60" w:type="dxa"/>
            <w:tcBorders/>
            <w:shd w:fill="CCF2F8" w:val="clear"/>
            <w:vAlign w:val="center"/>
          </w:tcPr>
          <w:p>
            <w:pPr>
              <w:pStyle w:val="TableContents"/>
              <w:bidi w:val="0"/>
              <w:spacing w:before="0" w:after="283"/>
              <w:jc w:val="left"/>
              <w:rPr/>
            </w:pPr>
            <w:r>
              <w:rPr/>
              <w:t> </w:t>
            </w:r>
          </w:p>
        </w:tc>
        <w:tc>
          <w:tcPr>
            <w:tcW w:w="6470" w:type="dxa"/>
            <w:tcBorders/>
            <w:shd w:fill="CCF2F8" w:val="clear"/>
            <w:vAlign w:val="center"/>
          </w:tcPr>
          <w:p>
            <w:pPr>
              <w:pStyle w:val="TableContents"/>
              <w:bidi w:val="0"/>
              <w:spacing w:before="0" w:after="283"/>
              <w:jc w:val="left"/>
              <w:rPr>
                <w:color w:val="3E3935"/>
              </w:rPr>
            </w:pPr>
            <w:r>
              <w:rPr>
                <w:color w:val="3E3935"/>
              </w:rPr>
              <w:t>Proposal to Ratify the Selection of Ernst &amp; Young LLP as the Company’s Independent Registered Public Accounting Firm for 2024</w:t>
            </w:r>
          </w:p>
        </w:tc>
        <w:tc>
          <w:tcPr>
            <w:tcW w:w="240" w:type="dxa"/>
            <w:tcBorders/>
            <w:shd w:fill="CCF2F8" w:val="clear"/>
            <w:vAlign w:val="center"/>
          </w:tcPr>
          <w:p>
            <w:pPr>
              <w:pStyle w:val="TableContents"/>
              <w:bidi w:val="0"/>
              <w:spacing w:before="0" w:after="283"/>
              <w:jc w:val="left"/>
              <w:rPr/>
            </w:pPr>
            <w:r>
              <w:rPr/>
              <w:t>    </w:t>
            </w:r>
          </w:p>
        </w:tc>
        <w:tc>
          <w:tcPr>
            <w:tcW w:w="164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17"/>
              </w:rPr>
            </w:pPr>
            <w:r>
              <w:rPr>
                <w:rFonts w:ascii="arial" w:hAnsi="arial"/>
                <w:b/>
                <w:color w:val="0071CE"/>
                <w:sz w:val="17"/>
              </w:rPr>
              <w:t>FOR</w:t>
            </w:r>
          </w:p>
        </w:tc>
        <w:tc>
          <w:tcPr>
            <w:tcW w:w="240" w:type="dxa"/>
            <w:tcBorders/>
            <w:shd w:fill="CCF2F8" w:val="clear"/>
            <w:vAlign w:val="center"/>
          </w:tcPr>
          <w:p>
            <w:pPr>
              <w:pStyle w:val="TableContents"/>
              <w:bidi w:val="0"/>
              <w:spacing w:before="0" w:after="283"/>
              <w:jc w:val="left"/>
              <w:rPr/>
            </w:pPr>
            <w:r>
              <w:rPr/>
              <w:t>    </w:t>
            </w:r>
          </w:p>
        </w:tc>
        <w:tc>
          <w:tcPr>
            <w:tcW w:w="936"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38</w:t>
            </w:r>
          </w:p>
        </w:tc>
      </w:tr>
      <w:tr>
        <w:trPr/>
        <w:tc>
          <w:tcPr>
            <w:tcW w:w="619" w:type="dxa"/>
            <w:tcBorders/>
            <w:vAlign w:val="center"/>
          </w:tcPr>
          <w:p>
            <w:pPr>
              <w:pStyle w:val="TableContents"/>
              <w:bidi w:val="0"/>
              <w:spacing w:before="0" w:after="283"/>
              <w:jc w:val="left"/>
              <w:rPr>
                <w:sz w:val="4"/>
                <w:szCs w:val="4"/>
              </w:rPr>
            </w:pPr>
            <w:r>
              <w:rPr>
                <w:sz w:val="4"/>
                <w:szCs w:val="4"/>
              </w:rPr>
            </w:r>
          </w:p>
        </w:tc>
        <w:tc>
          <w:tcPr>
            <w:tcW w:w="653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Item 3:  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color w:val="3E3935"/>
              </w:rPr>
            </w:pPr>
            <w:r>
              <w:rPr>
                <w:color w:val="3E3935"/>
              </w:rPr>
              <w:t>Proposal to Approve, on an Advisory Basis, Named Executive Officer Compensation</w:t>
            </w:r>
          </w:p>
        </w:tc>
        <w:tc>
          <w:tcPr>
            <w:tcW w:w="24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0"/>
              <w:jc w:val="center"/>
              <w:rPr>
                <w:rFonts w:ascii="arial" w:hAnsi="arial"/>
                <w:b/>
                <w:color w:val="0071CE"/>
                <w:sz w:val="17"/>
              </w:rPr>
            </w:pPr>
            <w:r>
              <w:rPr>
                <w:rFonts w:ascii="arial" w:hAnsi="arial"/>
                <w:b/>
                <w:color w:val="0071CE"/>
                <w:sz w:val="17"/>
              </w:rPr>
              <w:t>FOR</w:t>
            </w:r>
          </w:p>
        </w:tc>
        <w:tc>
          <w:tcPr>
            <w:tcW w:w="240"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41</w:t>
            </w:r>
          </w:p>
        </w:tc>
      </w:tr>
      <w:tr>
        <w:trPr/>
        <w:tc>
          <w:tcPr>
            <w:tcW w:w="619" w:type="dxa"/>
            <w:tcBorders/>
            <w:shd w:fill="CCF2F8" w:val="clear"/>
            <w:vAlign w:val="center"/>
          </w:tcPr>
          <w:p>
            <w:pPr>
              <w:pStyle w:val="TableContents"/>
              <w:bidi w:val="0"/>
              <w:spacing w:before="0" w:after="283"/>
              <w:jc w:val="left"/>
              <w:rPr>
                <w:sz w:val="4"/>
                <w:szCs w:val="4"/>
              </w:rPr>
            </w:pPr>
            <w:r>
              <w:rPr>
                <w:sz w:val="4"/>
                <w:szCs w:val="4"/>
              </w:rPr>
            </w:r>
          </w:p>
        </w:tc>
        <w:tc>
          <w:tcPr>
            <w:tcW w:w="6530" w:type="dxa"/>
            <w:gridSpan w:val="2"/>
            <w:tcBorders/>
            <w:shd w:fill="CCF2F8" w:val="clear"/>
            <w:vAlign w:val="center"/>
          </w:tcPr>
          <w:p>
            <w:pPr>
              <w:pStyle w:val="TableContents"/>
              <w:bidi w:val="0"/>
              <w:spacing w:before="0" w:after="283"/>
              <w:jc w:val="left"/>
              <w:rPr>
                <w:sz w:val="4"/>
                <w:szCs w:val="4"/>
              </w:rPr>
            </w:pPr>
            <w:r>
              <w:rPr>
                <w:sz w:val="4"/>
                <w:szCs w:val="4"/>
              </w:rPr>
            </w:r>
          </w:p>
        </w:tc>
        <w:tc>
          <w:tcPr>
            <w:tcW w:w="1880" w:type="dxa"/>
            <w:gridSpan w:val="2"/>
            <w:tcBorders/>
            <w:shd w:fill="CCF2F8" w:val="clear"/>
            <w:vAlign w:val="center"/>
          </w:tcPr>
          <w:p>
            <w:pPr>
              <w:pStyle w:val="TableContents"/>
              <w:bidi w:val="0"/>
              <w:spacing w:before="0" w:after="283"/>
              <w:jc w:val="left"/>
              <w:rPr>
                <w:sz w:val="4"/>
                <w:szCs w:val="4"/>
              </w:rPr>
            </w:pPr>
            <w:r>
              <w:rPr>
                <w:sz w:val="4"/>
                <w:szCs w:val="4"/>
              </w:rPr>
            </w:r>
          </w:p>
        </w:tc>
        <w:tc>
          <w:tcPr>
            <w:tcW w:w="1176"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19"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Item 4:    </w:t>
            </w:r>
          </w:p>
        </w:tc>
        <w:tc>
          <w:tcPr>
            <w:tcW w:w="60" w:type="dxa"/>
            <w:tcBorders/>
            <w:shd w:fill="CCF2F8" w:val="clear"/>
            <w:vAlign w:val="center"/>
          </w:tcPr>
          <w:p>
            <w:pPr>
              <w:pStyle w:val="TableContents"/>
              <w:bidi w:val="0"/>
              <w:spacing w:before="0" w:after="283"/>
              <w:jc w:val="left"/>
              <w:rPr/>
            </w:pPr>
            <w:r>
              <w:rPr/>
              <w:t> </w:t>
            </w:r>
          </w:p>
        </w:tc>
        <w:tc>
          <w:tcPr>
            <w:tcW w:w="6470" w:type="dxa"/>
            <w:tcBorders/>
            <w:shd w:fill="CCF2F8" w:val="clear"/>
            <w:vAlign w:val="center"/>
          </w:tcPr>
          <w:p>
            <w:pPr>
              <w:pStyle w:val="TableContents"/>
              <w:bidi w:val="0"/>
              <w:spacing w:before="0" w:after="283"/>
              <w:jc w:val="left"/>
              <w:rPr>
                <w:color w:val="3E3935"/>
              </w:rPr>
            </w:pPr>
            <w:r>
              <w:rPr>
                <w:color w:val="3E3935"/>
              </w:rPr>
              <w:t>Shareholder Proposal Requesting a Report on the Use of Child Labor in Connection with the Company’s EV Supply Chain</w:t>
            </w:r>
          </w:p>
        </w:tc>
        <w:tc>
          <w:tcPr>
            <w:tcW w:w="240" w:type="dxa"/>
            <w:tcBorders/>
            <w:shd w:fill="CCF2F8" w:val="clear"/>
            <w:vAlign w:val="center"/>
          </w:tcPr>
          <w:p>
            <w:pPr>
              <w:pStyle w:val="TableContents"/>
              <w:bidi w:val="0"/>
              <w:spacing w:before="0" w:after="283"/>
              <w:jc w:val="left"/>
              <w:rPr/>
            </w:pPr>
            <w:r>
              <w:rPr/>
              <w:t>    </w:t>
            </w:r>
          </w:p>
        </w:tc>
        <w:tc>
          <w:tcPr>
            <w:tcW w:w="164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17"/>
              </w:rPr>
            </w:pPr>
            <w:r>
              <w:rPr>
                <w:rFonts w:ascii="arial" w:hAnsi="arial"/>
                <w:b/>
                <w:color w:val="0071CE"/>
                <w:sz w:val="17"/>
              </w:rPr>
              <w:t>AGAINST</w:t>
            </w:r>
          </w:p>
        </w:tc>
        <w:tc>
          <w:tcPr>
            <w:tcW w:w="240" w:type="dxa"/>
            <w:tcBorders/>
            <w:shd w:fill="CCF2F8" w:val="clear"/>
            <w:vAlign w:val="center"/>
          </w:tcPr>
          <w:p>
            <w:pPr>
              <w:pStyle w:val="TableContents"/>
              <w:bidi w:val="0"/>
              <w:spacing w:before="0" w:after="283"/>
              <w:jc w:val="left"/>
              <w:rPr/>
            </w:pPr>
            <w:r>
              <w:rPr/>
              <w:t>    </w:t>
            </w:r>
          </w:p>
        </w:tc>
        <w:tc>
          <w:tcPr>
            <w:tcW w:w="936"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79</w:t>
            </w:r>
          </w:p>
        </w:tc>
      </w:tr>
      <w:tr>
        <w:trPr/>
        <w:tc>
          <w:tcPr>
            <w:tcW w:w="619" w:type="dxa"/>
            <w:tcBorders/>
            <w:vAlign w:val="center"/>
          </w:tcPr>
          <w:p>
            <w:pPr>
              <w:pStyle w:val="TableContents"/>
              <w:bidi w:val="0"/>
              <w:spacing w:before="0" w:after="283"/>
              <w:jc w:val="left"/>
              <w:rPr>
                <w:sz w:val="4"/>
                <w:szCs w:val="4"/>
              </w:rPr>
            </w:pPr>
            <w:r>
              <w:rPr>
                <w:sz w:val="4"/>
                <w:szCs w:val="4"/>
              </w:rPr>
            </w:r>
          </w:p>
        </w:tc>
        <w:tc>
          <w:tcPr>
            <w:tcW w:w="653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Item 5:  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color w:val="3E3935"/>
              </w:rPr>
            </w:pPr>
            <w:r>
              <w:rPr>
                <w:color w:val="3E3935"/>
              </w:rPr>
              <w:t>Shareholder Proposal to Eliminate EV Targets from Incentive Compensation Programs</w:t>
            </w:r>
          </w:p>
        </w:tc>
        <w:tc>
          <w:tcPr>
            <w:tcW w:w="24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0"/>
              <w:jc w:val="center"/>
              <w:rPr>
                <w:rFonts w:ascii="arial" w:hAnsi="arial"/>
                <w:b/>
                <w:color w:val="0071CE"/>
                <w:sz w:val="17"/>
              </w:rPr>
            </w:pPr>
            <w:r>
              <w:rPr>
                <w:rFonts w:ascii="arial" w:hAnsi="arial"/>
                <w:b/>
                <w:color w:val="0071CE"/>
                <w:sz w:val="17"/>
              </w:rPr>
              <w:t>AGAINST</w:t>
            </w:r>
          </w:p>
        </w:tc>
        <w:tc>
          <w:tcPr>
            <w:tcW w:w="240"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81</w:t>
            </w:r>
          </w:p>
        </w:tc>
      </w:tr>
      <w:tr>
        <w:trPr/>
        <w:tc>
          <w:tcPr>
            <w:tcW w:w="619" w:type="dxa"/>
            <w:tcBorders/>
            <w:shd w:fill="CCF2F8" w:val="clear"/>
            <w:vAlign w:val="center"/>
          </w:tcPr>
          <w:p>
            <w:pPr>
              <w:pStyle w:val="TableContents"/>
              <w:bidi w:val="0"/>
              <w:spacing w:before="0" w:after="283"/>
              <w:jc w:val="left"/>
              <w:rPr>
                <w:sz w:val="4"/>
                <w:szCs w:val="4"/>
              </w:rPr>
            </w:pPr>
            <w:r>
              <w:rPr>
                <w:sz w:val="4"/>
                <w:szCs w:val="4"/>
              </w:rPr>
            </w:r>
          </w:p>
        </w:tc>
        <w:tc>
          <w:tcPr>
            <w:tcW w:w="6530" w:type="dxa"/>
            <w:gridSpan w:val="2"/>
            <w:tcBorders/>
            <w:shd w:fill="CCF2F8" w:val="clear"/>
            <w:vAlign w:val="center"/>
          </w:tcPr>
          <w:p>
            <w:pPr>
              <w:pStyle w:val="TableContents"/>
              <w:bidi w:val="0"/>
              <w:spacing w:before="0" w:after="283"/>
              <w:jc w:val="left"/>
              <w:rPr>
                <w:sz w:val="4"/>
                <w:szCs w:val="4"/>
              </w:rPr>
            </w:pPr>
            <w:r>
              <w:rPr>
                <w:sz w:val="4"/>
                <w:szCs w:val="4"/>
              </w:rPr>
            </w:r>
          </w:p>
        </w:tc>
        <w:tc>
          <w:tcPr>
            <w:tcW w:w="1880" w:type="dxa"/>
            <w:gridSpan w:val="2"/>
            <w:tcBorders/>
            <w:shd w:fill="CCF2F8" w:val="clear"/>
            <w:vAlign w:val="center"/>
          </w:tcPr>
          <w:p>
            <w:pPr>
              <w:pStyle w:val="TableContents"/>
              <w:bidi w:val="0"/>
              <w:spacing w:before="0" w:after="283"/>
              <w:jc w:val="left"/>
              <w:rPr>
                <w:sz w:val="4"/>
                <w:szCs w:val="4"/>
              </w:rPr>
            </w:pPr>
            <w:r>
              <w:rPr>
                <w:sz w:val="4"/>
                <w:szCs w:val="4"/>
              </w:rPr>
            </w:r>
          </w:p>
        </w:tc>
        <w:tc>
          <w:tcPr>
            <w:tcW w:w="1176"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19"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Item 6:    </w:t>
            </w:r>
          </w:p>
        </w:tc>
        <w:tc>
          <w:tcPr>
            <w:tcW w:w="60" w:type="dxa"/>
            <w:tcBorders/>
            <w:shd w:fill="CCF2F8" w:val="clear"/>
            <w:vAlign w:val="center"/>
          </w:tcPr>
          <w:p>
            <w:pPr>
              <w:pStyle w:val="TableContents"/>
              <w:bidi w:val="0"/>
              <w:spacing w:before="0" w:after="283"/>
              <w:jc w:val="left"/>
              <w:rPr/>
            </w:pPr>
            <w:r>
              <w:rPr/>
              <w:t> </w:t>
            </w:r>
          </w:p>
        </w:tc>
        <w:tc>
          <w:tcPr>
            <w:tcW w:w="6470" w:type="dxa"/>
            <w:tcBorders/>
            <w:shd w:fill="CCF2F8" w:val="clear"/>
            <w:vAlign w:val="center"/>
          </w:tcPr>
          <w:p>
            <w:pPr>
              <w:pStyle w:val="TableContents"/>
              <w:bidi w:val="0"/>
              <w:spacing w:before="0" w:after="283"/>
              <w:jc w:val="left"/>
              <w:rPr>
                <w:color w:val="3E3935"/>
              </w:rPr>
            </w:pPr>
            <w:r>
              <w:rPr>
                <w:color w:val="3E3935"/>
              </w:rPr>
              <w:t>Shareholder Proposal Requesting a Report on the Company’s Use of Deep-Sea Mined Minerals in its Production and Supply Chains</w:t>
            </w:r>
          </w:p>
        </w:tc>
        <w:tc>
          <w:tcPr>
            <w:tcW w:w="240" w:type="dxa"/>
            <w:tcBorders/>
            <w:shd w:fill="CCF2F8" w:val="clear"/>
            <w:vAlign w:val="center"/>
          </w:tcPr>
          <w:p>
            <w:pPr>
              <w:pStyle w:val="TableContents"/>
              <w:bidi w:val="0"/>
              <w:spacing w:before="0" w:after="283"/>
              <w:jc w:val="left"/>
              <w:rPr/>
            </w:pPr>
            <w:r>
              <w:rPr/>
              <w:t>    </w:t>
            </w:r>
          </w:p>
        </w:tc>
        <w:tc>
          <w:tcPr>
            <w:tcW w:w="164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17"/>
              </w:rPr>
            </w:pPr>
            <w:r>
              <w:rPr>
                <w:rFonts w:ascii="arial" w:hAnsi="arial"/>
                <w:b/>
                <w:color w:val="0071CE"/>
                <w:sz w:val="17"/>
              </w:rPr>
              <w:t>AGAINST</w:t>
            </w:r>
          </w:p>
        </w:tc>
        <w:tc>
          <w:tcPr>
            <w:tcW w:w="240" w:type="dxa"/>
            <w:tcBorders/>
            <w:shd w:fill="CCF2F8" w:val="clear"/>
            <w:vAlign w:val="center"/>
          </w:tcPr>
          <w:p>
            <w:pPr>
              <w:pStyle w:val="TableContents"/>
              <w:bidi w:val="0"/>
              <w:spacing w:before="0" w:after="283"/>
              <w:jc w:val="left"/>
              <w:rPr/>
            </w:pPr>
            <w:r>
              <w:rPr/>
              <w:t>    </w:t>
            </w:r>
          </w:p>
        </w:tc>
        <w:tc>
          <w:tcPr>
            <w:tcW w:w="936"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83</w:t>
            </w:r>
          </w:p>
        </w:tc>
      </w:tr>
      <w:tr>
        <w:trPr/>
        <w:tc>
          <w:tcPr>
            <w:tcW w:w="619" w:type="dxa"/>
            <w:tcBorders/>
            <w:vAlign w:val="center"/>
          </w:tcPr>
          <w:p>
            <w:pPr>
              <w:pStyle w:val="TableContents"/>
              <w:bidi w:val="0"/>
              <w:spacing w:before="0" w:after="283"/>
              <w:jc w:val="left"/>
              <w:rPr>
                <w:sz w:val="4"/>
                <w:szCs w:val="4"/>
              </w:rPr>
            </w:pPr>
            <w:r>
              <w:rPr>
                <w:sz w:val="4"/>
                <w:szCs w:val="4"/>
              </w:rPr>
            </w:r>
          </w:p>
        </w:tc>
        <w:tc>
          <w:tcPr>
            <w:tcW w:w="653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bottom w:val="single" w:sz="6" w:space="0" w:color="0071CE"/>
            </w:tcBorders>
            <w:tcMar>
              <w:bottom w:w="16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Item 7:  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470" w:type="dxa"/>
            <w:tcBorders>
              <w:bottom w:val="single" w:sz="6" w:space="0" w:color="0071CE"/>
            </w:tcBorders>
            <w:tcMar>
              <w:bottom w:w="160" w:type="dxa"/>
            </w:tcMar>
            <w:vAlign w:val="center"/>
          </w:tcPr>
          <w:p>
            <w:pPr>
              <w:pStyle w:val="TableContents"/>
              <w:bidi w:val="0"/>
              <w:spacing w:before="0" w:after="283"/>
              <w:jc w:val="left"/>
              <w:rPr>
                <w:color w:val="3E3935"/>
              </w:rPr>
            </w:pPr>
            <w:r>
              <w:rPr>
                <w:color w:val="3E3935"/>
              </w:rPr>
              <w:t>Shareholder Proposal Requesting a Report on Sustainability Risk in the Company’s Supply Chain</w:t>
            </w:r>
          </w:p>
        </w:tc>
        <w:tc>
          <w:tcPr>
            <w:tcW w:w="24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tcBorders>
              <w:bottom w:val="single" w:sz="6" w:space="0" w:color="0071CE"/>
            </w:tcBorders>
            <w:tcMar>
              <w:bottom w:w="1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17"/>
              </w:rPr>
            </w:pPr>
            <w:r>
              <w:rPr>
                <w:rFonts w:ascii="arial" w:hAnsi="arial"/>
                <w:b/>
                <w:color w:val="0071CE"/>
                <w:sz w:val="17"/>
              </w:rPr>
              <w:t>AGAINST</w:t>
            </w:r>
          </w:p>
        </w:tc>
        <w:tc>
          <w:tcPr>
            <w:tcW w:w="240" w:type="dxa"/>
            <w:tcBorders>
              <w:bottom w:val="single" w:sz="6" w:space="0" w:color="0071CE"/>
            </w:tcBorders>
            <w:tcMar>
              <w:bottom w:w="28" w:type="dxa"/>
            </w:tcMar>
            <w:vAlign w:val="center"/>
          </w:tcPr>
          <w:p>
            <w:pPr>
              <w:pStyle w:val="TableContents"/>
              <w:bidi w:val="0"/>
              <w:spacing w:before="0" w:after="283"/>
              <w:jc w:val="left"/>
              <w:rPr/>
            </w:pPr>
            <w:r>
              <w:rPr/>
              <w:t>    </w:t>
            </w:r>
          </w:p>
        </w:tc>
        <w:tc>
          <w:tcPr>
            <w:tcW w:w="936" w:type="dxa"/>
            <w:tcBorders>
              <w:bottom w:val="single" w:sz="6" w:space="0" w:color="0071CE"/>
            </w:tcBorders>
            <w:tcMar>
              <w:bottom w:w="1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85</w:t>
            </w:r>
          </w:p>
        </w:tc>
      </w:tr>
    </w:tbl>
    <w:p>
      <w:pPr>
        <w:pStyle w:val="TextBody"/>
        <w:bidi w:val="0"/>
        <w:spacing w:before="0" w:after="0"/>
        <w:jc w:val="left"/>
        <w:rPr/>
      </w:pPr>
      <w:r>
        <w:rPr/>
        <w:t> </w:t>
      </w:r>
    </w:p>
    <w:tbl>
      <w:tblPr>
        <w:tblW w:w="5146" w:type="dxa"/>
        <w:jc w:val="left"/>
        <w:tblInd w:w="0" w:type="dxa"/>
        <w:tblLayout w:type="fixed"/>
        <w:tblCellMar>
          <w:top w:w="0" w:type="dxa"/>
          <w:left w:w="0" w:type="dxa"/>
          <w:bottom w:w="0" w:type="dxa"/>
          <w:right w:w="0" w:type="dxa"/>
        </w:tblCellMar>
      </w:tblPr>
      <w:tblGrid>
        <w:gridCol w:w="38"/>
        <w:gridCol w:w="60"/>
        <w:gridCol w:w="23"/>
        <w:gridCol w:w="60"/>
        <w:gridCol w:w="2255"/>
        <w:gridCol w:w="60"/>
        <w:gridCol w:w="2255"/>
        <w:gridCol w:w="12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color w:val="3E3935"/>
              </w:rPr>
            </w:pPr>
            <w:r>
              <w:rPr>
                <w:b/>
                <w:color w:val="3E3935"/>
              </w:rPr>
              <w:t>PROXY SUMMARY</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140" w:type="dxa"/>
            <w:tcBorders/>
            <w:vAlign w:val="center"/>
          </w:tcPr>
          <w:p>
            <w:pPr>
              <w:pStyle w:val="TableContents"/>
              <w:bidi w:val="0"/>
              <w:spacing w:before="0" w:after="283"/>
              <w:jc w:val="right"/>
              <w:rPr>
                <w:b/>
                <w:color w:val="0071CE"/>
              </w:rPr>
            </w:pPr>
            <w:r>
              <w:rPr>
                <w:b/>
                <w:color w:val="0071CE"/>
              </w:rPr>
              <w:t>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r>
        <w:rPr>
          <w:rFonts w:ascii="arial" w:hAnsi="arial"/>
          <w:b/>
          <w:color w:val="0071CE"/>
          <w:sz w:val="28"/>
        </w:rPr>
        <w:t xml:space="preserve">Snapshot of Your 2024 Board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96"/>
        <w:gridCol w:w="60"/>
        <w:gridCol w:w="3227"/>
        <w:gridCol w:w="120"/>
        <w:gridCol w:w="425"/>
        <w:gridCol w:w="120"/>
        <w:gridCol w:w="725"/>
        <w:gridCol w:w="120"/>
        <w:gridCol w:w="1310"/>
        <w:gridCol w:w="60"/>
        <w:gridCol w:w="2442"/>
      </w:tblGrid>
      <w:tr>
        <w:trPr/>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r>
      <w:tr>
        <w:trPr/>
        <w:tc>
          <w:tcPr>
            <w:tcW w:w="1596"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Name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227"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Principal Occupation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425"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Age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25"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Director</w:t>
            </w:r>
          </w:p>
          <w:p>
            <w:pPr>
              <w:pStyle w:val="TableContents"/>
              <w:bidi w:val="0"/>
              <w:spacing w:before="0" w:after="20"/>
              <w:jc w:val="center"/>
              <w:rPr>
                <w:rFonts w:ascii="arial" w:hAnsi="arial"/>
                <w:b/>
                <w:color w:val="3E3935"/>
                <w:sz w:val="18"/>
              </w:rPr>
            </w:pPr>
            <w:r>
              <w:rPr>
                <w:rFonts w:ascii="arial" w:hAnsi="arial"/>
                <w:b/>
                <w:color w:val="3E3935"/>
                <w:sz w:val="18"/>
              </w:rPr>
              <w:t>Since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10"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Independent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2442"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Committee Memberships</w:t>
            </w:r>
          </w:p>
        </w:tc>
      </w:tr>
      <w:tr>
        <w:trPr/>
        <w:tc>
          <w:tcPr>
            <w:tcW w:w="1596"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9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Mary T. Barra</w:t>
            </w:r>
          </w:p>
        </w:tc>
        <w:tc>
          <w:tcPr>
            <w:tcW w:w="60" w:type="dxa"/>
            <w:tcBorders/>
            <w:vAlign w:val="center"/>
          </w:tcPr>
          <w:p>
            <w:pPr>
              <w:pStyle w:val="TableContents"/>
              <w:bidi w:val="0"/>
              <w:spacing w:before="0" w:after="283"/>
              <w:jc w:val="left"/>
              <w:rPr/>
            </w:pPr>
            <w:r>
              <w:rPr/>
              <w:t> </w:t>
            </w:r>
          </w:p>
        </w:tc>
        <w:tc>
          <w:tcPr>
            <w:tcW w:w="322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Chair and Chief Executive Officer,</w:t>
            </w:r>
          </w:p>
          <w:p>
            <w:pPr>
              <w:pStyle w:val="TableContents"/>
              <w:bidi w:val="0"/>
              <w:spacing w:before="0" w:after="20"/>
              <w:jc w:val="left"/>
              <w:rPr>
                <w:rFonts w:ascii="arial" w:hAnsi="arial"/>
                <w:color w:val="3E3935"/>
                <w:sz w:val="17"/>
              </w:rPr>
            </w:pPr>
            <w:r>
              <w:rPr>
                <w:rFonts w:ascii="arial" w:hAnsi="arial"/>
                <w:color w:val="3E3935"/>
                <w:sz w:val="17"/>
              </w:rPr>
              <w:t>General Motors Company</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62</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2014</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2"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color w:val="3E3935"/>
                <w:sz w:val="17"/>
              </w:rPr>
              <w:t>- Executive </w:t>
            </w:r>
            <w:r>
              <w:rPr>
                <w:rFonts w:ascii="arial" w:hAnsi="arial"/>
                <w:b/>
                <w:color w:val="0071CE"/>
                <w:sz w:val="17"/>
              </w:rPr>
              <w:t>(Chair)</w:t>
            </w:r>
          </w:p>
        </w:tc>
      </w:tr>
      <w:tr>
        <w:trPr/>
        <w:tc>
          <w:tcPr>
            <w:tcW w:w="1596" w:type="dxa"/>
            <w:tcBorders/>
            <w:shd w:fill="CCF2F8" w:val="clear"/>
            <w:vAlign w:val="center"/>
          </w:tcPr>
          <w:p>
            <w:pPr>
              <w:pStyle w:val="TableContents"/>
              <w:bidi w:val="0"/>
              <w:spacing w:before="0" w:after="283"/>
              <w:jc w:val="left"/>
              <w:rPr>
                <w:sz w:val="4"/>
                <w:szCs w:val="4"/>
              </w:rPr>
            </w:pPr>
            <w:r>
              <w:rPr>
                <w:sz w:val="4"/>
                <w:szCs w:val="4"/>
              </w:rPr>
            </w:r>
          </w:p>
        </w:tc>
        <w:tc>
          <w:tcPr>
            <w:tcW w:w="3287" w:type="dxa"/>
            <w:gridSpan w:val="2"/>
            <w:tcBorders/>
            <w:shd w:fill="CCF2F8" w:val="clear"/>
            <w:vAlign w:val="center"/>
          </w:tcPr>
          <w:p>
            <w:pPr>
              <w:pStyle w:val="TableContents"/>
              <w:bidi w:val="0"/>
              <w:spacing w:before="0" w:after="283"/>
              <w:jc w:val="left"/>
              <w:rPr>
                <w:sz w:val="4"/>
                <w:szCs w:val="4"/>
              </w:rPr>
            </w:pPr>
            <w:r>
              <w:rPr>
                <w:sz w:val="4"/>
                <w:szCs w:val="4"/>
              </w:rPr>
            </w:r>
          </w:p>
        </w:tc>
        <w:tc>
          <w:tcPr>
            <w:tcW w:w="545" w:type="dxa"/>
            <w:gridSpan w:val="2"/>
            <w:tcBorders/>
            <w:shd w:fill="CCF2F8" w:val="clear"/>
            <w:vAlign w:val="center"/>
          </w:tcPr>
          <w:p>
            <w:pPr>
              <w:pStyle w:val="TableContents"/>
              <w:bidi w:val="0"/>
              <w:spacing w:before="0" w:after="283"/>
              <w:jc w:val="left"/>
              <w:rPr>
                <w:sz w:val="4"/>
                <w:szCs w:val="4"/>
              </w:rPr>
            </w:pPr>
            <w:r>
              <w:rPr>
                <w:sz w:val="4"/>
                <w:szCs w:val="4"/>
              </w:rPr>
            </w:r>
          </w:p>
        </w:tc>
        <w:tc>
          <w:tcPr>
            <w:tcW w:w="845" w:type="dxa"/>
            <w:gridSpan w:val="2"/>
            <w:tcBorders/>
            <w:shd w:fill="CCF2F8" w:val="clear"/>
            <w:vAlign w:val="center"/>
          </w:tcPr>
          <w:p>
            <w:pPr>
              <w:pStyle w:val="TableContents"/>
              <w:bidi w:val="0"/>
              <w:spacing w:before="0" w:after="283"/>
              <w:jc w:val="left"/>
              <w:rPr>
                <w:sz w:val="4"/>
                <w:szCs w:val="4"/>
              </w:rPr>
            </w:pPr>
            <w:r>
              <w:rPr>
                <w:sz w:val="4"/>
                <w:szCs w:val="4"/>
              </w:rPr>
            </w:r>
          </w:p>
        </w:tc>
        <w:tc>
          <w:tcPr>
            <w:tcW w:w="1430" w:type="dxa"/>
            <w:gridSpan w:val="2"/>
            <w:tcBorders/>
            <w:shd w:fill="CCF2F8" w:val="clear"/>
            <w:vAlign w:val="center"/>
          </w:tcPr>
          <w:p>
            <w:pPr>
              <w:pStyle w:val="TableContents"/>
              <w:bidi w:val="0"/>
              <w:spacing w:before="0" w:after="283"/>
              <w:jc w:val="left"/>
              <w:rPr>
                <w:sz w:val="4"/>
                <w:szCs w:val="4"/>
              </w:rPr>
            </w:pPr>
            <w:r>
              <w:rPr>
                <w:sz w:val="4"/>
                <w:szCs w:val="4"/>
              </w:rPr>
            </w:r>
          </w:p>
        </w:tc>
        <w:tc>
          <w:tcPr>
            <w:tcW w:w="250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596"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Wesley G. Bush</w:t>
            </w:r>
          </w:p>
        </w:tc>
        <w:tc>
          <w:tcPr>
            <w:tcW w:w="60" w:type="dxa"/>
            <w:tcBorders/>
            <w:shd w:fill="CCF2F8" w:val="clear"/>
            <w:vAlign w:val="center"/>
          </w:tcPr>
          <w:p>
            <w:pPr>
              <w:pStyle w:val="TableContents"/>
              <w:bidi w:val="0"/>
              <w:spacing w:before="0" w:after="283"/>
              <w:jc w:val="left"/>
              <w:rPr/>
            </w:pPr>
            <w:r>
              <w:rPr/>
              <w:t> </w:t>
            </w:r>
          </w:p>
        </w:tc>
        <w:tc>
          <w:tcPr>
            <w:tcW w:w="3227" w:type="dxa"/>
            <w:tcBorders/>
            <w:shd w:fill="CCF2F8"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Retired Chairman and Chief Executive Officer,</w:t>
            </w:r>
          </w:p>
          <w:p>
            <w:pPr>
              <w:pStyle w:val="TableContents"/>
              <w:bidi w:val="0"/>
              <w:spacing w:before="0" w:after="20"/>
              <w:jc w:val="left"/>
              <w:rPr>
                <w:rFonts w:ascii="arial" w:hAnsi="arial"/>
                <w:color w:val="3E3935"/>
                <w:sz w:val="17"/>
              </w:rPr>
            </w:pPr>
            <w:r>
              <w:rPr>
                <w:rFonts w:ascii="arial" w:hAnsi="arial"/>
                <w:color w:val="3E3935"/>
                <w:sz w:val="17"/>
              </w:rPr>
              <w:t>Northrop Grumman Corporation</w:t>
            </w:r>
          </w:p>
        </w:tc>
        <w:tc>
          <w:tcPr>
            <w:tcW w:w="120" w:type="dxa"/>
            <w:tcBorders/>
            <w:shd w:fill="CCF2F8" w:val="clear"/>
            <w:vAlign w:val="center"/>
          </w:tcPr>
          <w:p>
            <w:pPr>
              <w:pStyle w:val="TableContents"/>
              <w:bidi w:val="0"/>
              <w:spacing w:before="0" w:after="283"/>
              <w:jc w:val="left"/>
              <w:rPr/>
            </w:pPr>
            <w:r>
              <w:rPr/>
              <w:t>  </w:t>
            </w:r>
          </w:p>
        </w:tc>
        <w:tc>
          <w:tcPr>
            <w:tcW w:w="4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63</w:t>
            </w:r>
          </w:p>
        </w:tc>
        <w:tc>
          <w:tcPr>
            <w:tcW w:w="120" w:type="dxa"/>
            <w:tcBorders/>
            <w:shd w:fill="CCF2F8" w:val="clear"/>
            <w:vAlign w:val="center"/>
          </w:tcPr>
          <w:p>
            <w:pPr>
              <w:pStyle w:val="TableContents"/>
              <w:bidi w:val="0"/>
              <w:spacing w:before="0" w:after="283"/>
              <w:jc w:val="left"/>
              <w:rPr/>
            </w:pPr>
            <w:r>
              <w:rPr/>
              <w:t>  </w:t>
            </w:r>
          </w:p>
        </w:tc>
        <w:tc>
          <w:tcPr>
            <w:tcW w:w="7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2019</w:t>
            </w:r>
          </w:p>
        </w:tc>
        <w:tc>
          <w:tcPr>
            <w:tcW w:w="120" w:type="dxa"/>
            <w:tcBorders/>
            <w:shd w:fill="CCF2F8" w:val="clear"/>
            <w:vAlign w:val="center"/>
          </w:tcPr>
          <w:p>
            <w:pPr>
              <w:pStyle w:val="TableContents"/>
              <w:bidi w:val="0"/>
              <w:spacing w:before="0" w:after="283"/>
              <w:jc w:val="left"/>
              <w:rPr/>
            </w:pPr>
            <w:r>
              <w:rPr/>
              <w:t>  </w:t>
            </w:r>
          </w:p>
        </w:tc>
        <w:tc>
          <w:tcPr>
            <w:tcW w:w="131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2442"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- Audit</w:t>
            </w:r>
          </w:p>
          <w:p>
            <w:pPr>
              <w:pStyle w:val="TableContents"/>
              <w:bidi w:val="0"/>
              <w:spacing w:before="0" w:after="0"/>
              <w:jc w:val="left"/>
              <w:rPr>
                <w:rFonts w:ascii="arial" w:hAnsi="arial"/>
                <w:sz w:val="17"/>
              </w:rPr>
            </w:pPr>
            <w:r>
              <w:rPr>
                <w:rFonts w:ascii="arial" w:hAnsi="arial"/>
                <w:color w:val="3E3935"/>
                <w:sz w:val="17"/>
              </w:rPr>
              <w:t xml:space="preserve">- Compensation </w:t>
            </w:r>
            <w:r>
              <w:rPr>
                <w:rFonts w:ascii="arial" w:hAnsi="arial"/>
                <w:b/>
                <w:color w:val="0071CE"/>
                <w:sz w:val="17"/>
              </w:rPr>
              <w:t>(Chair)</w:t>
            </w:r>
          </w:p>
          <w:p>
            <w:pPr>
              <w:pStyle w:val="TableContents"/>
              <w:bidi w:val="0"/>
              <w:spacing w:before="0" w:after="0"/>
              <w:jc w:val="left"/>
              <w:rPr>
                <w:rFonts w:ascii="arial" w:hAnsi="arial"/>
                <w:color w:val="3E3935"/>
                <w:sz w:val="17"/>
              </w:rPr>
            </w:pPr>
            <w:r>
              <w:rPr>
                <w:rFonts w:ascii="arial" w:hAnsi="arial"/>
                <w:color w:val="3E3935"/>
                <w:sz w:val="17"/>
              </w:rPr>
              <w:t>- Executive</w:t>
            </w:r>
          </w:p>
          <w:p>
            <w:pPr>
              <w:pStyle w:val="TableContents"/>
              <w:bidi w:val="0"/>
              <w:spacing w:before="0" w:after="20"/>
              <w:jc w:val="left"/>
              <w:rPr>
                <w:rFonts w:ascii="arial" w:hAnsi="arial"/>
                <w:color w:val="3E3935"/>
                <w:sz w:val="17"/>
              </w:rPr>
            </w:pPr>
            <w:r>
              <w:rPr>
                <w:rFonts w:ascii="arial" w:hAnsi="arial"/>
                <w:color w:val="3E3935"/>
                <w:sz w:val="17"/>
              </w:rPr>
              <w:t>- Finance</w:t>
            </w:r>
          </w:p>
        </w:tc>
      </w:tr>
      <w:tr>
        <w:trPr/>
        <w:tc>
          <w:tcPr>
            <w:tcW w:w="1596"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9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Joanne C. Crevoiserat</w:t>
            </w:r>
          </w:p>
        </w:tc>
        <w:tc>
          <w:tcPr>
            <w:tcW w:w="60" w:type="dxa"/>
            <w:tcBorders/>
            <w:vAlign w:val="center"/>
          </w:tcPr>
          <w:p>
            <w:pPr>
              <w:pStyle w:val="TableContents"/>
              <w:bidi w:val="0"/>
              <w:spacing w:before="0" w:after="283"/>
              <w:jc w:val="left"/>
              <w:rPr/>
            </w:pPr>
            <w:r>
              <w:rPr/>
              <w:t> </w:t>
            </w:r>
          </w:p>
        </w:tc>
        <w:tc>
          <w:tcPr>
            <w:tcW w:w="322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Chief Executive Officer,</w:t>
            </w:r>
          </w:p>
          <w:p>
            <w:pPr>
              <w:pStyle w:val="TableContents"/>
              <w:bidi w:val="0"/>
              <w:spacing w:before="0" w:after="20"/>
              <w:jc w:val="left"/>
              <w:rPr>
                <w:rFonts w:ascii="arial" w:hAnsi="arial"/>
                <w:color w:val="3E3935"/>
                <w:sz w:val="17"/>
              </w:rPr>
            </w:pPr>
            <w:r>
              <w:rPr>
                <w:rFonts w:ascii="arial" w:hAnsi="arial"/>
                <w:color w:val="3E3935"/>
                <w:sz w:val="17"/>
              </w:rPr>
              <w:t>Tapestry, Inc.</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60</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2022</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244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- Audit</w:t>
            </w:r>
          </w:p>
          <w:p>
            <w:pPr>
              <w:pStyle w:val="TableContents"/>
              <w:bidi w:val="0"/>
              <w:spacing w:before="0" w:after="0"/>
              <w:jc w:val="left"/>
              <w:rPr>
                <w:rFonts w:ascii="arial" w:hAnsi="arial"/>
                <w:color w:val="3E3935"/>
                <w:sz w:val="17"/>
              </w:rPr>
            </w:pPr>
            <w:r>
              <w:rPr>
                <w:rFonts w:ascii="arial" w:hAnsi="arial"/>
                <w:color w:val="3E3935"/>
                <w:sz w:val="17"/>
              </w:rPr>
              <w:t>- Finance</w:t>
            </w:r>
          </w:p>
          <w:p>
            <w:pPr>
              <w:pStyle w:val="TableContents"/>
              <w:bidi w:val="0"/>
              <w:spacing w:before="0" w:after="20"/>
              <w:jc w:val="left"/>
              <w:rPr>
                <w:rFonts w:ascii="arial" w:hAnsi="arial"/>
                <w:color w:val="3E3935"/>
                <w:sz w:val="17"/>
              </w:rPr>
            </w:pPr>
            <w:r>
              <w:rPr>
                <w:rFonts w:ascii="arial" w:hAnsi="arial"/>
                <w:color w:val="3E3935"/>
                <w:sz w:val="17"/>
              </w:rPr>
              <w:t>- Governance</w:t>
            </w:r>
          </w:p>
        </w:tc>
      </w:tr>
      <w:tr>
        <w:trPr/>
        <w:tc>
          <w:tcPr>
            <w:tcW w:w="1596" w:type="dxa"/>
            <w:tcBorders/>
            <w:shd w:fill="CCF2F8" w:val="clear"/>
            <w:vAlign w:val="center"/>
          </w:tcPr>
          <w:p>
            <w:pPr>
              <w:pStyle w:val="TableContents"/>
              <w:bidi w:val="0"/>
              <w:spacing w:before="0" w:after="283"/>
              <w:jc w:val="left"/>
              <w:rPr>
                <w:sz w:val="4"/>
                <w:szCs w:val="4"/>
              </w:rPr>
            </w:pPr>
            <w:r>
              <w:rPr>
                <w:sz w:val="4"/>
                <w:szCs w:val="4"/>
              </w:rPr>
            </w:r>
          </w:p>
        </w:tc>
        <w:tc>
          <w:tcPr>
            <w:tcW w:w="3287" w:type="dxa"/>
            <w:gridSpan w:val="2"/>
            <w:tcBorders/>
            <w:shd w:fill="CCF2F8" w:val="clear"/>
            <w:vAlign w:val="center"/>
          </w:tcPr>
          <w:p>
            <w:pPr>
              <w:pStyle w:val="TableContents"/>
              <w:bidi w:val="0"/>
              <w:spacing w:before="0" w:after="283"/>
              <w:jc w:val="left"/>
              <w:rPr>
                <w:sz w:val="4"/>
                <w:szCs w:val="4"/>
              </w:rPr>
            </w:pPr>
            <w:r>
              <w:rPr>
                <w:sz w:val="4"/>
                <w:szCs w:val="4"/>
              </w:rPr>
            </w:r>
          </w:p>
        </w:tc>
        <w:tc>
          <w:tcPr>
            <w:tcW w:w="545" w:type="dxa"/>
            <w:gridSpan w:val="2"/>
            <w:tcBorders/>
            <w:shd w:fill="CCF2F8" w:val="clear"/>
            <w:vAlign w:val="center"/>
          </w:tcPr>
          <w:p>
            <w:pPr>
              <w:pStyle w:val="TableContents"/>
              <w:bidi w:val="0"/>
              <w:spacing w:before="0" w:after="283"/>
              <w:jc w:val="left"/>
              <w:rPr>
                <w:sz w:val="4"/>
                <w:szCs w:val="4"/>
              </w:rPr>
            </w:pPr>
            <w:r>
              <w:rPr>
                <w:sz w:val="4"/>
                <w:szCs w:val="4"/>
              </w:rPr>
            </w:r>
          </w:p>
        </w:tc>
        <w:tc>
          <w:tcPr>
            <w:tcW w:w="845" w:type="dxa"/>
            <w:gridSpan w:val="2"/>
            <w:tcBorders/>
            <w:shd w:fill="CCF2F8" w:val="clear"/>
            <w:vAlign w:val="center"/>
          </w:tcPr>
          <w:p>
            <w:pPr>
              <w:pStyle w:val="TableContents"/>
              <w:bidi w:val="0"/>
              <w:spacing w:before="0" w:after="283"/>
              <w:jc w:val="left"/>
              <w:rPr>
                <w:sz w:val="4"/>
                <w:szCs w:val="4"/>
              </w:rPr>
            </w:pPr>
            <w:r>
              <w:rPr>
                <w:sz w:val="4"/>
                <w:szCs w:val="4"/>
              </w:rPr>
            </w:r>
          </w:p>
        </w:tc>
        <w:tc>
          <w:tcPr>
            <w:tcW w:w="1430" w:type="dxa"/>
            <w:gridSpan w:val="2"/>
            <w:tcBorders/>
            <w:shd w:fill="CCF2F8" w:val="clear"/>
            <w:vAlign w:val="center"/>
          </w:tcPr>
          <w:p>
            <w:pPr>
              <w:pStyle w:val="TableContents"/>
              <w:bidi w:val="0"/>
              <w:spacing w:before="0" w:after="283"/>
              <w:jc w:val="left"/>
              <w:rPr>
                <w:sz w:val="4"/>
                <w:szCs w:val="4"/>
              </w:rPr>
            </w:pPr>
            <w:r>
              <w:rPr>
                <w:sz w:val="4"/>
                <w:szCs w:val="4"/>
              </w:rPr>
            </w:r>
          </w:p>
        </w:tc>
        <w:tc>
          <w:tcPr>
            <w:tcW w:w="250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596"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Linda R. Gooden</w:t>
            </w:r>
          </w:p>
        </w:tc>
        <w:tc>
          <w:tcPr>
            <w:tcW w:w="60" w:type="dxa"/>
            <w:tcBorders/>
            <w:shd w:fill="CCF2F8" w:val="clear"/>
            <w:vAlign w:val="center"/>
          </w:tcPr>
          <w:p>
            <w:pPr>
              <w:pStyle w:val="TableContents"/>
              <w:bidi w:val="0"/>
              <w:spacing w:before="0" w:after="283"/>
              <w:jc w:val="left"/>
              <w:rPr/>
            </w:pPr>
            <w:r>
              <w:rPr/>
              <w:t> </w:t>
            </w:r>
          </w:p>
        </w:tc>
        <w:tc>
          <w:tcPr>
            <w:tcW w:w="3227"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Retired Executive Vice President,</w:t>
            </w:r>
          </w:p>
          <w:p>
            <w:pPr>
              <w:pStyle w:val="TableContents"/>
              <w:bidi w:val="0"/>
              <w:spacing w:before="0" w:after="0"/>
              <w:jc w:val="left"/>
              <w:rPr>
                <w:rFonts w:ascii="arial" w:hAnsi="arial"/>
                <w:color w:val="3E3935"/>
                <w:sz w:val="17"/>
              </w:rPr>
            </w:pPr>
            <w:r>
              <w:rPr>
                <w:rFonts w:ascii="arial" w:hAnsi="arial"/>
                <w:color w:val="3E3935"/>
                <w:sz w:val="17"/>
              </w:rPr>
              <w:t>Information Systems and Global Solutions,</w:t>
            </w:r>
          </w:p>
          <w:p>
            <w:pPr>
              <w:pStyle w:val="TableContents"/>
              <w:bidi w:val="0"/>
              <w:spacing w:before="0" w:after="20"/>
              <w:jc w:val="left"/>
              <w:rPr>
                <w:rFonts w:ascii="arial" w:hAnsi="arial"/>
                <w:color w:val="3E3935"/>
                <w:sz w:val="17"/>
              </w:rPr>
            </w:pPr>
            <w:r>
              <w:rPr>
                <w:rFonts w:ascii="arial" w:hAnsi="arial"/>
                <w:color w:val="3E3935"/>
                <w:sz w:val="17"/>
              </w:rPr>
              <w:t>Lockheed Martin Corporation</w:t>
            </w:r>
          </w:p>
        </w:tc>
        <w:tc>
          <w:tcPr>
            <w:tcW w:w="120" w:type="dxa"/>
            <w:tcBorders/>
            <w:shd w:fill="CCF2F8" w:val="clear"/>
            <w:vAlign w:val="center"/>
          </w:tcPr>
          <w:p>
            <w:pPr>
              <w:pStyle w:val="TableContents"/>
              <w:bidi w:val="0"/>
              <w:spacing w:before="0" w:after="283"/>
              <w:jc w:val="left"/>
              <w:rPr/>
            </w:pPr>
            <w:r>
              <w:rPr/>
              <w:t>  </w:t>
            </w:r>
          </w:p>
        </w:tc>
        <w:tc>
          <w:tcPr>
            <w:tcW w:w="4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71</w:t>
            </w:r>
          </w:p>
        </w:tc>
        <w:tc>
          <w:tcPr>
            <w:tcW w:w="120" w:type="dxa"/>
            <w:tcBorders/>
            <w:shd w:fill="CCF2F8" w:val="clear"/>
            <w:vAlign w:val="center"/>
          </w:tcPr>
          <w:p>
            <w:pPr>
              <w:pStyle w:val="TableContents"/>
              <w:bidi w:val="0"/>
              <w:spacing w:before="0" w:after="283"/>
              <w:jc w:val="left"/>
              <w:rPr/>
            </w:pPr>
            <w:r>
              <w:rPr/>
              <w:t>  </w:t>
            </w:r>
          </w:p>
        </w:tc>
        <w:tc>
          <w:tcPr>
            <w:tcW w:w="7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2015</w:t>
            </w:r>
          </w:p>
        </w:tc>
        <w:tc>
          <w:tcPr>
            <w:tcW w:w="120" w:type="dxa"/>
            <w:tcBorders/>
            <w:shd w:fill="CCF2F8" w:val="clear"/>
            <w:vAlign w:val="center"/>
          </w:tcPr>
          <w:p>
            <w:pPr>
              <w:pStyle w:val="TableContents"/>
              <w:bidi w:val="0"/>
              <w:spacing w:before="0" w:after="283"/>
              <w:jc w:val="left"/>
              <w:rPr/>
            </w:pPr>
            <w:r>
              <w:rPr/>
              <w:t>  </w:t>
            </w:r>
          </w:p>
        </w:tc>
        <w:tc>
          <w:tcPr>
            <w:tcW w:w="131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2442"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- Audit</w:t>
            </w:r>
          </w:p>
          <w:p>
            <w:pPr>
              <w:pStyle w:val="TableContents"/>
              <w:bidi w:val="0"/>
              <w:spacing w:before="0" w:after="0"/>
              <w:jc w:val="left"/>
              <w:rPr>
                <w:rFonts w:ascii="arial" w:hAnsi="arial"/>
                <w:color w:val="3E3935"/>
                <w:sz w:val="17"/>
              </w:rPr>
            </w:pPr>
            <w:r>
              <w:rPr>
                <w:rFonts w:ascii="arial" w:hAnsi="arial"/>
                <w:color w:val="3E3935"/>
                <w:sz w:val="17"/>
              </w:rPr>
              <w:t>- Executive</w:t>
            </w:r>
          </w:p>
          <w:p>
            <w:pPr>
              <w:pStyle w:val="TableContents"/>
              <w:bidi w:val="0"/>
              <w:spacing w:before="0" w:after="20"/>
              <w:jc w:val="left"/>
              <w:rPr>
                <w:rFonts w:ascii="arial" w:hAnsi="arial"/>
                <w:sz w:val="17"/>
              </w:rPr>
            </w:pPr>
            <w:r>
              <w:rPr>
                <w:rFonts w:ascii="arial" w:hAnsi="arial"/>
                <w:color w:val="3E3935"/>
                <w:sz w:val="17"/>
              </w:rPr>
              <w:t xml:space="preserve">- Risk and Cybersecurity </w:t>
            </w:r>
            <w:r>
              <w:rPr>
                <w:rFonts w:ascii="arial" w:hAnsi="arial"/>
                <w:b/>
                <w:color w:val="0071CE"/>
                <w:sz w:val="17"/>
              </w:rPr>
              <w:t>(Chair)</w:t>
            </w:r>
          </w:p>
        </w:tc>
      </w:tr>
      <w:tr>
        <w:trPr/>
        <w:tc>
          <w:tcPr>
            <w:tcW w:w="1596"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9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Joseph Jimenez</w:t>
            </w:r>
          </w:p>
        </w:tc>
        <w:tc>
          <w:tcPr>
            <w:tcW w:w="60" w:type="dxa"/>
            <w:tcBorders/>
            <w:vAlign w:val="center"/>
          </w:tcPr>
          <w:p>
            <w:pPr>
              <w:pStyle w:val="TableContents"/>
              <w:bidi w:val="0"/>
              <w:spacing w:before="0" w:after="283"/>
              <w:jc w:val="left"/>
              <w:rPr/>
            </w:pPr>
            <w:r>
              <w:rPr/>
              <w:t> </w:t>
            </w:r>
          </w:p>
        </w:tc>
        <w:tc>
          <w:tcPr>
            <w:tcW w:w="322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Co-Founder and Managing Director,</w:t>
            </w:r>
          </w:p>
          <w:p>
            <w:pPr>
              <w:pStyle w:val="TableContents"/>
              <w:bidi w:val="0"/>
              <w:spacing w:before="0" w:after="20"/>
              <w:jc w:val="left"/>
              <w:rPr>
                <w:rFonts w:ascii="arial" w:hAnsi="arial"/>
                <w:color w:val="3E3935"/>
                <w:sz w:val="17"/>
              </w:rPr>
            </w:pPr>
            <w:r>
              <w:rPr>
                <w:rFonts w:ascii="arial" w:hAnsi="arial"/>
                <w:color w:val="3E3935"/>
                <w:sz w:val="17"/>
              </w:rPr>
              <w:t>Aditum Bio</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64</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2015</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244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- Compensation</w:t>
            </w:r>
          </w:p>
          <w:p>
            <w:pPr>
              <w:pStyle w:val="TableContents"/>
              <w:bidi w:val="0"/>
              <w:spacing w:before="0" w:after="0"/>
              <w:jc w:val="left"/>
              <w:rPr>
                <w:rFonts w:ascii="arial" w:hAnsi="arial"/>
                <w:color w:val="3E3935"/>
                <w:sz w:val="17"/>
              </w:rPr>
            </w:pPr>
            <w:r>
              <w:rPr>
                <w:rFonts w:ascii="arial" w:hAnsi="arial"/>
                <w:color w:val="3E3935"/>
                <w:sz w:val="17"/>
              </w:rPr>
              <w:t>- Executive</w:t>
            </w:r>
          </w:p>
          <w:p>
            <w:pPr>
              <w:pStyle w:val="TableContents"/>
              <w:bidi w:val="0"/>
              <w:spacing w:before="0" w:after="0"/>
              <w:jc w:val="left"/>
              <w:rPr>
                <w:rFonts w:ascii="arial" w:hAnsi="arial"/>
                <w:sz w:val="17"/>
              </w:rPr>
            </w:pPr>
            <w:r>
              <w:rPr>
                <w:rFonts w:ascii="arial" w:hAnsi="arial"/>
                <w:color w:val="3E3935"/>
                <w:sz w:val="17"/>
              </w:rPr>
              <w:t>- Finance</w:t>
            </w:r>
            <w:r>
              <w:rPr>
                <w:rFonts w:ascii="arial" w:hAnsi="arial"/>
                <w:color w:val="0071CE"/>
                <w:sz w:val="17"/>
              </w:rPr>
              <w:t xml:space="preserve"> </w:t>
            </w:r>
            <w:r>
              <w:rPr>
                <w:rFonts w:ascii="arial" w:hAnsi="arial"/>
                <w:b/>
                <w:color w:val="0071CE"/>
                <w:sz w:val="17"/>
              </w:rPr>
              <w:t>(Chair)</w:t>
            </w:r>
          </w:p>
          <w:p>
            <w:pPr>
              <w:pStyle w:val="TableContents"/>
              <w:bidi w:val="0"/>
              <w:spacing w:before="0" w:after="20"/>
              <w:jc w:val="left"/>
              <w:rPr>
                <w:rFonts w:ascii="arial" w:hAnsi="arial"/>
                <w:color w:val="3E3935"/>
                <w:sz w:val="17"/>
              </w:rPr>
            </w:pPr>
            <w:r>
              <w:rPr>
                <w:rFonts w:ascii="arial" w:hAnsi="arial"/>
                <w:color w:val="3E3935"/>
                <w:sz w:val="17"/>
              </w:rPr>
              <w:t>- Risk and Cybersecurity</w:t>
            </w:r>
          </w:p>
        </w:tc>
      </w:tr>
      <w:tr>
        <w:trPr/>
        <w:tc>
          <w:tcPr>
            <w:tcW w:w="1596" w:type="dxa"/>
            <w:tcBorders/>
            <w:shd w:fill="CCF2F8" w:val="clear"/>
            <w:vAlign w:val="center"/>
          </w:tcPr>
          <w:p>
            <w:pPr>
              <w:pStyle w:val="TableContents"/>
              <w:bidi w:val="0"/>
              <w:spacing w:before="0" w:after="283"/>
              <w:jc w:val="left"/>
              <w:rPr>
                <w:sz w:val="4"/>
                <w:szCs w:val="4"/>
              </w:rPr>
            </w:pPr>
            <w:r>
              <w:rPr>
                <w:sz w:val="4"/>
                <w:szCs w:val="4"/>
              </w:rPr>
            </w:r>
          </w:p>
        </w:tc>
        <w:tc>
          <w:tcPr>
            <w:tcW w:w="3287" w:type="dxa"/>
            <w:gridSpan w:val="2"/>
            <w:tcBorders/>
            <w:shd w:fill="CCF2F8" w:val="clear"/>
            <w:vAlign w:val="center"/>
          </w:tcPr>
          <w:p>
            <w:pPr>
              <w:pStyle w:val="TableContents"/>
              <w:bidi w:val="0"/>
              <w:spacing w:before="0" w:after="283"/>
              <w:jc w:val="left"/>
              <w:rPr>
                <w:sz w:val="4"/>
                <w:szCs w:val="4"/>
              </w:rPr>
            </w:pPr>
            <w:r>
              <w:rPr>
                <w:sz w:val="4"/>
                <w:szCs w:val="4"/>
              </w:rPr>
            </w:r>
          </w:p>
        </w:tc>
        <w:tc>
          <w:tcPr>
            <w:tcW w:w="545" w:type="dxa"/>
            <w:gridSpan w:val="2"/>
            <w:tcBorders/>
            <w:shd w:fill="CCF2F8" w:val="clear"/>
            <w:vAlign w:val="center"/>
          </w:tcPr>
          <w:p>
            <w:pPr>
              <w:pStyle w:val="TableContents"/>
              <w:bidi w:val="0"/>
              <w:spacing w:before="0" w:after="283"/>
              <w:jc w:val="left"/>
              <w:rPr>
                <w:sz w:val="4"/>
                <w:szCs w:val="4"/>
              </w:rPr>
            </w:pPr>
            <w:r>
              <w:rPr>
                <w:sz w:val="4"/>
                <w:szCs w:val="4"/>
              </w:rPr>
            </w:r>
          </w:p>
        </w:tc>
        <w:tc>
          <w:tcPr>
            <w:tcW w:w="845" w:type="dxa"/>
            <w:gridSpan w:val="2"/>
            <w:tcBorders/>
            <w:shd w:fill="CCF2F8" w:val="clear"/>
            <w:vAlign w:val="center"/>
          </w:tcPr>
          <w:p>
            <w:pPr>
              <w:pStyle w:val="TableContents"/>
              <w:bidi w:val="0"/>
              <w:spacing w:before="0" w:after="283"/>
              <w:jc w:val="left"/>
              <w:rPr>
                <w:sz w:val="4"/>
                <w:szCs w:val="4"/>
              </w:rPr>
            </w:pPr>
            <w:r>
              <w:rPr>
                <w:sz w:val="4"/>
                <w:szCs w:val="4"/>
              </w:rPr>
            </w:r>
          </w:p>
        </w:tc>
        <w:tc>
          <w:tcPr>
            <w:tcW w:w="1430" w:type="dxa"/>
            <w:gridSpan w:val="2"/>
            <w:tcBorders/>
            <w:shd w:fill="CCF2F8" w:val="clear"/>
            <w:vAlign w:val="center"/>
          </w:tcPr>
          <w:p>
            <w:pPr>
              <w:pStyle w:val="TableContents"/>
              <w:bidi w:val="0"/>
              <w:spacing w:before="0" w:after="283"/>
              <w:jc w:val="left"/>
              <w:rPr>
                <w:sz w:val="4"/>
                <w:szCs w:val="4"/>
              </w:rPr>
            </w:pPr>
            <w:r>
              <w:rPr>
                <w:sz w:val="4"/>
                <w:szCs w:val="4"/>
              </w:rPr>
            </w:r>
          </w:p>
        </w:tc>
        <w:tc>
          <w:tcPr>
            <w:tcW w:w="250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596"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Jonathan McNeill</w:t>
            </w:r>
          </w:p>
        </w:tc>
        <w:tc>
          <w:tcPr>
            <w:tcW w:w="60" w:type="dxa"/>
            <w:tcBorders/>
            <w:shd w:fill="CCF2F8" w:val="clear"/>
            <w:vAlign w:val="center"/>
          </w:tcPr>
          <w:p>
            <w:pPr>
              <w:pStyle w:val="TableContents"/>
              <w:bidi w:val="0"/>
              <w:spacing w:before="0" w:after="283"/>
              <w:jc w:val="left"/>
              <w:rPr/>
            </w:pPr>
            <w:r>
              <w:rPr/>
              <w:t> </w:t>
            </w:r>
          </w:p>
        </w:tc>
        <w:tc>
          <w:tcPr>
            <w:tcW w:w="3227"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Co-Founder and Chief Executive Officer,</w:t>
            </w:r>
          </w:p>
          <w:p>
            <w:pPr>
              <w:pStyle w:val="TableContents"/>
              <w:bidi w:val="0"/>
              <w:spacing w:before="0" w:after="20"/>
              <w:jc w:val="left"/>
              <w:rPr>
                <w:rFonts w:ascii="arial" w:hAnsi="arial"/>
                <w:color w:val="3E3935"/>
                <w:sz w:val="17"/>
              </w:rPr>
            </w:pPr>
            <w:r>
              <w:rPr>
                <w:rFonts w:ascii="arial" w:hAnsi="arial"/>
                <w:color w:val="3E3935"/>
                <w:sz w:val="17"/>
              </w:rPr>
              <w:t>DVx Ventures</w:t>
            </w:r>
          </w:p>
        </w:tc>
        <w:tc>
          <w:tcPr>
            <w:tcW w:w="120" w:type="dxa"/>
            <w:tcBorders/>
            <w:shd w:fill="CCF2F8" w:val="clear"/>
            <w:vAlign w:val="center"/>
          </w:tcPr>
          <w:p>
            <w:pPr>
              <w:pStyle w:val="TableContents"/>
              <w:bidi w:val="0"/>
              <w:spacing w:before="0" w:after="283"/>
              <w:jc w:val="left"/>
              <w:rPr/>
            </w:pPr>
            <w:r>
              <w:rPr/>
              <w:t>  </w:t>
            </w:r>
          </w:p>
        </w:tc>
        <w:tc>
          <w:tcPr>
            <w:tcW w:w="4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56</w:t>
            </w:r>
          </w:p>
        </w:tc>
        <w:tc>
          <w:tcPr>
            <w:tcW w:w="120" w:type="dxa"/>
            <w:tcBorders/>
            <w:shd w:fill="CCF2F8" w:val="clear"/>
            <w:vAlign w:val="center"/>
          </w:tcPr>
          <w:p>
            <w:pPr>
              <w:pStyle w:val="TableContents"/>
              <w:bidi w:val="0"/>
              <w:spacing w:before="0" w:after="283"/>
              <w:jc w:val="left"/>
              <w:rPr/>
            </w:pPr>
            <w:r>
              <w:rPr/>
              <w:t>  </w:t>
            </w:r>
          </w:p>
        </w:tc>
        <w:tc>
          <w:tcPr>
            <w:tcW w:w="7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2022</w:t>
            </w:r>
          </w:p>
        </w:tc>
        <w:tc>
          <w:tcPr>
            <w:tcW w:w="120" w:type="dxa"/>
            <w:tcBorders/>
            <w:shd w:fill="CCF2F8" w:val="clear"/>
            <w:vAlign w:val="center"/>
          </w:tcPr>
          <w:p>
            <w:pPr>
              <w:pStyle w:val="TableContents"/>
              <w:bidi w:val="0"/>
              <w:spacing w:before="0" w:after="283"/>
              <w:jc w:val="left"/>
              <w:rPr/>
            </w:pPr>
            <w:r>
              <w:rPr/>
              <w:t>  </w:t>
            </w:r>
          </w:p>
        </w:tc>
        <w:tc>
          <w:tcPr>
            <w:tcW w:w="131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2442"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3E3935"/>
                <w:sz w:val="17"/>
              </w:rPr>
            </w:pPr>
            <w:r>
              <w:rPr>
                <w:rFonts w:ascii="arial" w:hAnsi="arial"/>
                <w:color w:val="3E3935"/>
                <w:sz w:val="17"/>
              </w:rPr>
              <w:t>- Governance</w:t>
            </w:r>
          </w:p>
        </w:tc>
      </w:tr>
      <w:tr>
        <w:trPr/>
        <w:tc>
          <w:tcPr>
            <w:tcW w:w="1596"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9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Judith A. Miscik</w:t>
            </w:r>
          </w:p>
        </w:tc>
        <w:tc>
          <w:tcPr>
            <w:tcW w:w="60" w:type="dxa"/>
            <w:tcBorders/>
            <w:vAlign w:val="center"/>
          </w:tcPr>
          <w:p>
            <w:pPr>
              <w:pStyle w:val="TableContents"/>
              <w:bidi w:val="0"/>
              <w:spacing w:before="0" w:after="283"/>
              <w:jc w:val="left"/>
              <w:rPr/>
            </w:pPr>
            <w:r>
              <w:rPr/>
              <w:t> </w:t>
            </w:r>
          </w:p>
        </w:tc>
        <w:tc>
          <w:tcPr>
            <w:tcW w:w="322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Senior Advisor,</w:t>
            </w:r>
          </w:p>
          <w:p>
            <w:pPr>
              <w:pStyle w:val="TableContents"/>
              <w:bidi w:val="0"/>
              <w:spacing w:before="0" w:after="20"/>
              <w:jc w:val="left"/>
              <w:rPr>
                <w:rFonts w:ascii="arial" w:hAnsi="arial"/>
                <w:color w:val="3E3935"/>
                <w:sz w:val="17"/>
              </w:rPr>
            </w:pPr>
            <w:r>
              <w:rPr>
                <w:rFonts w:ascii="arial" w:hAnsi="arial"/>
                <w:color w:val="3E3935"/>
                <w:sz w:val="17"/>
              </w:rPr>
              <w:t>Lazard Geopolitical Advisory</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65</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2018</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244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- Finance</w:t>
            </w:r>
          </w:p>
          <w:p>
            <w:pPr>
              <w:pStyle w:val="TableContents"/>
              <w:bidi w:val="0"/>
              <w:spacing w:before="0" w:after="20"/>
              <w:jc w:val="left"/>
              <w:rPr>
                <w:rFonts w:ascii="arial" w:hAnsi="arial"/>
                <w:color w:val="3E3935"/>
                <w:sz w:val="17"/>
              </w:rPr>
            </w:pPr>
            <w:r>
              <w:rPr>
                <w:rFonts w:ascii="arial" w:hAnsi="arial"/>
                <w:color w:val="3E3935"/>
                <w:sz w:val="17"/>
              </w:rPr>
              <w:t>- Risk and Cybersecurity</w:t>
            </w:r>
          </w:p>
        </w:tc>
      </w:tr>
      <w:tr>
        <w:trPr/>
        <w:tc>
          <w:tcPr>
            <w:tcW w:w="1596" w:type="dxa"/>
            <w:tcBorders/>
            <w:shd w:fill="CCF2F8" w:val="clear"/>
            <w:vAlign w:val="center"/>
          </w:tcPr>
          <w:p>
            <w:pPr>
              <w:pStyle w:val="TableContents"/>
              <w:bidi w:val="0"/>
              <w:spacing w:before="0" w:after="283"/>
              <w:jc w:val="left"/>
              <w:rPr>
                <w:sz w:val="4"/>
                <w:szCs w:val="4"/>
              </w:rPr>
            </w:pPr>
            <w:r>
              <w:rPr>
                <w:sz w:val="4"/>
                <w:szCs w:val="4"/>
              </w:rPr>
            </w:r>
          </w:p>
        </w:tc>
        <w:tc>
          <w:tcPr>
            <w:tcW w:w="3287" w:type="dxa"/>
            <w:gridSpan w:val="2"/>
            <w:tcBorders/>
            <w:shd w:fill="CCF2F8" w:val="clear"/>
            <w:vAlign w:val="center"/>
          </w:tcPr>
          <w:p>
            <w:pPr>
              <w:pStyle w:val="TableContents"/>
              <w:bidi w:val="0"/>
              <w:spacing w:before="0" w:after="283"/>
              <w:jc w:val="left"/>
              <w:rPr>
                <w:sz w:val="4"/>
                <w:szCs w:val="4"/>
              </w:rPr>
            </w:pPr>
            <w:r>
              <w:rPr>
                <w:sz w:val="4"/>
                <w:szCs w:val="4"/>
              </w:rPr>
            </w:r>
          </w:p>
        </w:tc>
        <w:tc>
          <w:tcPr>
            <w:tcW w:w="545" w:type="dxa"/>
            <w:gridSpan w:val="2"/>
            <w:tcBorders/>
            <w:shd w:fill="CCF2F8" w:val="clear"/>
            <w:vAlign w:val="center"/>
          </w:tcPr>
          <w:p>
            <w:pPr>
              <w:pStyle w:val="TableContents"/>
              <w:bidi w:val="0"/>
              <w:spacing w:before="0" w:after="283"/>
              <w:jc w:val="left"/>
              <w:rPr>
                <w:sz w:val="4"/>
                <w:szCs w:val="4"/>
              </w:rPr>
            </w:pPr>
            <w:r>
              <w:rPr>
                <w:sz w:val="4"/>
                <w:szCs w:val="4"/>
              </w:rPr>
            </w:r>
          </w:p>
        </w:tc>
        <w:tc>
          <w:tcPr>
            <w:tcW w:w="845" w:type="dxa"/>
            <w:gridSpan w:val="2"/>
            <w:tcBorders/>
            <w:shd w:fill="CCF2F8" w:val="clear"/>
            <w:vAlign w:val="center"/>
          </w:tcPr>
          <w:p>
            <w:pPr>
              <w:pStyle w:val="TableContents"/>
              <w:bidi w:val="0"/>
              <w:spacing w:before="0" w:after="283"/>
              <w:jc w:val="left"/>
              <w:rPr>
                <w:sz w:val="4"/>
                <w:szCs w:val="4"/>
              </w:rPr>
            </w:pPr>
            <w:r>
              <w:rPr>
                <w:sz w:val="4"/>
                <w:szCs w:val="4"/>
              </w:rPr>
            </w:r>
          </w:p>
        </w:tc>
        <w:tc>
          <w:tcPr>
            <w:tcW w:w="1430" w:type="dxa"/>
            <w:gridSpan w:val="2"/>
            <w:tcBorders/>
            <w:shd w:fill="CCF2F8" w:val="clear"/>
            <w:vAlign w:val="center"/>
          </w:tcPr>
          <w:p>
            <w:pPr>
              <w:pStyle w:val="TableContents"/>
              <w:bidi w:val="0"/>
              <w:spacing w:before="0" w:after="283"/>
              <w:jc w:val="left"/>
              <w:rPr>
                <w:sz w:val="4"/>
                <w:szCs w:val="4"/>
              </w:rPr>
            </w:pPr>
            <w:r>
              <w:rPr>
                <w:sz w:val="4"/>
                <w:szCs w:val="4"/>
              </w:rPr>
            </w:r>
          </w:p>
        </w:tc>
        <w:tc>
          <w:tcPr>
            <w:tcW w:w="250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596"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Patricia F. Russo</w:t>
            </w:r>
          </w:p>
        </w:tc>
        <w:tc>
          <w:tcPr>
            <w:tcW w:w="60" w:type="dxa"/>
            <w:tcBorders/>
            <w:shd w:fill="CCF2F8" w:val="clear"/>
            <w:vAlign w:val="center"/>
          </w:tcPr>
          <w:p>
            <w:pPr>
              <w:pStyle w:val="TableContents"/>
              <w:bidi w:val="0"/>
              <w:spacing w:before="0" w:after="283"/>
              <w:jc w:val="left"/>
              <w:rPr/>
            </w:pPr>
            <w:r>
              <w:rPr/>
              <w:t> </w:t>
            </w:r>
          </w:p>
        </w:tc>
        <w:tc>
          <w:tcPr>
            <w:tcW w:w="3227"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Chair,</w:t>
            </w:r>
          </w:p>
          <w:p>
            <w:pPr>
              <w:pStyle w:val="TableContents"/>
              <w:bidi w:val="0"/>
              <w:spacing w:before="0" w:after="20"/>
              <w:jc w:val="left"/>
              <w:rPr>
                <w:rFonts w:ascii="arial" w:hAnsi="arial"/>
                <w:color w:val="3E3935"/>
                <w:sz w:val="17"/>
              </w:rPr>
            </w:pPr>
            <w:r>
              <w:rPr>
                <w:rFonts w:ascii="arial" w:hAnsi="arial"/>
                <w:color w:val="3E3935"/>
                <w:sz w:val="17"/>
              </w:rPr>
              <w:t>Hewlett Packard Enterprise Company</w:t>
            </w:r>
          </w:p>
        </w:tc>
        <w:tc>
          <w:tcPr>
            <w:tcW w:w="120" w:type="dxa"/>
            <w:tcBorders/>
            <w:shd w:fill="CCF2F8" w:val="clear"/>
            <w:vAlign w:val="center"/>
          </w:tcPr>
          <w:p>
            <w:pPr>
              <w:pStyle w:val="TableContents"/>
              <w:bidi w:val="0"/>
              <w:spacing w:before="0" w:after="283"/>
              <w:jc w:val="left"/>
              <w:rPr/>
            </w:pPr>
            <w:r>
              <w:rPr/>
              <w:t>  </w:t>
            </w:r>
          </w:p>
        </w:tc>
        <w:tc>
          <w:tcPr>
            <w:tcW w:w="4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71</w:t>
            </w:r>
          </w:p>
        </w:tc>
        <w:tc>
          <w:tcPr>
            <w:tcW w:w="120" w:type="dxa"/>
            <w:tcBorders/>
            <w:shd w:fill="CCF2F8" w:val="clear"/>
            <w:vAlign w:val="center"/>
          </w:tcPr>
          <w:p>
            <w:pPr>
              <w:pStyle w:val="TableContents"/>
              <w:bidi w:val="0"/>
              <w:spacing w:before="0" w:after="283"/>
              <w:jc w:val="left"/>
              <w:rPr/>
            </w:pPr>
            <w:r>
              <w:rPr/>
              <w:t>  </w:t>
            </w:r>
          </w:p>
        </w:tc>
        <w:tc>
          <w:tcPr>
            <w:tcW w:w="7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2009</w:t>
            </w:r>
          </w:p>
        </w:tc>
        <w:tc>
          <w:tcPr>
            <w:tcW w:w="120" w:type="dxa"/>
            <w:tcBorders/>
            <w:shd w:fill="CCF2F8" w:val="clear"/>
            <w:vAlign w:val="center"/>
          </w:tcPr>
          <w:p>
            <w:pPr>
              <w:pStyle w:val="TableContents"/>
              <w:bidi w:val="0"/>
              <w:spacing w:before="0" w:after="283"/>
              <w:jc w:val="left"/>
              <w:rPr/>
            </w:pPr>
            <w:r>
              <w:rPr/>
              <w:t>  </w:t>
            </w:r>
          </w:p>
        </w:tc>
        <w:tc>
          <w:tcPr>
            <w:tcW w:w="131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2442"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- Compensation</w:t>
            </w:r>
          </w:p>
          <w:p>
            <w:pPr>
              <w:pStyle w:val="TableContents"/>
              <w:bidi w:val="0"/>
              <w:spacing w:before="0" w:after="0"/>
              <w:jc w:val="left"/>
              <w:rPr>
                <w:rFonts w:ascii="arial" w:hAnsi="arial"/>
                <w:color w:val="3E3935"/>
                <w:sz w:val="17"/>
              </w:rPr>
            </w:pPr>
            <w:r>
              <w:rPr>
                <w:rFonts w:ascii="arial" w:hAnsi="arial"/>
                <w:color w:val="3E3935"/>
                <w:sz w:val="17"/>
              </w:rPr>
              <w:t>- Executive</w:t>
            </w:r>
          </w:p>
          <w:p>
            <w:pPr>
              <w:pStyle w:val="TableContents"/>
              <w:bidi w:val="0"/>
              <w:spacing w:before="0" w:after="0"/>
              <w:jc w:val="left"/>
              <w:rPr>
                <w:rFonts w:ascii="arial" w:hAnsi="arial"/>
                <w:color w:val="3E3935"/>
                <w:sz w:val="17"/>
              </w:rPr>
            </w:pPr>
            <w:r>
              <w:rPr>
                <w:rFonts w:ascii="arial" w:hAnsi="arial"/>
                <w:color w:val="3E3935"/>
                <w:sz w:val="17"/>
              </w:rPr>
              <w:t>- Finance</w:t>
            </w:r>
          </w:p>
          <w:p>
            <w:pPr>
              <w:pStyle w:val="TableContents"/>
              <w:bidi w:val="0"/>
              <w:spacing w:before="0" w:after="20"/>
              <w:jc w:val="left"/>
              <w:rPr>
                <w:rFonts w:ascii="arial" w:hAnsi="arial"/>
                <w:sz w:val="17"/>
              </w:rPr>
            </w:pPr>
            <w:r>
              <w:rPr>
                <w:rFonts w:ascii="arial" w:hAnsi="arial"/>
                <w:color w:val="3E3935"/>
                <w:sz w:val="17"/>
              </w:rPr>
              <w:t xml:space="preserve">- Governance </w:t>
            </w:r>
            <w:r>
              <w:rPr>
                <w:rFonts w:ascii="arial" w:hAnsi="arial"/>
                <w:b/>
                <w:color w:val="0071CE"/>
                <w:sz w:val="17"/>
              </w:rPr>
              <w:t>(Chair)</w:t>
            </w:r>
          </w:p>
        </w:tc>
      </w:tr>
      <w:tr>
        <w:trPr/>
        <w:tc>
          <w:tcPr>
            <w:tcW w:w="1596"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9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Thomas M. Schoewe</w:t>
            </w:r>
          </w:p>
        </w:tc>
        <w:tc>
          <w:tcPr>
            <w:tcW w:w="60" w:type="dxa"/>
            <w:tcBorders/>
            <w:vAlign w:val="center"/>
          </w:tcPr>
          <w:p>
            <w:pPr>
              <w:pStyle w:val="TableContents"/>
              <w:bidi w:val="0"/>
              <w:spacing w:before="0" w:after="283"/>
              <w:jc w:val="left"/>
              <w:rPr/>
            </w:pPr>
            <w:r>
              <w:rPr/>
              <w:t> </w:t>
            </w:r>
          </w:p>
        </w:tc>
        <w:tc>
          <w:tcPr>
            <w:tcW w:w="322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Retired Executive Vice President and</w:t>
            </w:r>
          </w:p>
          <w:p>
            <w:pPr>
              <w:pStyle w:val="TableContents"/>
              <w:bidi w:val="0"/>
              <w:spacing w:before="0" w:after="0"/>
              <w:jc w:val="left"/>
              <w:rPr>
                <w:rFonts w:ascii="arial" w:hAnsi="arial"/>
                <w:color w:val="3E3935"/>
                <w:sz w:val="17"/>
              </w:rPr>
            </w:pPr>
            <w:r>
              <w:rPr>
                <w:rFonts w:ascii="arial" w:hAnsi="arial"/>
                <w:color w:val="3E3935"/>
                <w:sz w:val="17"/>
              </w:rPr>
              <w:t>Chief Financial Officer,</w:t>
            </w:r>
          </w:p>
          <w:p>
            <w:pPr>
              <w:pStyle w:val="TableContents"/>
              <w:bidi w:val="0"/>
              <w:spacing w:before="0" w:after="20"/>
              <w:jc w:val="left"/>
              <w:rPr>
                <w:rFonts w:ascii="arial" w:hAnsi="arial"/>
                <w:color w:val="3E3935"/>
                <w:sz w:val="17"/>
              </w:rPr>
            </w:pPr>
            <w:r>
              <w:rPr>
                <w:rFonts w:ascii="arial" w:hAnsi="arial"/>
                <w:color w:val="3E3935"/>
                <w:sz w:val="17"/>
              </w:rPr>
              <w:t>Wal-Mart Stores, Inc.</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71</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2011</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244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color w:val="3E3935"/>
                <w:sz w:val="17"/>
              </w:rPr>
              <w:t xml:space="preserve">- Audit </w:t>
            </w:r>
            <w:r>
              <w:rPr>
                <w:rFonts w:ascii="arial" w:hAnsi="arial"/>
                <w:b/>
                <w:color w:val="0071CE"/>
                <w:sz w:val="17"/>
              </w:rPr>
              <w:t>(Chair)</w:t>
            </w:r>
          </w:p>
          <w:p>
            <w:pPr>
              <w:pStyle w:val="TableContents"/>
              <w:bidi w:val="0"/>
              <w:spacing w:before="0" w:after="0"/>
              <w:jc w:val="left"/>
              <w:rPr>
                <w:rFonts w:ascii="arial" w:hAnsi="arial"/>
                <w:color w:val="3E3935"/>
                <w:sz w:val="17"/>
              </w:rPr>
            </w:pPr>
            <w:r>
              <w:rPr>
                <w:rFonts w:ascii="arial" w:hAnsi="arial"/>
                <w:color w:val="3E3935"/>
                <w:sz w:val="17"/>
              </w:rPr>
              <w:t>- Executive</w:t>
            </w:r>
          </w:p>
          <w:p>
            <w:pPr>
              <w:pStyle w:val="TableContents"/>
              <w:bidi w:val="0"/>
              <w:spacing w:before="0" w:after="0"/>
              <w:jc w:val="left"/>
              <w:rPr>
                <w:rFonts w:ascii="arial" w:hAnsi="arial"/>
                <w:color w:val="3E3935"/>
                <w:sz w:val="17"/>
              </w:rPr>
            </w:pPr>
            <w:r>
              <w:rPr>
                <w:rFonts w:ascii="arial" w:hAnsi="arial"/>
                <w:color w:val="3E3935"/>
                <w:sz w:val="17"/>
              </w:rPr>
              <w:t>- Finance</w:t>
            </w:r>
          </w:p>
          <w:p>
            <w:pPr>
              <w:pStyle w:val="TableContents"/>
              <w:bidi w:val="0"/>
              <w:spacing w:before="0" w:after="20"/>
              <w:jc w:val="left"/>
              <w:rPr>
                <w:rFonts w:ascii="arial" w:hAnsi="arial"/>
                <w:color w:val="3E3935"/>
                <w:sz w:val="17"/>
              </w:rPr>
            </w:pPr>
            <w:r>
              <w:rPr>
                <w:rFonts w:ascii="arial" w:hAnsi="arial"/>
                <w:color w:val="3E3935"/>
                <w:sz w:val="17"/>
              </w:rPr>
              <w:t>- Risk and Cybersecurity</w:t>
            </w:r>
          </w:p>
        </w:tc>
      </w:tr>
      <w:tr>
        <w:trPr/>
        <w:tc>
          <w:tcPr>
            <w:tcW w:w="1596" w:type="dxa"/>
            <w:tcBorders/>
            <w:shd w:fill="CCF2F8" w:val="clear"/>
            <w:vAlign w:val="center"/>
          </w:tcPr>
          <w:p>
            <w:pPr>
              <w:pStyle w:val="TableContents"/>
              <w:bidi w:val="0"/>
              <w:spacing w:before="0" w:after="283"/>
              <w:jc w:val="left"/>
              <w:rPr>
                <w:sz w:val="4"/>
                <w:szCs w:val="4"/>
              </w:rPr>
            </w:pPr>
            <w:r>
              <w:rPr>
                <w:sz w:val="4"/>
                <w:szCs w:val="4"/>
              </w:rPr>
            </w:r>
          </w:p>
        </w:tc>
        <w:tc>
          <w:tcPr>
            <w:tcW w:w="3287" w:type="dxa"/>
            <w:gridSpan w:val="2"/>
            <w:tcBorders/>
            <w:shd w:fill="CCF2F8" w:val="clear"/>
            <w:vAlign w:val="center"/>
          </w:tcPr>
          <w:p>
            <w:pPr>
              <w:pStyle w:val="TableContents"/>
              <w:bidi w:val="0"/>
              <w:spacing w:before="0" w:after="283"/>
              <w:jc w:val="left"/>
              <w:rPr>
                <w:sz w:val="4"/>
                <w:szCs w:val="4"/>
              </w:rPr>
            </w:pPr>
            <w:r>
              <w:rPr>
                <w:sz w:val="4"/>
                <w:szCs w:val="4"/>
              </w:rPr>
            </w:r>
          </w:p>
        </w:tc>
        <w:tc>
          <w:tcPr>
            <w:tcW w:w="545" w:type="dxa"/>
            <w:gridSpan w:val="2"/>
            <w:tcBorders/>
            <w:shd w:fill="CCF2F8" w:val="clear"/>
            <w:vAlign w:val="center"/>
          </w:tcPr>
          <w:p>
            <w:pPr>
              <w:pStyle w:val="TableContents"/>
              <w:bidi w:val="0"/>
              <w:spacing w:before="0" w:after="283"/>
              <w:jc w:val="left"/>
              <w:rPr>
                <w:sz w:val="4"/>
                <w:szCs w:val="4"/>
              </w:rPr>
            </w:pPr>
            <w:r>
              <w:rPr>
                <w:sz w:val="4"/>
                <w:szCs w:val="4"/>
              </w:rPr>
            </w:r>
          </w:p>
        </w:tc>
        <w:tc>
          <w:tcPr>
            <w:tcW w:w="845" w:type="dxa"/>
            <w:gridSpan w:val="2"/>
            <w:tcBorders/>
            <w:shd w:fill="CCF2F8" w:val="clear"/>
            <w:vAlign w:val="center"/>
          </w:tcPr>
          <w:p>
            <w:pPr>
              <w:pStyle w:val="TableContents"/>
              <w:bidi w:val="0"/>
              <w:spacing w:before="0" w:after="283"/>
              <w:jc w:val="left"/>
              <w:rPr>
                <w:sz w:val="4"/>
                <w:szCs w:val="4"/>
              </w:rPr>
            </w:pPr>
            <w:r>
              <w:rPr>
                <w:sz w:val="4"/>
                <w:szCs w:val="4"/>
              </w:rPr>
            </w:r>
          </w:p>
        </w:tc>
        <w:tc>
          <w:tcPr>
            <w:tcW w:w="1430" w:type="dxa"/>
            <w:gridSpan w:val="2"/>
            <w:tcBorders/>
            <w:shd w:fill="CCF2F8" w:val="clear"/>
            <w:vAlign w:val="center"/>
          </w:tcPr>
          <w:p>
            <w:pPr>
              <w:pStyle w:val="TableContents"/>
              <w:bidi w:val="0"/>
              <w:spacing w:before="0" w:after="283"/>
              <w:jc w:val="left"/>
              <w:rPr>
                <w:sz w:val="4"/>
                <w:szCs w:val="4"/>
              </w:rPr>
            </w:pPr>
            <w:r>
              <w:rPr>
                <w:sz w:val="4"/>
                <w:szCs w:val="4"/>
              </w:rPr>
            </w:r>
          </w:p>
        </w:tc>
        <w:tc>
          <w:tcPr>
            <w:tcW w:w="250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596"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Mark A. Tatum</w:t>
            </w:r>
          </w:p>
        </w:tc>
        <w:tc>
          <w:tcPr>
            <w:tcW w:w="60" w:type="dxa"/>
            <w:tcBorders/>
            <w:shd w:fill="CCF2F8" w:val="clear"/>
            <w:vAlign w:val="center"/>
          </w:tcPr>
          <w:p>
            <w:pPr>
              <w:pStyle w:val="TableContents"/>
              <w:bidi w:val="0"/>
              <w:spacing w:before="0" w:after="283"/>
              <w:jc w:val="left"/>
              <w:rPr/>
            </w:pPr>
            <w:r>
              <w:rPr/>
              <w:t> </w:t>
            </w:r>
          </w:p>
        </w:tc>
        <w:tc>
          <w:tcPr>
            <w:tcW w:w="3227"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Deputy Commissioner and Chief Operating Officer,</w:t>
            </w:r>
          </w:p>
          <w:p>
            <w:pPr>
              <w:pStyle w:val="TableContents"/>
              <w:bidi w:val="0"/>
              <w:spacing w:before="0" w:after="20"/>
              <w:jc w:val="left"/>
              <w:rPr>
                <w:rFonts w:ascii="arial" w:hAnsi="arial"/>
                <w:color w:val="3E3935"/>
                <w:sz w:val="17"/>
              </w:rPr>
            </w:pPr>
            <w:r>
              <w:rPr>
                <w:rFonts w:ascii="arial" w:hAnsi="arial"/>
                <w:color w:val="3E3935"/>
                <w:sz w:val="17"/>
              </w:rPr>
              <w:t>National Basketball Association</w:t>
            </w:r>
          </w:p>
        </w:tc>
        <w:tc>
          <w:tcPr>
            <w:tcW w:w="120" w:type="dxa"/>
            <w:tcBorders/>
            <w:shd w:fill="CCF2F8" w:val="clear"/>
            <w:vAlign w:val="center"/>
          </w:tcPr>
          <w:p>
            <w:pPr>
              <w:pStyle w:val="TableContents"/>
              <w:bidi w:val="0"/>
              <w:spacing w:before="0" w:after="283"/>
              <w:jc w:val="left"/>
              <w:rPr/>
            </w:pPr>
            <w:r>
              <w:rPr/>
              <w:t>  </w:t>
            </w:r>
          </w:p>
        </w:tc>
        <w:tc>
          <w:tcPr>
            <w:tcW w:w="4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54</w:t>
            </w:r>
          </w:p>
        </w:tc>
        <w:tc>
          <w:tcPr>
            <w:tcW w:w="120" w:type="dxa"/>
            <w:tcBorders/>
            <w:shd w:fill="CCF2F8" w:val="clear"/>
            <w:vAlign w:val="center"/>
          </w:tcPr>
          <w:p>
            <w:pPr>
              <w:pStyle w:val="TableContents"/>
              <w:bidi w:val="0"/>
              <w:spacing w:before="0" w:after="283"/>
              <w:jc w:val="left"/>
              <w:rPr/>
            </w:pPr>
            <w:r>
              <w:rPr/>
              <w:t>  </w:t>
            </w:r>
          </w:p>
        </w:tc>
        <w:tc>
          <w:tcPr>
            <w:tcW w:w="72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2021</w:t>
            </w:r>
          </w:p>
        </w:tc>
        <w:tc>
          <w:tcPr>
            <w:tcW w:w="120" w:type="dxa"/>
            <w:tcBorders/>
            <w:shd w:fill="CCF2F8" w:val="clear"/>
            <w:vAlign w:val="center"/>
          </w:tcPr>
          <w:p>
            <w:pPr>
              <w:pStyle w:val="TableContents"/>
              <w:bidi w:val="0"/>
              <w:spacing w:before="0" w:after="283"/>
              <w:jc w:val="left"/>
              <w:rPr/>
            </w:pPr>
            <w:r>
              <w:rPr/>
              <w:t>  </w:t>
            </w:r>
          </w:p>
        </w:tc>
        <w:tc>
          <w:tcPr>
            <w:tcW w:w="131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2442"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- Audit</w:t>
            </w:r>
          </w:p>
          <w:p>
            <w:pPr>
              <w:pStyle w:val="TableContents"/>
              <w:bidi w:val="0"/>
              <w:spacing w:before="0" w:after="20"/>
              <w:jc w:val="left"/>
              <w:rPr>
                <w:rFonts w:ascii="arial" w:hAnsi="arial"/>
                <w:color w:val="3E3935"/>
                <w:sz w:val="17"/>
              </w:rPr>
            </w:pPr>
            <w:r>
              <w:rPr>
                <w:rFonts w:ascii="arial" w:hAnsi="arial"/>
                <w:color w:val="3E3935"/>
                <w:sz w:val="17"/>
              </w:rPr>
              <w:t>- Governance</w:t>
            </w:r>
          </w:p>
        </w:tc>
      </w:tr>
      <w:tr>
        <w:trPr/>
        <w:tc>
          <w:tcPr>
            <w:tcW w:w="1596"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96"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Jan E. Tighe</w:t>
            </w:r>
          </w:p>
        </w:tc>
        <w:tc>
          <w:tcPr>
            <w:tcW w:w="60" w:type="dxa"/>
            <w:tcBorders/>
            <w:vAlign w:val="center"/>
          </w:tcPr>
          <w:p>
            <w:pPr>
              <w:pStyle w:val="TableContents"/>
              <w:bidi w:val="0"/>
              <w:spacing w:before="0" w:after="283"/>
              <w:jc w:val="left"/>
              <w:rPr/>
            </w:pPr>
            <w:r>
              <w:rPr/>
              <w:t> </w:t>
            </w:r>
          </w:p>
        </w:tc>
        <w:tc>
          <w:tcPr>
            <w:tcW w:w="3227"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Retired Vice Admiral,</w:t>
            </w:r>
          </w:p>
          <w:p>
            <w:pPr>
              <w:pStyle w:val="TableContents"/>
              <w:bidi w:val="0"/>
              <w:spacing w:before="0" w:after="20"/>
              <w:jc w:val="left"/>
              <w:rPr>
                <w:rFonts w:ascii="arial" w:hAnsi="arial"/>
                <w:color w:val="3E3935"/>
                <w:sz w:val="17"/>
              </w:rPr>
            </w:pPr>
            <w:r>
              <w:rPr>
                <w:rFonts w:ascii="arial" w:hAnsi="arial"/>
                <w:color w:val="3E3935"/>
                <w:sz w:val="17"/>
              </w:rPr>
              <w:t>U.S. Navy</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61</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2023</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244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- Audit</w:t>
            </w:r>
          </w:p>
          <w:p>
            <w:pPr>
              <w:pStyle w:val="TableContents"/>
              <w:bidi w:val="0"/>
              <w:spacing w:before="0" w:after="20"/>
              <w:jc w:val="left"/>
              <w:rPr>
                <w:rFonts w:ascii="arial" w:hAnsi="arial"/>
                <w:color w:val="3E3935"/>
                <w:sz w:val="17"/>
              </w:rPr>
            </w:pPr>
            <w:r>
              <w:rPr>
                <w:rFonts w:ascii="arial" w:hAnsi="arial"/>
                <w:color w:val="3E3935"/>
                <w:sz w:val="17"/>
              </w:rPr>
              <w:t>- Risk and Cybersecurity</w:t>
            </w:r>
          </w:p>
        </w:tc>
      </w:tr>
      <w:tr>
        <w:trPr/>
        <w:tc>
          <w:tcPr>
            <w:tcW w:w="1596" w:type="dxa"/>
            <w:tcBorders/>
            <w:shd w:fill="CCF2F8" w:val="clear"/>
            <w:vAlign w:val="center"/>
          </w:tcPr>
          <w:p>
            <w:pPr>
              <w:pStyle w:val="TableContents"/>
              <w:bidi w:val="0"/>
              <w:spacing w:before="0" w:after="283"/>
              <w:jc w:val="left"/>
              <w:rPr>
                <w:sz w:val="4"/>
                <w:szCs w:val="4"/>
              </w:rPr>
            </w:pPr>
            <w:r>
              <w:rPr>
                <w:sz w:val="4"/>
                <w:szCs w:val="4"/>
              </w:rPr>
            </w:r>
          </w:p>
        </w:tc>
        <w:tc>
          <w:tcPr>
            <w:tcW w:w="3287" w:type="dxa"/>
            <w:gridSpan w:val="2"/>
            <w:tcBorders/>
            <w:shd w:fill="CCF2F8" w:val="clear"/>
            <w:vAlign w:val="center"/>
          </w:tcPr>
          <w:p>
            <w:pPr>
              <w:pStyle w:val="TableContents"/>
              <w:bidi w:val="0"/>
              <w:spacing w:before="0" w:after="283"/>
              <w:jc w:val="left"/>
              <w:rPr>
                <w:sz w:val="4"/>
                <w:szCs w:val="4"/>
              </w:rPr>
            </w:pPr>
            <w:r>
              <w:rPr>
                <w:sz w:val="4"/>
                <w:szCs w:val="4"/>
              </w:rPr>
            </w:r>
          </w:p>
        </w:tc>
        <w:tc>
          <w:tcPr>
            <w:tcW w:w="545" w:type="dxa"/>
            <w:gridSpan w:val="2"/>
            <w:tcBorders/>
            <w:shd w:fill="CCF2F8" w:val="clear"/>
            <w:vAlign w:val="center"/>
          </w:tcPr>
          <w:p>
            <w:pPr>
              <w:pStyle w:val="TableContents"/>
              <w:bidi w:val="0"/>
              <w:spacing w:before="0" w:after="283"/>
              <w:jc w:val="left"/>
              <w:rPr>
                <w:sz w:val="4"/>
                <w:szCs w:val="4"/>
              </w:rPr>
            </w:pPr>
            <w:r>
              <w:rPr>
                <w:sz w:val="4"/>
                <w:szCs w:val="4"/>
              </w:rPr>
            </w:r>
          </w:p>
        </w:tc>
        <w:tc>
          <w:tcPr>
            <w:tcW w:w="845" w:type="dxa"/>
            <w:gridSpan w:val="2"/>
            <w:tcBorders/>
            <w:shd w:fill="CCF2F8" w:val="clear"/>
            <w:vAlign w:val="center"/>
          </w:tcPr>
          <w:p>
            <w:pPr>
              <w:pStyle w:val="TableContents"/>
              <w:bidi w:val="0"/>
              <w:spacing w:before="0" w:after="283"/>
              <w:jc w:val="left"/>
              <w:rPr>
                <w:sz w:val="4"/>
                <w:szCs w:val="4"/>
              </w:rPr>
            </w:pPr>
            <w:r>
              <w:rPr>
                <w:sz w:val="4"/>
                <w:szCs w:val="4"/>
              </w:rPr>
            </w:r>
          </w:p>
        </w:tc>
        <w:tc>
          <w:tcPr>
            <w:tcW w:w="1430" w:type="dxa"/>
            <w:gridSpan w:val="2"/>
            <w:tcBorders/>
            <w:shd w:fill="CCF2F8" w:val="clear"/>
            <w:vAlign w:val="center"/>
          </w:tcPr>
          <w:p>
            <w:pPr>
              <w:pStyle w:val="TableContents"/>
              <w:bidi w:val="0"/>
              <w:spacing w:before="0" w:after="283"/>
              <w:jc w:val="left"/>
              <w:rPr>
                <w:sz w:val="4"/>
                <w:szCs w:val="4"/>
              </w:rPr>
            </w:pPr>
            <w:r>
              <w:rPr>
                <w:sz w:val="4"/>
                <w:szCs w:val="4"/>
              </w:rPr>
            </w:r>
          </w:p>
        </w:tc>
        <w:tc>
          <w:tcPr>
            <w:tcW w:w="250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596" w:type="dxa"/>
            <w:tcBorders>
              <w:bottom w:val="single" w:sz="6" w:space="0" w:color="0071CE"/>
            </w:tcBorders>
            <w:shd w:fill="CCF2F8" w:val="clear"/>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b/>
                <w:color w:val="0071CE"/>
                <w:sz w:val="17"/>
              </w:rPr>
            </w:pPr>
            <w:r>
              <w:rPr>
                <w:rFonts w:ascii="arial" w:hAnsi="arial"/>
                <w:b/>
                <w:color w:val="0071CE"/>
                <w:sz w:val="17"/>
              </w:rPr>
              <w:t>Devin N. Wenig</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3227" w:type="dxa"/>
            <w:tcBorders>
              <w:bottom w:val="single" w:sz="6" w:space="0" w:color="0071CE"/>
            </w:tcBorders>
            <w:shd w:fill="CCF2F8" w:val="clear"/>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Co-Founder and Chief Executive Officer,</w:t>
            </w:r>
          </w:p>
          <w:p>
            <w:pPr>
              <w:pStyle w:val="TableContents"/>
              <w:bidi w:val="0"/>
              <w:spacing w:before="0" w:after="20"/>
              <w:jc w:val="left"/>
              <w:rPr>
                <w:rFonts w:ascii="arial" w:hAnsi="arial"/>
                <w:color w:val="3E3935"/>
                <w:sz w:val="17"/>
              </w:rPr>
            </w:pPr>
            <w:r>
              <w:rPr>
                <w:rFonts w:ascii="arial" w:hAnsi="arial"/>
                <w:color w:val="3E3935"/>
                <w:sz w:val="17"/>
              </w:rPr>
              <w:t>Symbolic.ai</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425" w:type="dxa"/>
            <w:tcBorders>
              <w:bottom w:val="single" w:sz="6" w:space="0" w:color="0071CE"/>
            </w:tcBorders>
            <w:shd w:fill="CCF2F8" w:val="clear"/>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57</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725" w:type="dxa"/>
            <w:tcBorders>
              <w:bottom w:val="single" w:sz="6" w:space="0" w:color="0071CE"/>
            </w:tcBorders>
            <w:shd w:fill="CCF2F8" w:val="clear"/>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2018</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310" w:type="dxa"/>
            <w:tcBorders>
              <w:bottom w:val="single" w:sz="6" w:space="0" w:color="0071CE"/>
            </w:tcBorders>
            <w:shd w:fill="CCF2F8" w:val="clear"/>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color w:val="0071CE"/>
              </w:rPr>
            </w:pPr>
            <w:r>
              <w:rPr>
                <w:color w:val="0071CE"/>
              </w:rPr>
              <w:t>✓</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2442" w:type="dxa"/>
            <w:tcBorders>
              <w:bottom w:val="single" w:sz="6" w:space="0" w:color="0071CE"/>
            </w:tcBorders>
            <w:shd w:fill="CCF2F8" w:val="clear"/>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3E3935"/>
                <w:sz w:val="17"/>
              </w:rPr>
            </w:pPr>
            <w:r>
              <w:rPr>
                <w:rFonts w:ascii="arial" w:hAnsi="arial"/>
                <w:color w:val="3E3935"/>
                <w:sz w:val="17"/>
              </w:rPr>
              <w:t>- Compensation</w:t>
            </w:r>
          </w:p>
        </w:tc>
      </w:tr>
    </w:tbl>
    <w:p>
      <w:pPr>
        <w:pStyle w:val="TextBody"/>
        <w:bidi w:val="0"/>
        <w:spacing w:before="0" w:after="0"/>
        <w:jc w:val="left"/>
        <w:rPr/>
      </w:pPr>
      <w:r>
        <w:rPr/>
        <w:t> </w:t>
      </w:r>
    </w:p>
    <w:tbl>
      <w:tblPr>
        <w:tblW w:w="2963" w:type="dxa"/>
        <w:jc w:val="left"/>
        <w:tblInd w:w="0" w:type="dxa"/>
        <w:tblLayout w:type="fixed"/>
        <w:tblCellMar>
          <w:top w:w="0" w:type="dxa"/>
          <w:left w:w="0" w:type="dxa"/>
          <w:bottom w:w="0" w:type="dxa"/>
          <w:right w:w="0" w:type="dxa"/>
        </w:tblCellMar>
      </w:tblPr>
      <w:tblGrid>
        <w:gridCol w:w="155"/>
        <w:gridCol w:w="60"/>
        <w:gridCol w:w="192"/>
        <w:gridCol w:w="60"/>
        <w:gridCol w:w="2255"/>
        <w:gridCol w:w="60"/>
        <w:gridCol w:w="23"/>
        <w:gridCol w:w="12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1CE"/>
              </w:rPr>
            </w:pPr>
            <w:r>
              <w:rPr>
                <w:b/>
                <w:color w:val="0071CE"/>
              </w:rPr>
              <w:t>2</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21"/>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color w:val="3E3935"/>
              </w:rPr>
            </w:pPr>
            <w:r>
              <w:rPr>
                <w:b/>
                <w:color w:val="3E3935"/>
              </w:rPr>
              <w:t>PROXY SUMMARY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r>
        <w:rPr>
          <w:rFonts w:ascii="arial" w:hAnsi="arial"/>
          <w:b/>
          <w:color w:val="0071CE"/>
          <w:sz w:val="28"/>
        </w:rPr>
        <w:t xml:space="preserve">2024 Board Nominee Statistics </w:t>
      </w:r>
    </w:p>
    <w:p>
      <w:pPr>
        <w:pStyle w:val="TextBody"/>
        <w:bidi w:val="0"/>
        <w:spacing w:before="120" w:after="0"/>
        <w:jc w:val="both"/>
        <w:rPr>
          <w:rFonts w:ascii="arial" w:hAnsi="arial"/>
          <w:color w:val="3E3935"/>
          <w:sz w:val="18"/>
        </w:rPr>
      </w:pPr>
      <w:r>
        <w:rPr>
          <w:rFonts w:ascii="arial" w:hAnsi="arial"/>
          <w:color w:val="3E3935"/>
          <w:sz w:val="18"/>
        </w:rPr>
        <w:t xml:space="preserve">General Motors is committed to ensuring its Board remains a strategic asset to the Company and that it is comprised of diverse directors across race, ethnicity, gender, and age, among other factors. We have also thoughtfully managed director succession planning to leverage the combined benefits of deep institutional knowledge and new perspectives through Board refreshment. </w:t>
      </w:r>
    </w:p>
    <w:p>
      <w:pPr>
        <w:pStyle w:val="TextBody"/>
        <w:bidi w:val="0"/>
        <w:spacing w:before="0" w:after="0"/>
        <w:jc w:val="left"/>
        <w:rPr/>
      </w:pPr>
      <w:r>
        <w:rPr/>
        <w:t> </w:t>
      </w:r>
    </w:p>
    <w:tbl>
      <w:tblPr>
        <w:tblW w:w="7790" w:type="dxa"/>
        <w:jc w:val="left"/>
        <w:tblInd w:w="0" w:type="dxa"/>
        <w:shd w:fill="CCF2F8" w:val="clear"/>
        <w:tblLayout w:type="fixed"/>
        <w:tblCellMar>
          <w:top w:w="0" w:type="dxa"/>
          <w:left w:w="0" w:type="dxa"/>
          <w:bottom w:w="0" w:type="dxa"/>
          <w:right w:w="0" w:type="dxa"/>
        </w:tblCellMar>
      </w:tblPr>
      <w:tblGrid>
        <w:gridCol w:w="785"/>
        <w:gridCol w:w="60"/>
        <w:gridCol w:w="2720"/>
        <w:gridCol w:w="60"/>
        <w:gridCol w:w="2180"/>
        <w:gridCol w:w="60"/>
        <w:gridCol w:w="1925"/>
      </w:tblGrid>
      <w:tr>
        <w:trPr/>
        <w:tc>
          <w:tcPr>
            <w:tcW w:w="78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272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21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925" w:type="dxa"/>
            <w:tcBorders/>
            <w:shd w:fill="CCF2F8" w:val="cle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F2F8" w:val="clear"/>
            <w:vAlign w:val="center"/>
          </w:tcPr>
          <w:p>
            <w:pPr>
              <w:pStyle w:val="TableContents"/>
              <w:bidi w:val="0"/>
              <w:spacing w:before="0" w:after="283"/>
              <w:jc w:val="left"/>
              <w:rPr>
                <w:sz w:val="4"/>
                <w:szCs w:val="4"/>
              </w:rPr>
            </w:pPr>
            <w:r>
              <w:rPr>
                <w:sz w:val="4"/>
                <w:szCs w:val="4"/>
              </w:rPr>
            </w:r>
          </w:p>
        </w:tc>
        <w:tc>
          <w:tcPr>
            <w:tcW w:w="2240" w:type="dxa"/>
            <w:gridSpan w:val="2"/>
            <w:tcBorders/>
            <w:shd w:fill="CCF2F8" w:val="clear"/>
            <w:vAlign w:val="center"/>
          </w:tcPr>
          <w:p>
            <w:pPr>
              <w:pStyle w:val="TableContents"/>
              <w:bidi w:val="0"/>
              <w:spacing w:before="0" w:after="283"/>
              <w:jc w:val="left"/>
              <w:rPr>
                <w:sz w:val="4"/>
                <w:szCs w:val="4"/>
              </w:rPr>
            </w:pPr>
            <w:r>
              <w:rPr>
                <w:sz w:val="4"/>
                <w:szCs w:val="4"/>
              </w:rPr>
            </w:r>
          </w:p>
        </w:tc>
        <w:tc>
          <w:tcPr>
            <w:tcW w:w="1985"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21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925" w:type="dxa"/>
            <w:tcBorders/>
            <w:shd w:fill="CCF2F8" w:val="clear"/>
            <w:vAlign w:val="center"/>
          </w:tcPr>
          <w:p>
            <w:pPr>
              <w:pStyle w:val="TableContents"/>
              <w:bidi w:val="0"/>
              <w:spacing w:before="0" w:after="283"/>
              <w:jc w:val="left"/>
              <w:rPr>
                <w:sz w:val="4"/>
                <w:szCs w:val="4"/>
              </w:rPr>
            </w:pPr>
            <w:r>
              <w:rPr>
                <w:sz w:val="4"/>
                <w:szCs w:val="4"/>
              </w:rPr>
            </w:r>
          </w:p>
        </w:tc>
      </w:tr>
      <w:tr>
        <w:trPr/>
        <w:tc>
          <w:tcPr>
            <w:tcW w:w="785" w:type="dxa"/>
            <w:tcBorders/>
            <w:shd w:fill="CCF2F8" w:val="clear"/>
            <w:vAlign w:val="center"/>
          </w:tcPr>
          <w:p>
            <w:pPr>
              <w:pStyle w:val="TableContents"/>
              <w:bidi w:val="0"/>
              <w:spacing w:before="0" w:after="283"/>
              <w:jc w:val="center"/>
              <w:rPr>
                <w:b/>
                <w:color w:val="0071CE"/>
              </w:rPr>
            </w:pPr>
            <w:r>
              <w:rPr>
                <w:b/>
                <w:color w:val="0071CE"/>
              </w:rPr>
              <w:t>50%</w:t>
            </w:r>
          </w:p>
        </w:tc>
        <w:tc>
          <w:tcPr>
            <w:tcW w:w="60" w:type="dxa"/>
            <w:tcBorders/>
            <w:shd w:fill="CCF2F8" w:val="clear"/>
            <w:vAlign w:val="center"/>
          </w:tcPr>
          <w:p>
            <w:pPr>
              <w:pStyle w:val="TableContents"/>
              <w:bidi w:val="0"/>
              <w:spacing w:before="0" w:after="283"/>
              <w:jc w:val="left"/>
              <w:rPr/>
            </w:pPr>
            <w:r>
              <w:rPr/>
              <w:t> </w:t>
            </w:r>
          </w:p>
        </w:tc>
        <w:tc>
          <w:tcPr>
            <w:tcW w:w="2720" w:type="dxa"/>
            <w:tcBorders/>
            <w:shd w:fill="CCF2F8" w:val="clear"/>
            <w:vAlign w:val="center"/>
          </w:tcPr>
          <w:p>
            <w:pPr>
              <w:pStyle w:val="TableContents"/>
              <w:bidi w:val="0"/>
              <w:spacing w:before="0" w:after="283"/>
              <w:jc w:val="center"/>
              <w:rPr>
                <w:b/>
                <w:color w:val="0071CE"/>
              </w:rPr>
            </w:pPr>
            <w:r>
              <w:rPr>
                <w:b/>
                <w:color w:val="0071CE"/>
              </w:rPr>
              <w:t>67%</w:t>
            </w:r>
          </w:p>
        </w:tc>
        <w:tc>
          <w:tcPr>
            <w:tcW w:w="60" w:type="dxa"/>
            <w:tcBorders/>
            <w:shd w:fill="CCF2F8" w:val="clear"/>
            <w:vAlign w:val="center"/>
          </w:tcPr>
          <w:p>
            <w:pPr>
              <w:pStyle w:val="TableContents"/>
              <w:bidi w:val="0"/>
              <w:spacing w:before="0" w:after="283"/>
              <w:jc w:val="left"/>
              <w:rPr/>
            </w:pPr>
            <w:r>
              <w:rPr/>
              <w:t> </w:t>
            </w:r>
          </w:p>
        </w:tc>
        <w:tc>
          <w:tcPr>
            <w:tcW w:w="2180" w:type="dxa"/>
            <w:tcBorders/>
            <w:shd w:fill="CCF2F8" w:val="clear"/>
            <w:vAlign w:val="center"/>
          </w:tcPr>
          <w:p>
            <w:pPr>
              <w:pStyle w:val="TableContents"/>
              <w:bidi w:val="0"/>
              <w:spacing w:before="0" w:after="283"/>
              <w:jc w:val="center"/>
              <w:rPr>
                <w:b/>
                <w:color w:val="0071CE"/>
              </w:rPr>
            </w:pPr>
            <w:r>
              <w:rPr>
                <w:b/>
                <w:color w:val="0071CE"/>
              </w:rPr>
              <w:t>6.3</w:t>
            </w:r>
          </w:p>
        </w:tc>
        <w:tc>
          <w:tcPr>
            <w:tcW w:w="60" w:type="dxa"/>
            <w:tcBorders/>
            <w:shd w:fill="CCF2F8" w:val="clear"/>
            <w:vAlign w:val="center"/>
          </w:tcPr>
          <w:p>
            <w:pPr>
              <w:pStyle w:val="TableContents"/>
              <w:bidi w:val="0"/>
              <w:spacing w:before="0" w:after="283"/>
              <w:jc w:val="left"/>
              <w:rPr/>
            </w:pPr>
            <w:r>
              <w:rPr/>
              <w:t> </w:t>
            </w:r>
          </w:p>
        </w:tc>
        <w:tc>
          <w:tcPr>
            <w:tcW w:w="1925" w:type="dxa"/>
            <w:tcBorders/>
            <w:shd w:fill="CCF2F8" w:val="clear"/>
            <w:vAlign w:val="center"/>
          </w:tcPr>
          <w:p>
            <w:pPr>
              <w:pStyle w:val="TableContents"/>
              <w:bidi w:val="0"/>
              <w:spacing w:before="0" w:after="283"/>
              <w:jc w:val="center"/>
              <w:rPr>
                <w:b/>
                <w:color w:val="0071CE"/>
              </w:rPr>
            </w:pPr>
            <w:r>
              <w:rPr>
                <w:b/>
                <w:color w:val="0071CE"/>
              </w:rPr>
              <w:t>62.9</w:t>
            </w:r>
          </w:p>
        </w:tc>
      </w:tr>
      <w:tr>
        <w:trPr/>
        <w:tc>
          <w:tcPr>
            <w:tcW w:w="785" w:type="dxa"/>
            <w:tcBorders/>
            <w:shd w:fill="CCF2F8" w:val="clear"/>
            <w:vAlign w:val="center"/>
          </w:tcPr>
          <w:p>
            <w:pPr>
              <w:pStyle w:val="TableContents"/>
              <w:bidi w:val="0"/>
              <w:spacing w:before="0" w:after="283"/>
              <w:jc w:val="left"/>
              <w:rPr>
                <w:sz w:val="4"/>
                <w:szCs w:val="4"/>
              </w:rPr>
            </w:pPr>
            <w:r>
              <w:rPr>
                <w:sz w:val="4"/>
                <w:szCs w:val="4"/>
              </w:rPr>
            </w:r>
          </w:p>
        </w:tc>
        <w:tc>
          <w:tcPr>
            <w:tcW w:w="2780" w:type="dxa"/>
            <w:gridSpan w:val="2"/>
            <w:tcBorders/>
            <w:shd w:fill="CCF2F8" w:val="clear"/>
            <w:vAlign w:val="center"/>
          </w:tcPr>
          <w:p>
            <w:pPr>
              <w:pStyle w:val="TableContents"/>
              <w:bidi w:val="0"/>
              <w:spacing w:before="0" w:after="283"/>
              <w:jc w:val="left"/>
              <w:rPr>
                <w:sz w:val="4"/>
                <w:szCs w:val="4"/>
              </w:rPr>
            </w:pPr>
            <w:r>
              <w:rPr>
                <w:sz w:val="4"/>
                <w:szCs w:val="4"/>
              </w:rPr>
            </w:r>
          </w:p>
        </w:tc>
        <w:tc>
          <w:tcPr>
            <w:tcW w:w="2240" w:type="dxa"/>
            <w:gridSpan w:val="2"/>
            <w:tcBorders/>
            <w:shd w:fill="CCF2F8" w:val="clear"/>
            <w:vAlign w:val="center"/>
          </w:tcPr>
          <w:p>
            <w:pPr>
              <w:pStyle w:val="TableContents"/>
              <w:bidi w:val="0"/>
              <w:spacing w:before="0" w:after="283"/>
              <w:jc w:val="left"/>
              <w:rPr>
                <w:sz w:val="4"/>
                <w:szCs w:val="4"/>
              </w:rPr>
            </w:pPr>
            <w:r>
              <w:rPr>
                <w:sz w:val="4"/>
                <w:szCs w:val="4"/>
              </w:rPr>
            </w:r>
          </w:p>
        </w:tc>
        <w:tc>
          <w:tcPr>
            <w:tcW w:w="1985"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785" w:type="dxa"/>
            <w:tcBorders/>
            <w:shd w:fill="CCF2F8" w:val="clear"/>
            <w:vAlign w:val="center"/>
          </w:tcPr>
          <w:p>
            <w:pPr>
              <w:pStyle w:val="TableContents"/>
              <w:bidi w:val="0"/>
              <w:spacing w:before="0" w:after="283"/>
              <w:jc w:val="center"/>
              <w:rPr>
                <w:color w:val="3E3935"/>
              </w:rPr>
            </w:pPr>
            <w:r>
              <w:rPr>
                <w:color w:val="3E3935"/>
              </w:rPr>
              <w:t>Women</w:t>
            </w:r>
          </w:p>
        </w:tc>
        <w:tc>
          <w:tcPr>
            <w:tcW w:w="60" w:type="dxa"/>
            <w:tcBorders/>
            <w:shd w:fill="CCF2F8" w:val="clear"/>
            <w:vAlign w:val="center"/>
          </w:tcPr>
          <w:p>
            <w:pPr>
              <w:pStyle w:val="TableContents"/>
              <w:bidi w:val="0"/>
              <w:spacing w:before="0" w:after="283"/>
              <w:jc w:val="left"/>
              <w:rPr/>
            </w:pPr>
            <w:r>
              <w:rPr/>
              <w:t> </w:t>
            </w:r>
          </w:p>
        </w:tc>
        <w:tc>
          <w:tcPr>
            <w:tcW w:w="2720" w:type="dxa"/>
            <w:tcBorders/>
            <w:shd w:fill="CCF2F8" w:val="clear"/>
            <w:vAlign w:val="center"/>
          </w:tcPr>
          <w:p>
            <w:pPr>
              <w:pStyle w:val="TableContents"/>
              <w:bidi w:val="0"/>
              <w:spacing w:before="0" w:after="0"/>
              <w:jc w:val="center"/>
              <w:rPr>
                <w:rFonts w:ascii="arial" w:hAnsi="arial"/>
                <w:color w:val="3E3935"/>
                <w:sz w:val="18"/>
              </w:rPr>
            </w:pPr>
            <w:r>
              <w:rPr>
                <w:rFonts w:ascii="arial" w:hAnsi="arial"/>
                <w:color w:val="3E3935"/>
                <w:sz w:val="18"/>
              </w:rPr>
              <w:t>Board Committee Chairs of</w:t>
            </w:r>
          </w:p>
          <w:p>
            <w:pPr>
              <w:pStyle w:val="TableContents"/>
              <w:bidi w:val="0"/>
              <w:spacing w:before="0" w:after="20"/>
              <w:jc w:val="center"/>
              <w:rPr>
                <w:rFonts w:ascii="arial" w:hAnsi="arial"/>
                <w:color w:val="3E3935"/>
                <w:sz w:val="18"/>
              </w:rPr>
            </w:pPr>
            <w:r>
              <w:rPr>
                <w:rFonts w:ascii="arial" w:hAnsi="arial"/>
                <w:color w:val="3E3935"/>
                <w:sz w:val="18"/>
              </w:rPr>
              <w:t>Gender or Racial/Ethnic Diversity</w:t>
            </w:r>
          </w:p>
        </w:tc>
        <w:tc>
          <w:tcPr>
            <w:tcW w:w="60" w:type="dxa"/>
            <w:tcBorders/>
            <w:shd w:fill="CCF2F8" w:val="clear"/>
            <w:vAlign w:val="center"/>
          </w:tcPr>
          <w:p>
            <w:pPr>
              <w:pStyle w:val="TableContents"/>
              <w:bidi w:val="0"/>
              <w:spacing w:before="0" w:after="283"/>
              <w:jc w:val="left"/>
              <w:rPr/>
            </w:pPr>
            <w:r>
              <w:rPr/>
              <w:t> </w:t>
            </w:r>
          </w:p>
        </w:tc>
        <w:tc>
          <w:tcPr>
            <w:tcW w:w="2180" w:type="dxa"/>
            <w:tcBorders/>
            <w:shd w:fill="CCF2F8" w:val="clear"/>
            <w:vAlign w:val="center"/>
          </w:tcPr>
          <w:p>
            <w:pPr>
              <w:pStyle w:val="TableContents"/>
              <w:bidi w:val="0"/>
              <w:spacing w:before="0" w:after="283"/>
              <w:jc w:val="center"/>
              <w:rPr>
                <w:color w:val="3E3935"/>
              </w:rPr>
            </w:pPr>
            <w:r>
              <w:rPr>
                <w:color w:val="3E3935"/>
              </w:rPr>
              <w:t>Years Average Tenure</w:t>
            </w:r>
          </w:p>
        </w:tc>
        <w:tc>
          <w:tcPr>
            <w:tcW w:w="60" w:type="dxa"/>
            <w:tcBorders/>
            <w:shd w:fill="CCF2F8" w:val="clear"/>
            <w:vAlign w:val="center"/>
          </w:tcPr>
          <w:p>
            <w:pPr>
              <w:pStyle w:val="TableContents"/>
              <w:bidi w:val="0"/>
              <w:spacing w:before="0" w:after="283"/>
              <w:jc w:val="left"/>
              <w:rPr/>
            </w:pPr>
            <w:r>
              <w:rPr/>
              <w:t> </w:t>
            </w:r>
          </w:p>
        </w:tc>
        <w:tc>
          <w:tcPr>
            <w:tcW w:w="1925" w:type="dxa"/>
            <w:tcBorders/>
            <w:shd w:fill="CCF2F8" w:val="clear"/>
            <w:vAlign w:val="center"/>
          </w:tcPr>
          <w:p>
            <w:pPr>
              <w:pStyle w:val="TableContents"/>
              <w:bidi w:val="0"/>
              <w:spacing w:before="0" w:after="283"/>
              <w:jc w:val="center"/>
              <w:rPr>
                <w:color w:val="3E3935"/>
              </w:rPr>
            </w:pPr>
            <w:r>
              <w:rPr>
                <w:color w:val="3E3935"/>
              </w:rPr>
              <w:t>Years Average Age</w:t>
            </w:r>
          </w:p>
        </w:tc>
      </w:tr>
    </w:tbl>
    <w:p>
      <w:pPr>
        <w:pStyle w:val="TextBody"/>
        <w:bidi w:val="0"/>
        <w:spacing w:before="360" w:after="0"/>
        <w:jc w:val="left"/>
        <w:rPr>
          <w:rFonts w:ascii="arial" w:hAnsi="arial"/>
          <w:b/>
          <w:color w:val="0071CE"/>
          <w:sz w:val="28"/>
        </w:rPr>
      </w:pPr>
      <w:r>
        <w:rPr>
          <w:rFonts w:ascii="arial" w:hAnsi="arial"/>
          <w:b/>
          <w:color w:val="0071CE"/>
          <w:sz w:val="28"/>
        </w:rPr>
        <w:t xml:space="preserve">Strong and Independent Board Leadership </w:t>
      </w:r>
    </w:p>
    <w:p>
      <w:pPr>
        <w:pStyle w:val="TextBody"/>
        <w:bidi w:val="0"/>
        <w:spacing w:before="120" w:after="0"/>
        <w:jc w:val="both"/>
        <w:rPr>
          <w:rFonts w:ascii="arial" w:hAnsi="arial"/>
          <w:color w:val="3E3935"/>
          <w:sz w:val="18"/>
        </w:rPr>
      </w:pPr>
      <w:r>
        <w:rPr>
          <w:rFonts w:ascii="arial" w:hAnsi="arial"/>
          <w:color w:val="3E3935"/>
          <w:sz w:val="18"/>
        </w:rPr>
        <w:t xml:space="preserve">The Board benefits from strong and independent leadership and maintains the flexibility to decide when the positions of Chair and CEO should be combined or whether an independent director should serve as Chair. This flexibility allows the Board to choose the leadership structure that it believes will best serve the interests of our shareholders at any particular time based on a number of considerations, including the strategic direction of the Company and the needs of the Board and its committees. </w:t>
      </w:r>
    </w:p>
    <w:p>
      <w:pPr>
        <w:pStyle w:val="TextBody"/>
        <w:bidi w:val="0"/>
        <w:spacing w:before="120" w:after="0"/>
        <w:jc w:val="both"/>
        <w:rPr>
          <w:rFonts w:ascii="arial" w:hAnsi="arial"/>
          <w:color w:val="3E3935"/>
          <w:sz w:val="18"/>
        </w:rPr>
      </w:pPr>
      <w:r>
        <w:rPr>
          <w:rFonts w:ascii="arial" w:hAnsi="arial"/>
          <w:color w:val="3E3935"/>
          <w:sz w:val="18"/>
        </w:rPr>
        <w:t xml:space="preserve">Currently, the Board has determined that it is in the Company’s best interest to combine the roles of CEO and Chair with Mary Barra and elected Patricia Russo as the Independent Lead Director. Ms. Russo brings decades of corporate governance experience and deep knowledge of the Company to the role, ensuring the Board is led with a strong, independent voice. For more information on our Board leadership structure and the duties and responsibilities of our Independent Lead Director, see the section titled “Board Leadership Structure” on page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9910" cy="253365"/>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22"/>
                    <a:stretch>
                      <a:fillRect/>
                    </a:stretch>
                  </pic:blipFill>
                  <pic:spPr bwMode="auto">
                    <a:xfrm>
                      <a:off x="0" y="0"/>
                      <a:ext cx="549910" cy="253365"/>
                    </a:xfrm>
                    <a:prstGeom prst="rect">
                      <a:avLst/>
                    </a:prstGeom>
                  </pic:spPr>
                </pic:pic>
              </a:graphicData>
            </a:graphic>
          </wp:inline>
        </w:drawing>
      </w:r>
      <w:r>
        <w:rPr/>
        <w:t xml:space="preserve"> </w:t>
      </w:r>
    </w:p>
    <w:p>
      <w:pPr>
        <w:pStyle w:val="TextBody"/>
        <w:bidi w:val="0"/>
        <w:spacing w:before="0" w:after="0"/>
        <w:jc w:val="left"/>
        <w:rPr/>
      </w:pPr>
      <w:r>
        <w:rPr/>
        <w:t> </w:t>
      </w:r>
    </w:p>
    <w:tbl>
      <w:tblPr>
        <w:tblW w:w="5146" w:type="dxa"/>
        <w:jc w:val="left"/>
        <w:tblInd w:w="0" w:type="dxa"/>
        <w:tblLayout w:type="fixed"/>
        <w:tblCellMar>
          <w:top w:w="0" w:type="dxa"/>
          <w:left w:w="0" w:type="dxa"/>
          <w:bottom w:w="0" w:type="dxa"/>
          <w:right w:w="0" w:type="dxa"/>
        </w:tblCellMar>
      </w:tblPr>
      <w:tblGrid>
        <w:gridCol w:w="38"/>
        <w:gridCol w:w="60"/>
        <w:gridCol w:w="23"/>
        <w:gridCol w:w="60"/>
        <w:gridCol w:w="2255"/>
        <w:gridCol w:w="60"/>
        <w:gridCol w:w="2255"/>
        <w:gridCol w:w="12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color w:val="3E3935"/>
              </w:rPr>
            </w:pPr>
            <w:r>
              <w:rPr>
                <w:b/>
                <w:color w:val="3E3935"/>
              </w:rPr>
              <w:t>PROXY SUMMARY</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140" w:type="dxa"/>
            <w:tcBorders/>
            <w:vAlign w:val="center"/>
          </w:tcPr>
          <w:p>
            <w:pPr>
              <w:pStyle w:val="TableContents"/>
              <w:bidi w:val="0"/>
              <w:spacing w:before="0" w:after="283"/>
              <w:jc w:val="right"/>
              <w:rPr>
                <w:b/>
                <w:color w:val="0071CE"/>
              </w:rPr>
            </w:pPr>
            <w:r>
              <w:rPr>
                <w:b/>
                <w:color w:val="0071CE"/>
              </w:rPr>
              <w:t>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r>
        <w:rPr>
          <w:rFonts w:ascii="arial" w:hAnsi="arial"/>
          <w:b/>
          <w:color w:val="0071CE"/>
          <w:sz w:val="28"/>
        </w:rPr>
        <w:t xml:space="preserve">2023 Business Highlights </w:t>
      </w:r>
    </w:p>
    <w:p>
      <w:pPr>
        <w:pStyle w:val="TextBody"/>
        <w:bidi w:val="0"/>
        <w:spacing w:before="360" w:after="0"/>
        <w:jc w:val="left"/>
        <w:rPr>
          <w:rFonts w:ascii="arial" w:hAnsi="arial"/>
          <w:b/>
          <w:color w:val="3E3935"/>
          <w:sz w:val="26"/>
        </w:rPr>
      </w:pPr>
      <w:r>
        <w:rPr>
          <w:rFonts w:ascii="arial" w:hAnsi="arial"/>
          <w:b/>
          <w:color w:val="3E3935"/>
          <w:sz w:val="26"/>
        </w:rPr>
        <w:t xml:space="preserve">Financial Highlights </w:t>
      </w:r>
    </w:p>
    <w:p>
      <w:pPr>
        <w:pStyle w:val="TextBody"/>
        <w:bidi w:val="0"/>
        <w:spacing w:before="0" w:after="0"/>
        <w:jc w:val="left"/>
        <w:rPr/>
      </w:pPr>
      <w:r>
        <w:rPr/>
        <w:t> </w:t>
      </w:r>
    </w:p>
    <w:tbl>
      <w:tblPr>
        <w:tblW w:w="7440" w:type="dxa"/>
        <w:jc w:val="left"/>
        <w:tblInd w:w="0" w:type="dxa"/>
        <w:tblLayout w:type="fixed"/>
        <w:tblCellMar>
          <w:top w:w="0" w:type="dxa"/>
          <w:left w:w="0" w:type="dxa"/>
          <w:bottom w:w="0" w:type="dxa"/>
          <w:right w:w="0" w:type="dxa"/>
        </w:tblCellMar>
      </w:tblPr>
      <w:tblGrid>
        <w:gridCol w:w="1925"/>
        <w:gridCol w:w="60"/>
        <w:gridCol w:w="2405"/>
        <w:gridCol w:w="60"/>
        <w:gridCol w:w="2990"/>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b/>
                <w:color w:val="0071CE"/>
              </w:rPr>
            </w:pPr>
            <w:r>
              <w:rPr>
                <w:b/>
                <w:color w:val="0071CE"/>
              </w:rPr>
              <w:t>$10.1B</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b/>
                <w:color w:val="0071CE"/>
              </w:rPr>
            </w:pPr>
            <w:r>
              <w:rPr>
                <w:b/>
                <w:color w:val="0071CE"/>
              </w:rPr>
              <w:t>5.9%</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b/>
                <w:color w:val="0071CE"/>
              </w:rPr>
            </w:pPr>
            <w:r>
              <w:rPr>
                <w:b/>
                <w:color w:val="0071CE"/>
              </w:rPr>
              <w:t>$7.32</w:t>
            </w:r>
          </w:p>
        </w:tc>
      </w:tr>
      <w:tr>
        <w:trPr/>
        <w:tc>
          <w:tcPr>
            <w:tcW w:w="1925" w:type="dxa"/>
            <w:tcBorders/>
            <w:vAlign w:val="center"/>
          </w:tcPr>
          <w:p>
            <w:pPr>
              <w:pStyle w:val="TableContents"/>
              <w:bidi w:val="0"/>
              <w:spacing w:before="0" w:after="0"/>
              <w:jc w:val="left"/>
              <w:rPr>
                <w:rFonts w:ascii="arial" w:hAnsi="arial"/>
                <w:color w:val="3E3935"/>
                <w:sz w:val="18"/>
              </w:rPr>
            </w:pPr>
            <w:r>
              <w:rPr>
                <w:rFonts w:ascii="arial" w:hAnsi="arial"/>
                <w:color w:val="3E3935"/>
                <w:sz w:val="18"/>
              </w:rPr>
              <w:t>Net income attributable</w:t>
            </w:r>
          </w:p>
          <w:p>
            <w:pPr>
              <w:pStyle w:val="TableContents"/>
              <w:bidi w:val="0"/>
              <w:spacing w:before="0" w:after="20"/>
              <w:jc w:val="left"/>
              <w:rPr>
                <w:rFonts w:ascii="arial" w:hAnsi="arial"/>
                <w:color w:val="3E3935"/>
                <w:sz w:val="18"/>
              </w:rPr>
            </w:pPr>
            <w:r>
              <w:rPr>
                <w:rFonts w:ascii="arial" w:hAnsi="arial"/>
                <w:color w:val="3E3935"/>
                <w:sz w:val="18"/>
              </w:rPr>
              <w:t>to stockholders</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color w:val="3E3935"/>
              </w:rPr>
            </w:pPr>
            <w:r>
              <w:rPr>
                <w:color w:val="3E3935"/>
              </w:rPr>
              <w:t>Net income margin</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color w:val="3E3935"/>
              </w:rPr>
            </w:pPr>
            <w:r>
              <w:rPr>
                <w:color w:val="3E3935"/>
              </w:rPr>
              <w:t>EPS-diluted</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b/>
                <w:color w:val="0071CE"/>
              </w:rPr>
            </w:pPr>
            <w:r>
              <w:rPr>
                <w:b/>
                <w:color w:val="0071CE"/>
              </w:rPr>
              <w:t>$12.4B</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b/>
                <w:color w:val="0071CE"/>
              </w:rPr>
            </w:pPr>
            <w:r>
              <w:rPr>
                <w:b/>
                <w:color w:val="0071CE"/>
              </w:rPr>
              <w:t>7.2%</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b/>
                <w:color w:val="0071CE"/>
              </w:rPr>
            </w:pPr>
            <w:r>
              <w:rPr>
                <w:b/>
                <w:color w:val="0071CE"/>
              </w:rPr>
              <w:t>$7.68</w:t>
            </w:r>
          </w:p>
        </w:tc>
      </w:tr>
      <w:tr>
        <w:trPr/>
        <w:tc>
          <w:tcPr>
            <w:tcW w:w="1925" w:type="dxa"/>
            <w:tcBorders/>
            <w:vAlign w:val="center"/>
          </w:tcPr>
          <w:p>
            <w:pPr>
              <w:pStyle w:val="TableContents"/>
              <w:bidi w:val="0"/>
              <w:spacing w:before="0" w:after="283"/>
              <w:jc w:val="left"/>
              <w:rPr>
                <w:color w:val="3E3935"/>
              </w:rPr>
            </w:pPr>
            <w:r>
              <w:rPr>
                <w:color w:val="3E3935"/>
              </w:rPr>
              <w:t>EBIT-adjusted(1)</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color w:val="3E3935"/>
              </w:rPr>
            </w:pPr>
            <w:r>
              <w:rPr>
                <w:color w:val="3E3935"/>
              </w:rPr>
              <w:t>EBIT-adjusted(1) margin</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color w:val="3E3935"/>
              </w:rPr>
            </w:pPr>
            <w:r>
              <w:rPr>
                <w:color w:val="3E3935"/>
              </w:rPr>
              <w:t>EPS-diluted-adjusted(1)</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b/>
                <w:color w:val="0071CE"/>
              </w:rPr>
            </w:pPr>
            <w:r>
              <w:rPr>
                <w:b/>
                <w:color w:val="0071CE"/>
              </w:rPr>
              <w:t>$171.8B</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b/>
                <w:color w:val="0071CE"/>
              </w:rPr>
            </w:pPr>
            <w:r>
              <w:rPr>
                <w:b/>
                <w:color w:val="0071CE"/>
              </w:rPr>
              <w:t>$20.8B</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b/>
                <w:color w:val="0071CE"/>
              </w:rPr>
            </w:pPr>
            <w:r>
              <w:rPr>
                <w:b/>
                <w:color w:val="0071CE"/>
              </w:rPr>
              <w:t>$11.6B</w:t>
            </w:r>
          </w:p>
        </w:tc>
      </w:tr>
      <w:tr>
        <w:trPr/>
        <w:tc>
          <w:tcPr>
            <w:tcW w:w="1925" w:type="dxa"/>
            <w:tcBorders/>
            <w:vAlign w:val="center"/>
          </w:tcPr>
          <w:p>
            <w:pPr>
              <w:pStyle w:val="TableContents"/>
              <w:bidi w:val="0"/>
              <w:spacing w:before="0" w:after="283"/>
              <w:jc w:val="left"/>
              <w:rPr>
                <w:color w:val="3E3935"/>
              </w:rPr>
            </w:pPr>
            <w:r>
              <w:rPr>
                <w:color w:val="3E3935"/>
              </w:rPr>
              <w:t>Revenue</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color w:val="3E3935"/>
              </w:rPr>
            </w:pPr>
            <w:r>
              <w:rPr>
                <w:color w:val="3E3935"/>
              </w:rPr>
              <w:t>Automotive operating</w:t>
              <w:br/>
              <w:t>cash flow</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arial" w:hAnsi="arial"/>
                <w:color w:val="3E3935"/>
                <w:sz w:val="18"/>
              </w:rPr>
            </w:pPr>
            <w:r>
              <w:rPr>
                <w:rFonts w:ascii="arial" w:hAnsi="arial"/>
                <w:color w:val="3E3935"/>
                <w:sz w:val="18"/>
              </w:rPr>
              <w:t>Returned to shareholders via</w:t>
            </w:r>
          </w:p>
          <w:p>
            <w:pPr>
              <w:pStyle w:val="TableContents"/>
              <w:bidi w:val="0"/>
              <w:spacing w:before="0" w:after="20"/>
              <w:jc w:val="left"/>
              <w:rPr>
                <w:rFonts w:ascii="arial" w:hAnsi="arial"/>
                <w:color w:val="3E3935"/>
                <w:sz w:val="18"/>
              </w:rPr>
            </w:pPr>
            <w:r>
              <w:rPr>
                <w:rFonts w:ascii="arial" w:hAnsi="arial"/>
                <w:color w:val="3E3935"/>
                <w:sz w:val="18"/>
              </w:rPr>
              <w:t>dividends and share repurchases(2)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color w:val="3E3935"/>
              </w:rPr>
            </w:pPr>
            <w:r>
              <w:rPr>
                <w:color w:val="3E3935"/>
              </w:rPr>
              <w:t>(1)</w:t>
            </w:r>
          </w:p>
        </w:tc>
        <w:tc>
          <w:tcPr>
            <w:tcW w:w="9904"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Non-GAAP financial measure. Refer to Appendix A for a reconciliation of non-GAAP financial measures to their closest comparable GAAP measure. </w:t>
            </w:r>
          </w:p>
        </w:tc>
      </w:tr>
    </w:tbl>
    <w:tbl>
      <w:tblPr>
        <w:tblW w:w="9970" w:type="dxa"/>
        <w:jc w:val="left"/>
        <w:tblInd w:w="0" w:type="dxa"/>
        <w:tblLayout w:type="fixed"/>
        <w:tblCellMar>
          <w:top w:w="0" w:type="dxa"/>
          <w:left w:w="0" w:type="dxa"/>
          <w:bottom w:w="0" w:type="dxa"/>
          <w:right w:w="0" w:type="dxa"/>
        </w:tblCellMar>
      </w:tblPr>
      <w:tblGrid>
        <w:gridCol w:w="305"/>
        <w:gridCol w:w="9665"/>
      </w:tblGrid>
      <w:tr>
        <w:trPr/>
        <w:tc>
          <w:tcPr>
            <w:tcW w:w="305" w:type="dxa"/>
            <w:tcBorders/>
            <w:vAlign w:val="center"/>
          </w:tcPr>
          <w:p>
            <w:pPr>
              <w:pStyle w:val="TableContents"/>
              <w:bidi w:val="0"/>
              <w:spacing w:before="0" w:after="283"/>
              <w:jc w:val="left"/>
              <w:rPr>
                <w:color w:val="3E3935"/>
              </w:rPr>
            </w:pPr>
            <w:r>
              <w:rPr>
                <w:color w:val="3E3935"/>
              </w:rPr>
              <w:t>(2)</w:t>
            </w:r>
          </w:p>
        </w:tc>
        <w:tc>
          <w:tcPr>
            <w:tcW w:w="966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Including the impact of our $10.0 billion accelerated share repurchase program, which is expected to be completed no later than Q4 2024. </w:t>
            </w:r>
          </w:p>
        </w:tc>
      </w:tr>
    </w:tbl>
    <w:p>
      <w:pPr>
        <w:pStyle w:val="TextBody"/>
        <w:bidi w:val="0"/>
        <w:spacing w:before="0" w:after="0"/>
        <w:jc w:val="left"/>
        <w:rPr/>
      </w:pPr>
      <w:r>
        <w:rPr/>
        <w:t> </w:t>
      </w:r>
    </w:p>
    <w:p>
      <w:pPr>
        <w:pStyle w:val="TextBody"/>
        <w:pBdr>
          <w:bottom w:val="single" w:sz="8" w:space="1" w:color="0071CE"/>
        </w:pBdr>
        <w:bidi w:val="0"/>
        <w:spacing w:lineRule="atLeast" w:line="142" w:before="0" w:after="40"/>
        <w:jc w:val="left"/>
        <w:rPr/>
      </w:pPr>
      <w:r>
        <w:rPr/>
        <w:t> </w:t>
      </w:r>
    </w:p>
    <w:p>
      <w:pPr>
        <w:pStyle w:val="TextBody"/>
        <w:bidi w:val="0"/>
        <w:spacing w:before="360" w:after="0"/>
        <w:jc w:val="left"/>
        <w:rPr>
          <w:rFonts w:ascii="arial" w:hAnsi="arial"/>
          <w:b/>
          <w:color w:val="3E3935"/>
          <w:sz w:val="26"/>
        </w:rPr>
      </w:pPr>
      <w:r>
        <w:rPr>
          <w:rFonts w:ascii="arial" w:hAnsi="arial"/>
          <w:b/>
          <w:color w:val="3E3935"/>
          <w:sz w:val="26"/>
        </w:rPr>
        <w:t xml:space="preserve">Performance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73"/>
        <w:gridCol w:w="60"/>
        <w:gridCol w:w="23"/>
        <w:gridCol w:w="60"/>
        <w:gridCol w:w="3078"/>
        <w:gridCol w:w="60"/>
        <w:gridCol w:w="23"/>
        <w:gridCol w:w="60"/>
        <w:gridCol w:w="3768"/>
      </w:tblGrid>
      <w:tr>
        <w:trPr/>
        <w:tc>
          <w:tcPr>
            <w:tcW w:w="30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3073" w:type="dxa"/>
            <w:tcBorders/>
            <w:shd w:fill="CCF2F8"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138" w:type="dxa"/>
            <w:gridSpan w:val="2"/>
            <w:tcBorders/>
            <w:shd w:fill="CCF2F8"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82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073" w:type="dxa"/>
            <w:tcBorders/>
            <w:shd w:fill="CCF2F8" w:val="clear"/>
            <w:vAlign w:val="center"/>
          </w:tcPr>
          <w:p>
            <w:pPr>
              <w:pStyle w:val="TableContents"/>
              <w:bidi w:val="0"/>
              <w:spacing w:before="0" w:after="0"/>
              <w:jc w:val="center"/>
              <w:rPr>
                <w:rFonts w:ascii="arial" w:hAnsi="arial"/>
                <w:b/>
                <w:color w:val="3E3935"/>
                <w:sz w:val="18"/>
              </w:rPr>
            </w:pPr>
            <w:r>
              <w:rPr>
                <w:rFonts w:ascii="arial" w:hAnsi="arial"/>
                <w:b/>
                <w:color w:val="3E3935"/>
                <w:sz w:val="18"/>
              </w:rPr>
              <w:t>U.S. Market Leader</w:t>
            </w:r>
          </w:p>
          <w:p>
            <w:pPr>
              <w:pStyle w:val="TableContents"/>
              <w:bidi w:val="0"/>
              <w:spacing w:before="0" w:after="0"/>
              <w:jc w:val="left"/>
              <w:rPr/>
            </w:pPr>
            <w:r>
              <w:rPr/>
              <w:t> </w:t>
            </w:r>
          </w:p>
          <w:p>
            <w:pPr>
              <w:pStyle w:val="TableContents"/>
              <w:bidi w:val="0"/>
              <w:spacing w:before="0" w:after="0"/>
              <w:jc w:val="center"/>
              <w:rPr>
                <w:rFonts w:ascii="arial" w:hAnsi="arial"/>
                <w:color w:val="3E3935"/>
                <w:sz w:val="18"/>
              </w:rPr>
            </w:pPr>
            <w:r>
              <w:rPr>
                <w:rFonts w:ascii="arial" w:hAnsi="arial"/>
                <w:b/>
                <w:color w:val="3E3935"/>
                <w:sz w:val="18"/>
              </w:rPr>
              <w:t>#1</w:t>
            </w:r>
            <w:r>
              <w:rPr>
                <w:rFonts w:ascii="arial" w:hAnsi="arial"/>
                <w:color w:val="3E3935"/>
                <w:sz w:val="18"/>
              </w:rPr>
              <w:t> in total sales</w:t>
            </w:r>
          </w:p>
          <w:p>
            <w:pPr>
              <w:pStyle w:val="TableContents"/>
              <w:bidi w:val="0"/>
              <w:spacing w:before="0" w:after="0"/>
              <w:jc w:val="center"/>
              <w:rPr>
                <w:rFonts w:ascii="arial" w:hAnsi="arial"/>
                <w:color w:val="3E3935"/>
                <w:sz w:val="18"/>
              </w:rPr>
            </w:pPr>
            <w:r>
              <w:rPr>
                <w:rFonts w:ascii="arial" w:hAnsi="arial"/>
                <w:b/>
                <w:color w:val="3E3935"/>
                <w:sz w:val="18"/>
              </w:rPr>
              <w:t>#1</w:t>
            </w:r>
            <w:r>
              <w:rPr>
                <w:rFonts w:ascii="arial" w:hAnsi="arial"/>
                <w:color w:val="3E3935"/>
                <w:sz w:val="18"/>
              </w:rPr>
              <w:t> in total trucks</w:t>
            </w:r>
          </w:p>
          <w:p>
            <w:pPr>
              <w:pStyle w:val="TableContents"/>
              <w:bidi w:val="0"/>
              <w:spacing w:before="0" w:after="0"/>
              <w:jc w:val="center"/>
              <w:rPr>
                <w:rFonts w:ascii="arial" w:hAnsi="arial"/>
                <w:color w:val="3E3935"/>
                <w:sz w:val="18"/>
              </w:rPr>
            </w:pPr>
            <w:r>
              <w:rPr>
                <w:rFonts w:ascii="arial" w:hAnsi="arial"/>
                <w:b/>
                <w:color w:val="3E3935"/>
                <w:sz w:val="18"/>
              </w:rPr>
              <w:t>#1</w:t>
            </w:r>
            <w:r>
              <w:rPr>
                <w:rFonts w:ascii="arial" w:hAnsi="arial"/>
                <w:color w:val="3E3935"/>
                <w:sz w:val="18"/>
              </w:rPr>
              <w:t> in full-size SUVs</w:t>
            </w:r>
          </w:p>
          <w:p>
            <w:pPr>
              <w:pStyle w:val="TableContents"/>
              <w:bidi w:val="0"/>
              <w:spacing w:before="0" w:after="0"/>
              <w:jc w:val="center"/>
              <w:rPr>
                <w:rFonts w:ascii="arial" w:hAnsi="arial"/>
                <w:color w:val="3E3935"/>
                <w:sz w:val="18"/>
              </w:rPr>
            </w:pPr>
            <w:r>
              <w:rPr>
                <w:rFonts w:ascii="arial" w:hAnsi="arial"/>
                <w:b/>
                <w:color w:val="3E3935"/>
                <w:sz w:val="18"/>
              </w:rPr>
              <w:t>#1</w:t>
            </w:r>
            <w:r>
              <w:rPr>
                <w:rFonts w:ascii="arial" w:hAnsi="arial"/>
                <w:color w:val="3E3935"/>
                <w:sz w:val="18"/>
              </w:rPr>
              <w:t> Affordable small SUVs</w:t>
            </w:r>
          </w:p>
          <w:p>
            <w:pPr>
              <w:pStyle w:val="TableContents"/>
              <w:bidi w:val="0"/>
              <w:spacing w:before="0" w:after="20"/>
              <w:jc w:val="center"/>
              <w:rPr>
                <w:rFonts w:ascii="arial" w:hAnsi="arial"/>
                <w:color w:val="3E3935"/>
                <w:sz w:val="18"/>
              </w:rPr>
            </w:pPr>
            <w:r>
              <w:rPr>
                <w:rFonts w:ascii="arial" w:hAnsi="arial"/>
                <w:b/>
                <w:color w:val="3E3935"/>
                <w:sz w:val="18"/>
              </w:rPr>
              <w:t>#1</w:t>
            </w:r>
            <w:r>
              <w:rPr>
                <w:rFonts w:ascii="arial" w:hAnsi="arial"/>
                <w:color w:val="3E3935"/>
                <w:sz w:val="18"/>
              </w:rPr>
              <w:t> Commercial fleet deliveries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078" w:type="dxa"/>
            <w:tcBorders/>
            <w:shd w:fill="CCF2F8" w:val="clear"/>
            <w:vAlign w:val="center"/>
          </w:tcPr>
          <w:p>
            <w:pPr>
              <w:pStyle w:val="TableContents"/>
              <w:bidi w:val="0"/>
              <w:spacing w:before="0" w:after="0"/>
              <w:jc w:val="center"/>
              <w:rPr/>
            </w:pPr>
            <w:r>
              <w:rPr/>
              <w:drawing>
                <wp:inline distT="0" distB="0" distL="0" distR="0">
                  <wp:extent cx="342900" cy="485775"/>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23"/>
                          <a:stretch>
                            <a:fillRect/>
                          </a:stretch>
                        </pic:blipFill>
                        <pic:spPr bwMode="auto">
                          <a:xfrm>
                            <a:off x="0" y="0"/>
                            <a:ext cx="342900" cy="485775"/>
                          </a:xfrm>
                          <a:prstGeom prst="rect">
                            <a:avLst/>
                          </a:prstGeom>
                        </pic:spPr>
                      </pic:pic>
                    </a:graphicData>
                  </a:graphic>
                </wp:inline>
              </w:drawing>
            </w:r>
            <w:r>
              <w:rPr/>
              <w:t xml:space="preserve"> </w:t>
            </w:r>
          </w:p>
          <w:p>
            <w:pPr>
              <w:pStyle w:val="TableContents"/>
              <w:bidi w:val="0"/>
              <w:spacing w:before="0" w:after="0"/>
              <w:jc w:val="center"/>
              <w:rPr>
                <w:rFonts w:ascii="arial" w:hAnsi="arial"/>
                <w:b/>
                <w:color w:val="3E3935"/>
                <w:sz w:val="18"/>
              </w:rPr>
            </w:pPr>
            <w:r>
              <w:rPr>
                <w:rFonts w:ascii="arial" w:hAnsi="arial"/>
                <w:b/>
                <w:color w:val="3E3935"/>
                <w:sz w:val="18"/>
              </w:rPr>
              <w:t>Earned #1 ranking</w:t>
            </w:r>
          </w:p>
          <w:p>
            <w:pPr>
              <w:pStyle w:val="TableContents"/>
              <w:bidi w:val="0"/>
              <w:spacing w:before="0" w:after="20"/>
              <w:jc w:val="center"/>
              <w:rPr>
                <w:rFonts w:ascii="arial" w:hAnsi="arial"/>
                <w:color w:val="3E3935"/>
                <w:sz w:val="18"/>
              </w:rPr>
            </w:pPr>
            <w:r>
              <w:rPr>
                <w:rFonts w:ascii="arial" w:hAnsi="arial"/>
                <w:color w:val="3E3935"/>
                <w:sz w:val="18"/>
              </w:rPr>
              <w:t>on J.D. Power Initial Quality Study for the second consecutive year</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768" w:type="dxa"/>
            <w:tcBorders/>
            <w:shd w:fill="CCF2F8" w:val="clear"/>
            <w:vAlign w:val="center"/>
          </w:tcPr>
          <w:p>
            <w:pPr>
              <w:pStyle w:val="TableContents"/>
              <w:bidi w:val="0"/>
              <w:spacing w:before="0" w:after="0"/>
              <w:jc w:val="center"/>
              <w:rPr>
                <w:rFonts w:ascii="arial" w:hAnsi="arial"/>
                <w:color w:val="3E3935"/>
                <w:sz w:val="18"/>
              </w:rPr>
            </w:pPr>
            <w:r>
              <w:rPr>
                <w:rFonts w:ascii="arial" w:hAnsi="arial"/>
                <w:color w:val="3E3935"/>
                <w:sz w:val="18"/>
              </w:rPr>
              <w:t xml:space="preserve">Announced a </w:t>
            </w:r>
            <w:r>
              <w:rPr>
                <w:rFonts w:ascii="arial" w:hAnsi="arial"/>
                <w:b/>
                <w:color w:val="3E3935"/>
                <w:sz w:val="18"/>
              </w:rPr>
              <w:t>$10.0B</w:t>
            </w:r>
            <w:r>
              <w:rPr>
                <w:rFonts w:ascii="arial" w:hAnsi="arial"/>
                <w:color w:val="3E3935"/>
                <w:sz w:val="18"/>
              </w:rPr>
              <w:t> accelerated share repurchase program and a </w:t>
            </w:r>
            <w:r>
              <w:rPr>
                <w:rFonts w:ascii="arial" w:hAnsi="arial"/>
                <w:b/>
                <w:color w:val="3E3935"/>
                <w:sz w:val="18"/>
              </w:rPr>
              <w:t>33% increase</w:t>
            </w:r>
            <w:r>
              <w:rPr>
                <w:rFonts w:ascii="arial" w:hAnsi="arial"/>
                <w:color w:val="3E3935"/>
                <w:sz w:val="18"/>
              </w:rPr>
              <w:t> in our quarterly dividend starting in 2024</w:t>
            </w:r>
          </w:p>
          <w:p>
            <w:pPr>
              <w:pStyle w:val="TableContents"/>
              <w:bidi w:val="0"/>
              <w:spacing w:before="0" w:after="20"/>
              <w:jc w:val="left"/>
              <w:rPr/>
            </w:pPr>
            <w:r>
              <w:rPr/>
              <w:t> </w:t>
            </w:r>
          </w:p>
        </w:tc>
      </w:tr>
      <w:tr>
        <w:trPr/>
        <w:tc>
          <w:tcPr>
            <w:tcW w:w="30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68" w:type="dxa"/>
            <w:tcBorders/>
            <w:vAlign w:val="center"/>
          </w:tcPr>
          <w:p>
            <w:pPr>
              <w:pStyle w:val="TableContents"/>
              <w:bidi w:val="0"/>
              <w:spacing w:before="0" w:after="283"/>
              <w:jc w:val="left"/>
              <w:rPr>
                <w:sz w:val="4"/>
                <w:szCs w:val="4"/>
              </w:rPr>
            </w:pPr>
            <w:r>
              <w:rPr>
                <w:sz w:val="4"/>
                <w:szCs w:val="4"/>
              </w:rPr>
            </w:r>
          </w:p>
        </w:tc>
      </w:tr>
      <w:tr>
        <w:trPr/>
        <w:tc>
          <w:tcPr>
            <w:tcW w:w="3073" w:type="dxa"/>
            <w:tcBorders/>
            <w:shd w:fill="CCF2F8"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138" w:type="dxa"/>
            <w:gridSpan w:val="2"/>
            <w:tcBorders/>
            <w:shd w:fill="CCF2F8"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82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073" w:type="dxa"/>
            <w:tcBorders/>
            <w:shd w:fill="CCF2F8" w:val="clear"/>
            <w:vAlign w:val="center"/>
          </w:tcPr>
          <w:p>
            <w:pPr>
              <w:pStyle w:val="TableContents"/>
              <w:bidi w:val="0"/>
              <w:spacing w:before="0" w:after="0"/>
              <w:jc w:val="center"/>
              <w:rPr/>
            </w:pPr>
            <w:r>
              <w:rPr/>
              <w:drawing>
                <wp:inline distT="0" distB="0" distL="0" distR="0">
                  <wp:extent cx="447675" cy="466725"/>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24"/>
                          <a:stretch>
                            <a:fillRect/>
                          </a:stretch>
                        </pic:blipFill>
                        <pic:spPr bwMode="auto">
                          <a:xfrm>
                            <a:off x="0" y="0"/>
                            <a:ext cx="447675" cy="466725"/>
                          </a:xfrm>
                          <a:prstGeom prst="rect">
                            <a:avLst/>
                          </a:prstGeom>
                        </pic:spPr>
                      </pic:pic>
                    </a:graphicData>
                  </a:graphic>
                </wp:inline>
              </w:drawing>
            </w:r>
            <w:r>
              <w:rPr/>
              <w:t xml:space="preserve"> </w:t>
            </w:r>
          </w:p>
          <w:p>
            <w:pPr>
              <w:pStyle w:val="TableContents"/>
              <w:bidi w:val="0"/>
              <w:spacing w:before="0" w:after="20"/>
              <w:jc w:val="center"/>
              <w:rPr>
                <w:rFonts w:ascii="arial" w:hAnsi="arial"/>
                <w:color w:val="3E3935"/>
                <w:sz w:val="18"/>
              </w:rPr>
            </w:pPr>
            <w:r>
              <w:rPr>
                <w:rFonts w:ascii="arial" w:hAnsi="arial"/>
                <w:b/>
                <w:color w:val="3E3935"/>
                <w:sz w:val="18"/>
              </w:rPr>
              <w:t xml:space="preserve">Total company revenue grew ~10% </w:t>
            </w:r>
            <w:r>
              <w:rPr>
                <w:rFonts w:ascii="arial" w:hAnsi="arial"/>
                <w:color w:val="3E3935"/>
                <w:sz w:val="18"/>
              </w:rPr>
              <w:t>year-over-year, with U.S. market share up ~0.3 percentage points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078"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8"/>
              </w:rPr>
            </w:pPr>
            <w:r>
              <w:rPr>
                <w:rFonts w:ascii="arial" w:hAnsi="arial"/>
                <w:b/>
                <w:color w:val="3E3935"/>
                <w:sz w:val="18"/>
              </w:rPr>
              <w:t>EBIT-adjusted(1) of $12.4B</w:t>
            </w:r>
            <w:r>
              <w:rPr>
                <w:rFonts w:ascii="arial" w:hAnsi="arial"/>
                <w:color w:val="3E3935"/>
                <w:sz w:val="18"/>
              </w:rPr>
              <w:t>, the third consecutive year reaching or exceeding our financial target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768" w:type="dxa"/>
            <w:tcBorders/>
            <w:shd w:fill="CCF2F8" w:val="clear"/>
            <w:vAlign w:val="center"/>
          </w:tcPr>
          <w:p>
            <w:pPr>
              <w:pStyle w:val="TableContents"/>
              <w:bidi w:val="0"/>
              <w:spacing w:before="0" w:after="0"/>
              <w:jc w:val="center"/>
              <w:rPr/>
            </w:pPr>
            <w:r>
              <w:rPr/>
              <w:drawing>
                <wp:inline distT="0" distB="0" distL="0" distR="0">
                  <wp:extent cx="533400" cy="276225"/>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5"/>
                          <a:stretch>
                            <a:fillRect/>
                          </a:stretch>
                        </pic:blipFill>
                        <pic:spPr bwMode="auto">
                          <a:xfrm>
                            <a:off x="0" y="0"/>
                            <a:ext cx="533400" cy="276225"/>
                          </a:xfrm>
                          <a:prstGeom prst="rect">
                            <a:avLst/>
                          </a:prstGeom>
                        </pic:spPr>
                      </pic:pic>
                    </a:graphicData>
                  </a:graphic>
                </wp:inline>
              </w:drawing>
            </w:r>
            <w:r>
              <w:rPr/>
              <w:t xml:space="preserve"> </w:t>
            </w:r>
          </w:p>
          <w:p>
            <w:pPr>
              <w:pStyle w:val="TableContents"/>
              <w:bidi w:val="0"/>
              <w:spacing w:before="0" w:after="0"/>
              <w:jc w:val="center"/>
              <w:rPr>
                <w:rFonts w:ascii="arial" w:hAnsi="arial"/>
                <w:b/>
                <w:color w:val="3E3935"/>
                <w:sz w:val="18"/>
              </w:rPr>
            </w:pPr>
            <w:r>
              <w:rPr>
                <w:rFonts w:ascii="arial" w:hAnsi="arial"/>
                <w:b/>
                <w:color w:val="3E3935"/>
                <w:sz w:val="18"/>
              </w:rPr>
              <w:t>Sold more than 1 million crossovers</w:t>
            </w:r>
          </w:p>
          <w:p>
            <w:pPr>
              <w:pStyle w:val="TableContents"/>
              <w:bidi w:val="0"/>
              <w:spacing w:before="0" w:after="20"/>
              <w:jc w:val="center"/>
              <w:rPr>
                <w:rFonts w:ascii="arial" w:hAnsi="arial"/>
                <w:color w:val="3E3935"/>
                <w:sz w:val="18"/>
              </w:rPr>
            </w:pPr>
            <w:r>
              <w:rPr>
                <w:rFonts w:ascii="arial" w:hAnsi="arial"/>
                <w:color w:val="3E3935"/>
                <w:sz w:val="18"/>
              </w:rPr>
              <w:t>in the U.S. in 2023</w:t>
            </w:r>
          </w:p>
        </w:tc>
      </w:tr>
    </w:tbl>
    <w:p>
      <w:pPr>
        <w:pStyle w:val="TextBody"/>
        <w:bidi w:val="0"/>
        <w:spacing w:before="0" w:after="0"/>
        <w:jc w:val="left"/>
        <w:rPr/>
      </w:pPr>
      <w:r>
        <w:rPr/>
        <w:t> </w:t>
      </w:r>
    </w:p>
    <w:tbl>
      <w:tblPr>
        <w:tblW w:w="2963" w:type="dxa"/>
        <w:jc w:val="left"/>
        <w:tblInd w:w="0" w:type="dxa"/>
        <w:tblLayout w:type="fixed"/>
        <w:tblCellMar>
          <w:top w:w="0" w:type="dxa"/>
          <w:left w:w="0" w:type="dxa"/>
          <w:bottom w:w="0" w:type="dxa"/>
          <w:right w:w="0" w:type="dxa"/>
        </w:tblCellMar>
      </w:tblPr>
      <w:tblGrid>
        <w:gridCol w:w="155"/>
        <w:gridCol w:w="60"/>
        <w:gridCol w:w="192"/>
        <w:gridCol w:w="60"/>
        <w:gridCol w:w="2255"/>
        <w:gridCol w:w="60"/>
        <w:gridCol w:w="23"/>
        <w:gridCol w:w="12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1CE"/>
              </w:rPr>
            </w:pPr>
            <w:r>
              <w:rPr>
                <w:b/>
                <w:color w:val="0071CE"/>
              </w:rPr>
              <w:t>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6"/>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color w:val="3E3935"/>
              </w:rPr>
            </w:pPr>
            <w:r>
              <w:rPr>
                <w:b/>
                <w:color w:val="3E3935"/>
              </w:rPr>
              <w:t>PROXY SUMMARY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r>
        <w:rPr>
          <w:rFonts w:ascii="arial" w:hAnsi="arial"/>
          <w:b/>
          <w:color w:val="0071CE"/>
          <w:sz w:val="28"/>
        </w:rPr>
        <w:t xml:space="preserve">Compensation Highlights </w:t>
      </w:r>
    </w:p>
    <w:p>
      <w:pPr>
        <w:pStyle w:val="TextBody"/>
        <w:bidi w:val="0"/>
        <w:spacing w:before="120" w:after="0"/>
        <w:jc w:val="both"/>
        <w:rPr>
          <w:rFonts w:ascii="arial" w:hAnsi="arial"/>
          <w:color w:val="3E3935"/>
          <w:sz w:val="18"/>
        </w:rPr>
      </w:pPr>
      <w:r>
        <w:rPr>
          <w:rFonts w:ascii="arial" w:hAnsi="arial"/>
          <w:color w:val="3E3935"/>
          <w:sz w:val="18"/>
        </w:rPr>
        <w:t xml:space="preserve">Our executive compensation program is designed to focus our leaders on key areas that drive the business forward, align to the short-term and long-term interests of our shareholders, and reward our leaders for delivering on the Company’s strategy and vision. </w:t>
      </w:r>
    </w:p>
    <w:p>
      <w:pPr>
        <w:pStyle w:val="TextBody"/>
        <w:bidi w:val="0"/>
        <w:spacing w:before="360" w:after="0"/>
        <w:jc w:val="left"/>
        <w:rPr>
          <w:rFonts w:ascii="arial" w:hAnsi="arial"/>
          <w:b/>
          <w:color w:val="3E3935"/>
          <w:sz w:val="26"/>
        </w:rPr>
      </w:pPr>
      <w:r>
        <w:rPr>
          <w:rFonts w:ascii="arial" w:hAnsi="arial"/>
          <w:b/>
          <w:color w:val="3E3935"/>
          <w:sz w:val="26"/>
        </w:rPr>
        <w:t xml:space="preserve">2024 STIP and LTIP Design Changes </w:t>
      </w:r>
    </w:p>
    <w:p>
      <w:pPr>
        <w:pStyle w:val="TextBody"/>
        <w:bidi w:val="0"/>
        <w:spacing w:before="120" w:after="0"/>
        <w:jc w:val="both"/>
        <w:rPr>
          <w:rFonts w:ascii="arial" w:hAnsi="arial"/>
          <w:color w:val="3E3935"/>
          <w:sz w:val="18"/>
        </w:rPr>
      </w:pPr>
      <w:r>
        <w:rPr>
          <w:rFonts w:ascii="arial" w:hAnsi="arial"/>
          <w:color w:val="3E3935"/>
          <w:sz w:val="18"/>
        </w:rPr>
        <w:t xml:space="preserve">As discussed in the Board’s letter to shareholders at the beginning of this Proxy Statement, we have enhanced our STIP and LTIP beginning with the 2024 performance year following an extensive review by the Compensation Committee, with the objective of strengthening the alignment of our plans with our evolving financial and strategic goals. The 2024 STIP performance measures will continue to include EBIT-adjusted (35% of STIP) and AAFCF (25% of STIP) as the primary financial measures to align with the performance of our ICE portfolio. In addition, the STIP will now incorporate EV (25% of STIP), Software &amp; Services (“S&amp;S”) (10% of STIP), and AV (5% of STIP) performance measures that align to the strategic pillars of our business. The 2024 LTIP structure will continue to include PSUs (75% of LTIP), and will now incorporate RSUs (25% of LTIP) in lieu of stock options to improve our ability to attract and retain critical talent and to more efficiently use the shares available in the equity plan. The 2024 LTIP PSU performance measures will include Cumulative AAOCF (30% of LTIP), EBIT-adjusted Margin (15% of LTIP), and Relative TSR (30% of LTIP). The redesigned LTIP continues to focus on driving shareholder value and Company profitability, while increasing the focus on cash generation during this critical period of transformation.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390" cy="233045"/>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7"/>
                    <a:stretch>
                      <a:fillRect/>
                    </a:stretch>
                  </pic:blipFill>
                  <pic:spPr bwMode="auto">
                    <a:xfrm>
                      <a:off x="0" y="0"/>
                      <a:ext cx="580390" cy="233045"/>
                    </a:xfrm>
                    <a:prstGeom prst="rect">
                      <a:avLst/>
                    </a:prstGeom>
                  </pic:spPr>
                </pic:pic>
              </a:graphicData>
            </a:graphic>
          </wp:inline>
        </w:drawing>
      </w:r>
      <w:r>
        <w:rPr/>
        <w:t xml:space="preserve"> </w:t>
      </w:r>
    </w:p>
    <w:p>
      <w:pPr>
        <w:pStyle w:val="TextBody"/>
        <w:bidi w:val="0"/>
        <w:spacing w:before="0" w:after="0"/>
        <w:jc w:val="left"/>
        <w:rPr/>
      </w:pPr>
      <w:r>
        <w:rPr/>
        <w:t> </w:t>
      </w:r>
    </w:p>
    <w:tbl>
      <w:tblPr>
        <w:tblW w:w="5146" w:type="dxa"/>
        <w:jc w:val="left"/>
        <w:tblInd w:w="0" w:type="dxa"/>
        <w:tblLayout w:type="fixed"/>
        <w:tblCellMar>
          <w:top w:w="0" w:type="dxa"/>
          <w:left w:w="0" w:type="dxa"/>
          <w:bottom w:w="0" w:type="dxa"/>
          <w:right w:w="0" w:type="dxa"/>
        </w:tblCellMar>
      </w:tblPr>
      <w:tblGrid>
        <w:gridCol w:w="38"/>
        <w:gridCol w:w="60"/>
        <w:gridCol w:w="23"/>
        <w:gridCol w:w="60"/>
        <w:gridCol w:w="2255"/>
        <w:gridCol w:w="60"/>
        <w:gridCol w:w="2255"/>
        <w:gridCol w:w="12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color w:val="3E3935"/>
              </w:rPr>
            </w:pPr>
            <w:r>
              <w:rPr>
                <w:b/>
                <w:color w:val="3E3935"/>
              </w:rPr>
              <w:t>PROXY SUMMARY</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140" w:type="dxa"/>
            <w:tcBorders/>
            <w:vAlign w:val="center"/>
          </w:tcPr>
          <w:p>
            <w:pPr>
              <w:pStyle w:val="TableContents"/>
              <w:bidi w:val="0"/>
              <w:spacing w:before="0" w:after="283"/>
              <w:jc w:val="right"/>
              <w:rPr>
                <w:b/>
                <w:color w:val="0071CE"/>
              </w:rPr>
            </w:pPr>
            <w:r>
              <w:rPr>
                <w:b/>
                <w:color w:val="0071CE"/>
              </w:rPr>
              <w:t>5</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r>
        <w:rPr>
          <w:rFonts w:ascii="arial" w:hAnsi="arial"/>
          <w:b/>
          <w:color w:val="0071CE"/>
          <w:sz w:val="28"/>
        </w:rPr>
        <w:t xml:space="preserve">Stewardship Engagement </w:t>
      </w:r>
    </w:p>
    <w:p>
      <w:pPr>
        <w:pStyle w:val="TextBody"/>
        <w:bidi w:val="0"/>
        <w:spacing w:before="120" w:after="0"/>
        <w:jc w:val="both"/>
        <w:rPr>
          <w:color w:val="0071CE"/>
        </w:rPr>
      </w:pPr>
      <w:r>
        <w:rPr>
          <w:color w:val="0071CE"/>
        </w:rPr>
        <w:t>“</w:t>
      </w:r>
      <w:r>
        <w:rPr>
          <w:rFonts w:ascii="arial" w:hAnsi="arial"/>
          <w:b/>
          <w:color w:val="0071CE"/>
          <w:sz w:val="22"/>
        </w:rPr>
        <w:t xml:space="preserve">I regularly meet with investors to share the Board’s perspective on the Company’s strategic direction and discuss the skills needed on the Board to oversee the Company’s transformation. This year, I was pleased to be joined by Wes Bush, who shared steps the Board’s Executive Compensation Committee has taken to further align our executive compensation philosophy to the Company’s evolving strategy. Wes and I shared outcomes from these discussions with our Board colleagues and the feedback received has helped shape our disclosures.” </w:t>
      </w:r>
    </w:p>
    <w:p>
      <w:pPr>
        <w:pStyle w:val="TextBody"/>
        <w:bidi w:val="0"/>
        <w:spacing w:before="240" w:after="0"/>
        <w:jc w:val="right"/>
        <w:rPr>
          <w:color w:val="3E3935"/>
        </w:rPr>
      </w:pPr>
      <w:r>
        <w:rPr>
          <w:color w:val="3E3935"/>
        </w:rPr>
        <w:t xml:space="preserve">– </w:t>
      </w:r>
      <w:r>
        <w:rPr>
          <w:rFonts w:ascii="arial" w:hAnsi="arial"/>
          <w:b/>
          <w:color w:val="3E3935"/>
          <w:sz w:val="18"/>
        </w:rPr>
        <w:t xml:space="preserve">Patricia F. Russo, Independent Lead Director </w:t>
      </w:r>
    </w:p>
    <w:p>
      <w:pPr>
        <w:pStyle w:val="TextBody"/>
        <w:bidi w:val="0"/>
        <w:spacing w:before="240" w:after="0"/>
        <w:jc w:val="both"/>
        <w:rPr>
          <w:rFonts w:ascii="arial" w:hAnsi="arial"/>
          <w:color w:val="3E3935"/>
          <w:sz w:val="18"/>
        </w:rPr>
      </w:pPr>
      <w:r>
        <w:rPr>
          <w:rFonts w:ascii="arial" w:hAnsi="arial"/>
          <w:color w:val="3E3935"/>
          <w:sz w:val="18"/>
        </w:rPr>
        <w:t xml:space="preserve">The Company’s extensive stewardship outreach program engages with institutional investors and other stakeholders to help the Board and management gain feedback on a variety of topics and intentionally seeks input from different perspectives. The feedback received from these sessions is communicated to the Governance Committee and Compensation Committee throughout the year. In 2023, members of our Board or management team conducted over 50 such stewardship engagements, including with shareholders representing over 30 percent of our common stock. In addition to those sessions, we participate in a number of activities throughout the year that provide the opportunity to communicate our strategy to shareholders and listen to a diverse set of opinions. A sample of such activity in 2023 included: </w:t>
      </w:r>
    </w:p>
    <w:p>
      <w:pPr>
        <w:pStyle w:val="TextBody"/>
        <w:bidi w:val="0"/>
        <w:spacing w:before="0" w:after="0"/>
        <w:jc w:val="left"/>
        <w:rPr/>
      </w:pPr>
      <w:r>
        <w:rPr/>
        <w:t> </w:t>
      </w:r>
    </w:p>
    <w:p>
      <w:pPr>
        <w:pStyle w:val="TextBody"/>
        <w:bidi w:val="0"/>
        <w:spacing w:before="0" w:after="0"/>
        <w:jc w:val="center"/>
        <w:rPr/>
      </w:pPr>
      <w:r>
        <w:rPr/>
        <w:drawing>
          <wp:inline distT="0" distB="0" distL="0" distR="0">
            <wp:extent cx="629285" cy="30861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8"/>
                    <a:stretch>
                      <a:fillRect/>
                    </a:stretch>
                  </pic:blipFill>
                  <pic:spPr bwMode="auto">
                    <a:xfrm>
                      <a:off x="0" y="0"/>
                      <a:ext cx="629285"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idi w:val="0"/>
        <w:spacing w:lineRule="atLeast" w:line="600" w:before="0" w:after="0"/>
        <w:jc w:val="center"/>
        <w:rPr>
          <w:rFonts w:ascii="arial" w:hAnsi="arial"/>
          <w:b/>
          <w:color w:val="0071CE"/>
          <w:sz w:val="22"/>
          <w:bdr w:val="single" w:sz="2" w:space="2" w:color="CCF2F8"/>
          <w:shd w:fill="CCF2F8" w:val="clear"/>
        </w:rPr>
      </w:pPr>
      <w:r>
        <w:rPr>
          <w:rFonts w:ascii="arial" w:hAnsi="arial"/>
          <w:b/>
          <w:color w:val="0071CE"/>
          <w:sz w:val="22"/>
          <w:bdr w:val="single" w:sz="2" w:space="2" w:color="CCF2F8"/>
          <w:shd w:fill="CCF2F8" w:val="clear"/>
        </w:rPr>
        <w:t xml:space="preserve">HOW TO CONTACT OUR BOARD </w:t>
      </w:r>
    </w:p>
    <w:p>
      <w:pPr>
        <w:pStyle w:val="TextBody"/>
        <w:pBdr/>
        <w:bidi w:val="0"/>
        <w:spacing w:before="120" w:after="0"/>
        <w:jc w:val="left"/>
        <w:rPr>
          <w:rFonts w:ascii="arial" w:hAnsi="arial"/>
          <w:sz w:val="18"/>
          <w:bdr w:val="single" w:sz="2" w:space="2" w:color="CCF2F8"/>
          <w:shd w:fill="CCF2F8" w:val="clear"/>
        </w:rPr>
      </w:pPr>
      <w:r>
        <w:rPr>
          <w:rFonts w:ascii="arial" w:hAnsi="arial"/>
          <w:color w:val="3E3935"/>
          <w:sz w:val="18"/>
          <w:bdr w:val="single" w:sz="2" w:space="2" w:color="CCF2F8"/>
          <w:shd w:fill="CCF2F8" w:val="clear"/>
        </w:rPr>
        <w:t xml:space="preserve">Shareholders and interested parties wishing to contact our Board may send a letter to GM’s Corporate Secretary at General Motors Company, Mail Code 482-C24-A68, 300 Renaissance Center, Detroit, Michigan 48265 or by email at </w:t>
      </w:r>
      <w:r>
        <w:rPr>
          <w:rFonts w:ascii="arial" w:hAnsi="arial"/>
          <w:b/>
          <w:i/>
          <w:color w:val="0071CE"/>
          <w:sz w:val="18"/>
          <w:bdr w:val="single" w:sz="2" w:space="2" w:color="CCF2F8"/>
          <w:shd w:fill="CCF2F8" w:val="clear"/>
        </w:rPr>
        <w:t>shareholder.relations@gm.com.</w:t>
      </w:r>
      <w:r>
        <w:rPr>
          <w:rFonts w:ascii="arial" w:hAnsi="arial"/>
          <w:color w:val="3E3935"/>
          <w:sz w:val="18"/>
          <w:bdr w:val="single" w:sz="2" w:space="2" w:color="CCF2F8"/>
          <w:shd w:fill="CCF2F8" w:val="clear"/>
        </w:rPr>
        <w:t xml:space="preserve"> Communications received in writing will be distributed to the Independent Lead Director or independent members of reasonable the Board as a group, if appropriate, unless such communications are considered, in the reasonable judgment of the Corporate Secretary, improper for submission to the intended recipient(s). </w:t>
      </w:r>
    </w:p>
    <w:p>
      <w:pPr>
        <w:pStyle w:val="TextBody"/>
        <w:bidi w:val="0"/>
        <w:spacing w:before="0" w:after="0"/>
        <w:jc w:val="left"/>
        <w:rPr>
          <w:bdr w:val="single" w:sz="2" w:space="2" w:color="CCF2F8"/>
          <w:shd w:fill="CCF2F8" w:val="clear"/>
        </w:rPr>
      </w:pPr>
      <w:r>
        <w:rPr>
          <w:bdr w:val="single" w:sz="2" w:space="2" w:color="CCF2F8"/>
          <w:shd w:fill="CCF2F8" w:val="clear"/>
        </w:rPr>
        <w:t> </w:t>
      </w:r>
    </w:p>
    <w:p>
      <w:pPr>
        <w:pStyle w:val="TextBody"/>
        <w:bidi w:val="0"/>
        <w:spacing w:before="0" w:after="0"/>
        <w:jc w:val="left"/>
        <w:rPr>
          <w:bdr w:val="single" w:sz="2" w:space="2" w:color="CCF2F8"/>
          <w:shd w:fill="CCF2F8" w:val="clear"/>
        </w:rPr>
      </w:pPr>
      <w:r>
        <w:rPr>
          <w:bdr w:val="single" w:sz="2" w:space="2" w:color="CCF2F8"/>
          <w:shd w:fill="CCF2F8" w:val="clear"/>
        </w:rPr>
        <w:t> </w:t>
      </w:r>
    </w:p>
    <w:p>
      <w:pPr>
        <w:pStyle w:val="TextBody"/>
        <w:bidi w:val="0"/>
        <w:spacing w:before="0" w:after="0"/>
        <w:jc w:val="left"/>
        <w:rPr/>
      </w:pPr>
      <w:r>
        <w:rPr/>
        <w:t> </w:t>
      </w:r>
    </w:p>
    <w:tbl>
      <w:tblPr>
        <w:tblW w:w="2963" w:type="dxa"/>
        <w:jc w:val="left"/>
        <w:tblInd w:w="0" w:type="dxa"/>
        <w:tblLayout w:type="fixed"/>
        <w:tblCellMar>
          <w:top w:w="0" w:type="dxa"/>
          <w:left w:w="0" w:type="dxa"/>
          <w:bottom w:w="0" w:type="dxa"/>
          <w:right w:w="0" w:type="dxa"/>
        </w:tblCellMar>
      </w:tblPr>
      <w:tblGrid>
        <w:gridCol w:w="155"/>
        <w:gridCol w:w="60"/>
        <w:gridCol w:w="192"/>
        <w:gridCol w:w="60"/>
        <w:gridCol w:w="2255"/>
        <w:gridCol w:w="60"/>
        <w:gridCol w:w="23"/>
        <w:gridCol w:w="12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1CE"/>
              </w:rPr>
            </w:pPr>
            <w:r>
              <w:rPr>
                <w:b/>
                <w:color w:val="0071CE"/>
              </w:rPr>
              <w:t>6</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9"/>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color w:val="3E3935"/>
              </w:rPr>
            </w:pPr>
            <w:r>
              <w:rPr>
                <w:b/>
                <w:color w:val="3E3935"/>
              </w:rPr>
              <w:t>PROXY SUMMARY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The table below provides a summary of common themes we have recently heard that led to boardroom discussion and action: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48"/>
        <w:gridCol w:w="120"/>
        <w:gridCol w:w="6237"/>
      </w:tblGrid>
      <w:tr>
        <w:trPr/>
        <w:tc>
          <w:tcPr>
            <w:tcW w:w="38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37" w:type="dxa"/>
            <w:tcBorders/>
            <w:vAlign w:val="center"/>
          </w:tcPr>
          <w:p>
            <w:pPr>
              <w:pStyle w:val="TableContents"/>
              <w:bidi w:val="0"/>
              <w:spacing w:before="0" w:after="283"/>
              <w:jc w:val="left"/>
              <w:rPr>
                <w:sz w:val="4"/>
                <w:szCs w:val="4"/>
              </w:rPr>
            </w:pPr>
            <w:r>
              <w:rPr>
                <w:sz w:val="4"/>
                <w:szCs w:val="4"/>
              </w:rPr>
            </w:r>
          </w:p>
        </w:tc>
      </w:tr>
      <w:tr>
        <w:trPr/>
        <w:tc>
          <w:tcPr>
            <w:tcW w:w="3848"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Message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237"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Actions</w:t>
            </w:r>
          </w:p>
        </w:tc>
      </w:tr>
      <w:tr>
        <w:trPr/>
        <w:tc>
          <w:tcPr>
            <w:tcW w:w="3848" w:type="dxa"/>
            <w:tcBorders/>
            <w:vAlign w:val="center"/>
          </w:tcPr>
          <w:p>
            <w:pPr>
              <w:pStyle w:val="TableContents"/>
              <w:bidi w:val="0"/>
              <w:spacing w:before="0" w:after="283"/>
              <w:jc w:val="left"/>
              <w:rPr>
                <w:sz w:val="4"/>
                <w:szCs w:val="4"/>
              </w:rPr>
            </w:pPr>
            <w:r>
              <w:rPr>
                <w:sz w:val="4"/>
                <w:szCs w:val="4"/>
              </w:rPr>
            </w:r>
          </w:p>
        </w:tc>
        <w:tc>
          <w:tcPr>
            <w:tcW w:w="6357" w:type="dxa"/>
            <w:gridSpan w:val="2"/>
            <w:tcBorders/>
            <w:vAlign w:val="center"/>
          </w:tcPr>
          <w:p>
            <w:pPr>
              <w:pStyle w:val="TableContents"/>
              <w:bidi w:val="0"/>
              <w:spacing w:before="0" w:after="283"/>
              <w:jc w:val="left"/>
              <w:rPr>
                <w:sz w:val="4"/>
                <w:szCs w:val="4"/>
              </w:rPr>
            </w:pPr>
            <w:r>
              <w:rPr>
                <w:sz w:val="4"/>
                <w:szCs w:val="4"/>
              </w:rPr>
            </w:r>
          </w:p>
        </w:tc>
      </w:tr>
      <w:tr>
        <w:trPr/>
        <w:tc>
          <w:tcPr>
            <w:tcW w:w="3848"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Requested to further explain how GM’s compensation strategy incentivizes the executive leadership team.</w:t>
            </w:r>
          </w:p>
        </w:tc>
        <w:tc>
          <w:tcPr>
            <w:tcW w:w="120" w:type="dxa"/>
            <w:tcBorders/>
            <w:vAlign w:val="center"/>
          </w:tcPr>
          <w:p>
            <w:pPr>
              <w:pStyle w:val="TableContents"/>
              <w:bidi w:val="0"/>
              <w:spacing w:before="0" w:after="283"/>
              <w:jc w:val="left"/>
              <w:rPr/>
            </w:pPr>
            <w:r>
              <w:rPr/>
              <w:t>  </w:t>
            </w:r>
          </w:p>
        </w:tc>
        <w:tc>
          <w:tcPr>
            <w:tcW w:w="6237"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For a discussion of the actions taken to further evolve the Company’s executive compensation program, see page 42.</w:t>
            </w:r>
          </w:p>
        </w:tc>
      </w:tr>
      <w:tr>
        <w:trPr/>
        <w:tc>
          <w:tcPr>
            <w:tcW w:w="3848" w:type="dxa"/>
            <w:tcBorders/>
            <w:shd w:fill="CCF2F8" w:val="clear"/>
            <w:vAlign w:val="center"/>
          </w:tcPr>
          <w:p>
            <w:pPr>
              <w:pStyle w:val="TableContents"/>
              <w:bidi w:val="0"/>
              <w:spacing w:before="0" w:after="283"/>
              <w:jc w:val="left"/>
              <w:rPr>
                <w:sz w:val="4"/>
                <w:szCs w:val="4"/>
              </w:rPr>
            </w:pPr>
            <w:r>
              <w:rPr>
                <w:sz w:val="4"/>
                <w:szCs w:val="4"/>
              </w:rPr>
            </w:r>
          </w:p>
        </w:tc>
        <w:tc>
          <w:tcPr>
            <w:tcW w:w="6357"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48"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Encouraged to further accelerate the return of capital to shareholders pursuant to the Company’s Capital Allocation Framework.</w:t>
            </w:r>
          </w:p>
        </w:tc>
        <w:tc>
          <w:tcPr>
            <w:tcW w:w="120" w:type="dxa"/>
            <w:tcBorders/>
            <w:shd w:fill="CCF2F8" w:val="clear"/>
            <w:vAlign w:val="center"/>
          </w:tcPr>
          <w:p>
            <w:pPr>
              <w:pStyle w:val="TableContents"/>
              <w:bidi w:val="0"/>
              <w:spacing w:before="0" w:after="283"/>
              <w:jc w:val="left"/>
              <w:rPr/>
            </w:pPr>
            <w:r>
              <w:rPr/>
              <w:t>  </w:t>
            </w:r>
          </w:p>
        </w:tc>
        <w:tc>
          <w:tcPr>
            <w:tcW w:w="6237"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In Q4 2023, the Board announced a $10 billion accelerated share repurchase program and announced its intention to increase the common stock dividend by 33% beginning in Q1 2024.</w:t>
            </w:r>
          </w:p>
        </w:tc>
      </w:tr>
      <w:tr>
        <w:trPr/>
        <w:tc>
          <w:tcPr>
            <w:tcW w:w="3848" w:type="dxa"/>
            <w:tcBorders/>
            <w:vAlign w:val="center"/>
          </w:tcPr>
          <w:p>
            <w:pPr>
              <w:pStyle w:val="TableContents"/>
              <w:bidi w:val="0"/>
              <w:spacing w:before="0" w:after="283"/>
              <w:jc w:val="left"/>
              <w:rPr>
                <w:sz w:val="4"/>
                <w:szCs w:val="4"/>
              </w:rPr>
            </w:pPr>
            <w:r>
              <w:rPr>
                <w:sz w:val="4"/>
                <w:szCs w:val="4"/>
              </w:rPr>
            </w:r>
          </w:p>
        </w:tc>
        <w:tc>
          <w:tcPr>
            <w:tcW w:w="6357" w:type="dxa"/>
            <w:gridSpan w:val="2"/>
            <w:tcBorders/>
            <w:vAlign w:val="center"/>
          </w:tcPr>
          <w:p>
            <w:pPr>
              <w:pStyle w:val="TableContents"/>
              <w:bidi w:val="0"/>
              <w:spacing w:before="0" w:after="283"/>
              <w:jc w:val="left"/>
              <w:rPr>
                <w:sz w:val="4"/>
                <w:szCs w:val="4"/>
              </w:rPr>
            </w:pPr>
            <w:r>
              <w:rPr>
                <w:sz w:val="4"/>
                <w:szCs w:val="4"/>
              </w:rPr>
            </w:r>
          </w:p>
        </w:tc>
      </w:tr>
      <w:tr>
        <w:trPr/>
        <w:tc>
          <w:tcPr>
            <w:tcW w:w="3848"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Inquired about the Board’s role in overseeing risks related to the Company’s talent pipeline and succession plans.</w:t>
            </w:r>
          </w:p>
        </w:tc>
        <w:tc>
          <w:tcPr>
            <w:tcW w:w="120" w:type="dxa"/>
            <w:tcBorders/>
            <w:vAlign w:val="center"/>
          </w:tcPr>
          <w:p>
            <w:pPr>
              <w:pStyle w:val="TableContents"/>
              <w:bidi w:val="0"/>
              <w:spacing w:before="0" w:after="283"/>
              <w:jc w:val="left"/>
              <w:rPr/>
            </w:pPr>
            <w:r>
              <w:rPr/>
              <w:t>  </w:t>
            </w:r>
          </w:p>
        </w:tc>
        <w:tc>
          <w:tcPr>
            <w:tcW w:w="6237"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The Board has been forward leaning in assisting management in the recruitment of talent as it transitions key skill sets required to manage the Company well into the future. For a discussion of the actions taken to further disclose the Board’s oversight of talent and succession planning, see page 31.</w:t>
            </w:r>
          </w:p>
        </w:tc>
      </w:tr>
      <w:tr>
        <w:trPr/>
        <w:tc>
          <w:tcPr>
            <w:tcW w:w="3848" w:type="dxa"/>
            <w:tcBorders/>
            <w:shd w:fill="CCF2F8" w:val="clear"/>
            <w:vAlign w:val="center"/>
          </w:tcPr>
          <w:p>
            <w:pPr>
              <w:pStyle w:val="TableContents"/>
              <w:bidi w:val="0"/>
              <w:spacing w:before="0" w:after="283"/>
              <w:jc w:val="left"/>
              <w:rPr>
                <w:sz w:val="4"/>
                <w:szCs w:val="4"/>
              </w:rPr>
            </w:pPr>
            <w:r>
              <w:rPr>
                <w:sz w:val="4"/>
                <w:szCs w:val="4"/>
              </w:rPr>
            </w:r>
          </w:p>
        </w:tc>
        <w:tc>
          <w:tcPr>
            <w:tcW w:w="6357"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48"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Encouraged to continue the Company’s transparent reporting practices related to sustainability initiatives, including on climate change, human rights, and supply chain governance.</w:t>
            </w:r>
          </w:p>
        </w:tc>
        <w:tc>
          <w:tcPr>
            <w:tcW w:w="120" w:type="dxa"/>
            <w:tcBorders/>
            <w:shd w:fill="CCF2F8" w:val="clear"/>
            <w:vAlign w:val="center"/>
          </w:tcPr>
          <w:p>
            <w:pPr>
              <w:pStyle w:val="TableContents"/>
              <w:bidi w:val="0"/>
              <w:spacing w:before="0" w:after="283"/>
              <w:jc w:val="left"/>
              <w:rPr/>
            </w:pPr>
            <w:r>
              <w:rPr/>
              <w:t>  </w:t>
            </w:r>
          </w:p>
        </w:tc>
        <w:tc>
          <w:tcPr>
            <w:tcW w:w="6237"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We published the Company’s third Sustainability Advocacy Report, which discloses the Company’s advocacy efforts on climate change policy, fleet emissions, fuel economy regulations, and policies to support the automotive industry’s transition to EVs.</w:t>
            </w:r>
          </w:p>
          <w:p>
            <w:pPr>
              <w:pStyle w:val="TableContents"/>
              <w:bidi w:val="0"/>
              <w:spacing w:before="0" w:after="0"/>
              <w:jc w:val="left"/>
              <w:rPr/>
            </w:pPr>
            <w:r>
              <w:rPr/>
              <w:t> </w:t>
            </w:r>
          </w:p>
          <w:p>
            <w:pPr>
              <w:pStyle w:val="TableContents"/>
              <w:bidi w:val="0"/>
              <w:spacing w:before="0" w:after="0"/>
              <w:jc w:val="left"/>
              <w:rPr>
                <w:rFonts w:ascii="arial" w:hAnsi="arial"/>
                <w:color w:val="3E3935"/>
                <w:sz w:val="17"/>
              </w:rPr>
            </w:pPr>
            <w:r>
              <w:rPr>
                <w:rFonts w:ascii="arial" w:hAnsi="arial"/>
                <w:color w:val="3E3935"/>
                <w:sz w:val="17"/>
              </w:rPr>
              <w:t>Last year, we also conducted the Company’s first Human Rights Symposium, which facilitated opportunities for various thought-leaders in the space to share perspectives and led to the Company hosting its first Indigenous Rights Workshop.</w:t>
            </w:r>
          </w:p>
          <w:p>
            <w:pPr>
              <w:pStyle w:val="TableContents"/>
              <w:bidi w:val="0"/>
              <w:spacing w:before="0" w:after="0"/>
              <w:jc w:val="left"/>
              <w:rPr/>
            </w:pPr>
            <w:r>
              <w:rPr/>
              <w:t> </w:t>
            </w:r>
          </w:p>
          <w:p>
            <w:pPr>
              <w:pStyle w:val="TableContents"/>
              <w:bidi w:val="0"/>
              <w:spacing w:before="0" w:after="20"/>
              <w:jc w:val="left"/>
              <w:rPr>
                <w:rFonts w:ascii="arial" w:hAnsi="arial"/>
                <w:color w:val="3E3935"/>
                <w:sz w:val="17"/>
              </w:rPr>
            </w:pPr>
            <w:r>
              <w:rPr>
                <w:rFonts w:ascii="arial" w:hAnsi="arial"/>
                <w:color w:val="3E3935"/>
                <w:sz w:val="17"/>
              </w:rPr>
              <w:t>The Company also joined the First Movers Coalition through commitments to low-carbon concrete, cement, aluminum and steel, signaling a firm market demand for a net-zero transition and our dedication to a more resilient and sustainable supply chain.</w:t>
            </w:r>
          </w:p>
        </w:tc>
      </w:tr>
      <w:tr>
        <w:trPr/>
        <w:tc>
          <w:tcPr>
            <w:tcW w:w="3848" w:type="dxa"/>
            <w:tcBorders/>
            <w:vAlign w:val="center"/>
          </w:tcPr>
          <w:p>
            <w:pPr>
              <w:pStyle w:val="TableContents"/>
              <w:bidi w:val="0"/>
              <w:spacing w:before="0" w:after="283"/>
              <w:jc w:val="left"/>
              <w:rPr>
                <w:sz w:val="4"/>
                <w:szCs w:val="4"/>
              </w:rPr>
            </w:pPr>
            <w:r>
              <w:rPr>
                <w:sz w:val="4"/>
                <w:szCs w:val="4"/>
              </w:rPr>
            </w:r>
          </w:p>
        </w:tc>
        <w:tc>
          <w:tcPr>
            <w:tcW w:w="6357" w:type="dxa"/>
            <w:gridSpan w:val="2"/>
            <w:tcBorders/>
            <w:vAlign w:val="center"/>
          </w:tcPr>
          <w:p>
            <w:pPr>
              <w:pStyle w:val="TableContents"/>
              <w:bidi w:val="0"/>
              <w:spacing w:before="0" w:after="283"/>
              <w:jc w:val="left"/>
              <w:rPr>
                <w:sz w:val="4"/>
                <w:szCs w:val="4"/>
              </w:rPr>
            </w:pPr>
            <w:r>
              <w:rPr>
                <w:sz w:val="4"/>
                <w:szCs w:val="4"/>
              </w:rPr>
            </w:r>
          </w:p>
        </w:tc>
      </w:tr>
      <w:tr>
        <w:trPr/>
        <w:tc>
          <w:tcPr>
            <w:tcW w:w="3848"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Requested to disclose the Board’s oversight of cybersecurity risks.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237"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Last year, the Board added Vice Admiral Tighe to further its cybersecurity expertise as the Company scales its EV deployment. For a detailed description of recent activities completed by the Board’s Risk and Cybersecurity Committee, see page 26 and for a description of cybersecurity risk oversight, see page 29.</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5146" w:type="dxa"/>
        <w:jc w:val="left"/>
        <w:tblInd w:w="0" w:type="dxa"/>
        <w:tblLayout w:type="fixed"/>
        <w:tblCellMar>
          <w:top w:w="0" w:type="dxa"/>
          <w:left w:w="0" w:type="dxa"/>
          <w:bottom w:w="0" w:type="dxa"/>
          <w:right w:w="0" w:type="dxa"/>
        </w:tblCellMar>
      </w:tblPr>
      <w:tblGrid>
        <w:gridCol w:w="38"/>
        <w:gridCol w:w="60"/>
        <w:gridCol w:w="23"/>
        <w:gridCol w:w="60"/>
        <w:gridCol w:w="2255"/>
        <w:gridCol w:w="60"/>
        <w:gridCol w:w="2255"/>
        <w:gridCol w:w="12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color w:val="3E3935"/>
              </w:rPr>
            </w:pPr>
            <w:r>
              <w:rPr>
                <w:b/>
                <w:color w:val="3E3935"/>
              </w:rPr>
              <w:t>PROXY SUMMARY</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140" w:type="dxa"/>
            <w:tcBorders/>
            <w:vAlign w:val="center"/>
          </w:tcPr>
          <w:p>
            <w:pPr>
              <w:pStyle w:val="TableContents"/>
              <w:bidi w:val="0"/>
              <w:spacing w:before="0" w:after="283"/>
              <w:jc w:val="right"/>
              <w:rPr>
                <w:b/>
                <w:color w:val="0071CE"/>
              </w:rPr>
            </w:pPr>
            <w:r>
              <w:rPr>
                <w:b/>
                <w:color w:val="0071CE"/>
              </w:rPr>
              <w:t>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r>
        <w:rPr>
          <w:rFonts w:ascii="arial" w:hAnsi="arial"/>
          <w:b/>
          <w:color w:val="0071CE"/>
          <w:sz w:val="28"/>
        </w:rPr>
        <w:t xml:space="preserve">Governance and Sustainability </w:t>
      </w:r>
    </w:p>
    <w:p>
      <w:pPr>
        <w:pStyle w:val="TextBody"/>
        <w:bidi w:val="0"/>
        <w:spacing w:before="360" w:after="0"/>
        <w:jc w:val="left"/>
        <w:rPr>
          <w:rFonts w:ascii="arial" w:hAnsi="arial"/>
          <w:b/>
          <w:color w:val="3E3935"/>
          <w:sz w:val="26"/>
        </w:rPr>
      </w:pPr>
      <w:r>
        <w:rPr>
          <w:rFonts w:ascii="arial" w:hAnsi="arial"/>
          <w:b/>
          <w:color w:val="3E3935"/>
          <w:sz w:val="26"/>
        </w:rPr>
        <w:t xml:space="preserve">Governance Highlights </w:t>
      </w:r>
    </w:p>
    <w:p>
      <w:pPr>
        <w:pStyle w:val="TextBody"/>
        <w:bidi w:val="0"/>
        <w:spacing w:before="120" w:after="0"/>
        <w:jc w:val="both"/>
        <w:rPr>
          <w:rFonts w:ascii="arial" w:hAnsi="arial"/>
          <w:color w:val="3E3935"/>
          <w:sz w:val="18"/>
        </w:rPr>
      </w:pPr>
      <w:r>
        <w:rPr>
          <w:rFonts w:ascii="arial" w:hAnsi="arial"/>
          <w:color w:val="3E3935"/>
          <w:sz w:val="18"/>
        </w:rPr>
        <w:t xml:space="preserve">The Board is committed to governance structures and practices that protect shareholder value and important shareholder rights. The Governance Committee regularly reviews these structures and practices and makes updates as appropriate. Highlights of GM’s governance structures include the following: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47065" cy="314325"/>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30"/>
                    <a:stretch>
                      <a:fillRect/>
                    </a:stretch>
                  </pic:blipFill>
                  <pic:spPr bwMode="auto">
                    <a:xfrm>
                      <a:off x="0" y="0"/>
                      <a:ext cx="647065" cy="314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0" w:after="0"/>
        <w:jc w:val="left"/>
        <w:rPr>
          <w:rFonts w:ascii="arial" w:hAnsi="arial"/>
          <w:b/>
          <w:color w:val="3E3935"/>
          <w:sz w:val="26"/>
        </w:rPr>
      </w:pPr>
      <w:r>
        <w:rPr>
          <w:rFonts w:ascii="arial" w:hAnsi="arial"/>
          <w:b/>
          <w:color w:val="3E3935"/>
          <w:sz w:val="26"/>
        </w:rPr>
        <w:t xml:space="preserve">Additional Sustainability and Governance Resources </w:t>
      </w:r>
    </w:p>
    <w:p>
      <w:pPr>
        <w:pStyle w:val="TextBody"/>
        <w:bidi w:val="0"/>
        <w:spacing w:before="120" w:after="0"/>
        <w:jc w:val="both"/>
        <w:rPr>
          <w:rFonts w:ascii="arial" w:hAnsi="arial"/>
          <w:color w:val="3E3935"/>
          <w:sz w:val="18"/>
        </w:rPr>
      </w:pPr>
      <w:r>
        <w:rPr>
          <w:rFonts w:ascii="arial" w:hAnsi="arial"/>
          <w:color w:val="3E3935"/>
          <w:sz w:val="18"/>
        </w:rPr>
        <w:t xml:space="preserve">Shareholders can access the additional sustainability and governance resources listed below at </w:t>
      </w:r>
      <w:r>
        <w:rPr>
          <w:rFonts w:ascii="arial" w:hAnsi="arial"/>
          <w:i/>
          <w:color w:val="0071CE"/>
          <w:sz w:val="18"/>
        </w:rPr>
        <w:t>investor.gm.com/governanceandsustainability</w:t>
      </w:r>
      <w:r>
        <w:rPr>
          <w:rFonts w:ascii="arial" w:hAnsi="arial"/>
          <w:color w:val="3E3935"/>
          <w:sz w:val="18"/>
        </w:rPr>
        <w:t xml:space="preserve">.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4250"/>
        <w:gridCol w:w="120"/>
        <w:gridCol w:w="4805"/>
      </w:tblGrid>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4250"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 xml:space="preserve">Charters and Governance Documents: </w:t>
            </w:r>
          </w:p>
        </w:tc>
        <w:tc>
          <w:tcPr>
            <w:tcW w:w="120" w:type="dxa"/>
            <w:tcBorders/>
            <w:shd w:fill="CCF2F8" w:val="clear"/>
            <w:vAlign w:val="center"/>
          </w:tcPr>
          <w:p>
            <w:pPr>
              <w:pStyle w:val="TableContents"/>
              <w:bidi w:val="0"/>
              <w:spacing w:before="0" w:after="283"/>
              <w:jc w:val="left"/>
              <w:rPr/>
            </w:pPr>
            <w:r>
              <w:rPr/>
              <w:t>  </w:t>
            </w:r>
          </w:p>
        </w:tc>
        <w:tc>
          <w:tcPr>
            <w:tcW w:w="4805" w:type="dxa"/>
            <w:tcBorders/>
            <w:shd w:fill="CCF2F8" w:val="clear"/>
            <w:vAlign w:val="center"/>
          </w:tcPr>
          <w:p>
            <w:pPr>
              <w:pStyle w:val="TableContents"/>
              <w:bidi w:val="0"/>
              <w:spacing w:before="0" w:after="283"/>
              <w:jc w:val="left"/>
              <w:rPr>
                <w:b/>
                <w:color w:val="0071CE"/>
              </w:rPr>
            </w:pPr>
            <w:r>
              <w:rPr>
                <w:b/>
                <w:color w:val="0071CE"/>
              </w:rPr>
              <w:t xml:space="preserve">Political Disclosures: </w:t>
            </w:r>
          </w:p>
        </w:tc>
      </w:tr>
      <w:tr>
        <w:trPr/>
        <w:tc>
          <w:tcPr>
            <w:tcW w:w="4250" w:type="dxa"/>
            <w:tcBorders/>
            <w:shd w:fill="CCF2F8" w:val="clear"/>
            <w:vAlign w:val="center"/>
          </w:tcPr>
          <w:p>
            <w:pPr>
              <w:pStyle w:val="TableContents"/>
              <w:bidi w:val="0"/>
              <w:spacing w:before="0" w:after="283"/>
              <w:jc w:val="left"/>
              <w:rPr>
                <w:sz w:val="4"/>
                <w:szCs w:val="4"/>
              </w:rPr>
            </w:pPr>
            <w:r>
              <w:rPr>
                <w:sz w:val="4"/>
                <w:szCs w:val="4"/>
              </w:rPr>
            </w:r>
          </w:p>
        </w:tc>
        <w:tc>
          <w:tcPr>
            <w:tcW w:w="4925"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4250" w:type="dxa"/>
            <w:tcBorders/>
            <w:shd w:fill="CCF2F8" w:val="clear"/>
            <w:vAlign w:val="center"/>
          </w:tcPr>
          <w:p>
            <w:pPr>
              <w:pStyle w:val="TableContents"/>
              <w:bidi w:val="0"/>
              <w:spacing w:before="0" w:after="0"/>
              <w:jc w:val="left"/>
              <w:rPr>
                <w:color w:val="3E3935"/>
              </w:rPr>
            </w:pPr>
            <w:r>
              <w:rPr>
                <w:color w:val="3E3935"/>
              </w:rPr>
              <w:t> </w:t>
            </w:r>
            <w:r>
              <w:rPr>
                <w:rFonts w:ascii="arial" w:hAnsi="arial"/>
                <w:i/>
                <w:color w:val="3E3935"/>
                <w:sz w:val="17"/>
              </w:rPr>
              <w:t>Board Committee Charters</w:t>
            </w:r>
          </w:p>
        </w:tc>
        <w:tc>
          <w:tcPr>
            <w:tcW w:w="120" w:type="dxa"/>
            <w:tcBorders/>
            <w:shd w:fill="CCF2F8" w:val="clear"/>
            <w:vAlign w:val="center"/>
          </w:tcPr>
          <w:p>
            <w:pPr>
              <w:pStyle w:val="TableContents"/>
              <w:bidi w:val="0"/>
              <w:spacing w:before="0" w:after="283"/>
              <w:jc w:val="left"/>
              <w:rPr/>
            </w:pPr>
            <w:r>
              <w:rPr/>
              <w:t>  </w:t>
            </w:r>
          </w:p>
        </w:tc>
        <w:tc>
          <w:tcPr>
            <w:tcW w:w="4805" w:type="dxa"/>
            <w:tcBorders/>
            <w:shd w:fill="CCF2F8" w:val="clear"/>
            <w:vAlign w:val="center"/>
          </w:tcPr>
          <w:p>
            <w:pPr>
              <w:pStyle w:val="TableContents"/>
              <w:bidi w:val="0"/>
              <w:spacing w:before="0" w:after="283"/>
              <w:jc w:val="left"/>
              <w:rPr>
                <w:color w:val="3E3935"/>
              </w:rPr>
            </w:pPr>
            <w:r>
              <w:rPr>
                <w:color w:val="3E3935"/>
              </w:rPr>
              <w:t> </w:t>
            </w:r>
            <w:r>
              <w:rPr>
                <w:i/>
                <w:color w:val="3E3935"/>
              </w:rPr>
              <w:t>2023 Sustainability Advocacy Report</w:t>
            </w:r>
          </w:p>
        </w:tc>
      </w:tr>
      <w:tr>
        <w:trPr/>
        <w:tc>
          <w:tcPr>
            <w:tcW w:w="4250" w:type="dxa"/>
            <w:tcBorders/>
            <w:shd w:fill="CCF2F8" w:val="clear"/>
            <w:vAlign w:val="center"/>
          </w:tcPr>
          <w:p>
            <w:pPr>
              <w:pStyle w:val="TableContents"/>
              <w:bidi w:val="0"/>
              <w:spacing w:before="0" w:after="283"/>
              <w:jc w:val="left"/>
              <w:rPr>
                <w:sz w:val="4"/>
                <w:szCs w:val="4"/>
              </w:rPr>
            </w:pPr>
            <w:r>
              <w:rPr>
                <w:sz w:val="4"/>
                <w:szCs w:val="4"/>
              </w:rPr>
            </w:r>
          </w:p>
        </w:tc>
        <w:tc>
          <w:tcPr>
            <w:tcW w:w="4925"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4250" w:type="dxa"/>
            <w:tcBorders/>
            <w:shd w:fill="CCF2F8" w:val="clear"/>
            <w:vAlign w:val="center"/>
          </w:tcPr>
          <w:p>
            <w:pPr>
              <w:pStyle w:val="TableContents"/>
              <w:bidi w:val="0"/>
              <w:spacing w:before="0" w:after="0"/>
              <w:jc w:val="left"/>
              <w:rPr>
                <w:color w:val="3E3935"/>
              </w:rPr>
            </w:pPr>
            <w:r>
              <w:rPr>
                <w:color w:val="3E3935"/>
              </w:rPr>
              <w:t> </w:t>
            </w:r>
            <w:r>
              <w:rPr>
                <w:rFonts w:ascii="arial" w:hAnsi="arial"/>
                <w:i/>
                <w:color w:val="3E3935"/>
                <w:sz w:val="17"/>
              </w:rPr>
              <w:t>Bylaws and Certificate of Incorporation</w:t>
            </w:r>
          </w:p>
        </w:tc>
        <w:tc>
          <w:tcPr>
            <w:tcW w:w="120" w:type="dxa"/>
            <w:vMerge w:val="restart"/>
            <w:tcBorders/>
            <w:shd w:fill="CCF2F8" w:val="clear"/>
            <w:vAlign w:val="center"/>
          </w:tcPr>
          <w:p>
            <w:pPr>
              <w:pStyle w:val="TableContents"/>
              <w:bidi w:val="0"/>
              <w:spacing w:before="0" w:after="283"/>
              <w:jc w:val="left"/>
              <w:rPr/>
            </w:pPr>
            <w:r>
              <w:rPr/>
              <w:t>  </w:t>
            </w:r>
          </w:p>
        </w:tc>
        <w:tc>
          <w:tcPr>
            <w:tcW w:w="4805" w:type="dxa"/>
            <w:vMerge w:val="restart"/>
            <w:tcBorders/>
            <w:shd w:fill="CCF2F8" w:val="clear"/>
            <w:vAlign w:val="center"/>
          </w:tcPr>
          <w:p>
            <w:pPr>
              <w:pStyle w:val="TableContents"/>
              <w:bidi w:val="0"/>
              <w:spacing w:before="0" w:after="0"/>
              <w:jc w:val="left"/>
              <w:rPr>
                <w:color w:val="3E3935"/>
              </w:rPr>
            </w:pPr>
            <w:r>
              <w:rPr>
                <w:color w:val="3E3935"/>
              </w:rPr>
              <w:t> </w:t>
            </w:r>
            <w:r>
              <w:rPr>
                <w:rFonts w:ascii="arial" w:hAnsi="arial"/>
                <w:i/>
                <w:color w:val="3E3935"/>
                <w:sz w:val="17"/>
              </w:rPr>
              <w:t>U.S. Political Engagement Overview, Priorities, and Trade</w:t>
            </w:r>
          </w:p>
          <w:p>
            <w:pPr>
              <w:pStyle w:val="TableContents"/>
              <w:bidi w:val="0"/>
              <w:spacing w:before="0" w:after="20"/>
              <w:jc w:val="left"/>
              <w:rPr>
                <w:color w:val="3E3935"/>
              </w:rPr>
            </w:pPr>
            <w:r>
              <w:rPr>
                <w:color w:val="3E3935"/>
              </w:rPr>
              <w:t>   </w:t>
            </w:r>
            <w:r>
              <w:rPr>
                <w:rFonts w:ascii="arial" w:hAnsi="arial"/>
                <w:i/>
                <w:color w:val="3E3935"/>
                <w:sz w:val="17"/>
              </w:rPr>
              <w:t>Association Disclosures</w:t>
            </w:r>
          </w:p>
        </w:tc>
      </w:tr>
      <w:tr>
        <w:trPr/>
        <w:tc>
          <w:tcPr>
            <w:tcW w:w="4250" w:type="dxa"/>
            <w:tcBorders/>
            <w:shd w:fill="CCF2F8" w:val="clear"/>
            <w:vAlign w:val="center"/>
          </w:tcPr>
          <w:p>
            <w:pPr>
              <w:pStyle w:val="TableContents"/>
              <w:bidi w:val="0"/>
              <w:spacing w:before="0" w:after="0"/>
              <w:jc w:val="left"/>
              <w:rPr>
                <w:color w:val="3E3935"/>
              </w:rPr>
            </w:pPr>
            <w:r>
              <w:rPr>
                <w:color w:val="3E3935"/>
              </w:rPr>
              <w:t> </w:t>
            </w:r>
            <w:r>
              <w:rPr>
                <w:rFonts w:ascii="arial" w:hAnsi="arial"/>
                <w:i/>
                <w:color w:val="3E3935"/>
                <w:sz w:val="17"/>
              </w:rPr>
              <w:t>Corporate Governance Guidelines</w:t>
            </w:r>
          </w:p>
        </w:tc>
        <w:tc>
          <w:tcPr>
            <w:tcW w:w="120" w:type="dxa"/>
            <w:vMerge w:val="continue"/>
            <w:tcBorders/>
            <w:shd w:fill="CCF2F8" w:val="clear"/>
            <w:vAlign w:val="center"/>
          </w:tcPr>
          <w:p>
            <w:pPr>
              <w:pStyle w:val="Normal"/>
              <w:bidi w:val="0"/>
              <w:jc w:val="left"/>
              <w:rPr/>
            </w:pPr>
            <w:r>
              <w:rPr/>
            </w:r>
          </w:p>
        </w:tc>
        <w:tc>
          <w:tcPr>
            <w:tcW w:w="4805" w:type="dxa"/>
            <w:vMerge w:val="continue"/>
            <w:tcBorders/>
            <w:shd w:fill="CCF2F8" w:val="clear"/>
            <w:vAlign w:val="center"/>
          </w:tcPr>
          <w:p>
            <w:pPr>
              <w:pStyle w:val="Normal"/>
              <w:bidi w:val="0"/>
              <w:jc w:val="left"/>
              <w:rPr/>
            </w:pPr>
            <w:r>
              <w:rPr/>
            </w:r>
          </w:p>
        </w:tc>
      </w:tr>
      <w:tr>
        <w:trPr/>
        <w:tc>
          <w:tcPr>
            <w:tcW w:w="4250" w:type="dxa"/>
            <w:tcBorders/>
            <w:shd w:fill="CCF2F8" w:val="clear"/>
            <w:vAlign w:val="center"/>
          </w:tcPr>
          <w:p>
            <w:pPr>
              <w:pStyle w:val="TableContents"/>
              <w:bidi w:val="0"/>
              <w:spacing w:before="0" w:after="283"/>
              <w:jc w:val="left"/>
              <w:rPr>
                <w:sz w:val="4"/>
                <w:szCs w:val="4"/>
              </w:rPr>
            </w:pPr>
            <w:r>
              <w:rPr>
                <w:sz w:val="4"/>
                <w:szCs w:val="4"/>
              </w:rPr>
            </w:r>
          </w:p>
        </w:tc>
        <w:tc>
          <w:tcPr>
            <w:tcW w:w="4925"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425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4805" w:type="dxa"/>
            <w:tcBorders/>
            <w:shd w:fill="CCF2F8" w:val="clear"/>
            <w:vAlign w:val="center"/>
          </w:tcPr>
          <w:p>
            <w:pPr>
              <w:pStyle w:val="TableContents"/>
              <w:bidi w:val="0"/>
              <w:spacing w:before="0" w:after="283"/>
              <w:jc w:val="left"/>
              <w:rPr>
                <w:color w:val="3E3935"/>
              </w:rPr>
            </w:pPr>
            <w:r>
              <w:rPr>
                <w:color w:val="3E3935"/>
              </w:rPr>
              <w:t> </w:t>
            </w:r>
            <w:r>
              <w:rPr>
                <w:i/>
                <w:color w:val="3E3935"/>
              </w:rPr>
              <w:t>Voluntary Report of 2021 Political Contributions</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 xml:space="preserve">Compliance Documents: </w:t>
            </w:r>
          </w:p>
        </w:tc>
        <w:tc>
          <w:tcPr>
            <w:tcW w:w="12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b/>
                <w:color w:val="0071CE"/>
              </w:rPr>
            </w:pPr>
            <w:r>
              <w:rPr>
                <w:b/>
                <w:color w:val="0071CE"/>
              </w:rPr>
              <w:t xml:space="preserve">Sustainability: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0"/>
              <w:jc w:val="left"/>
              <w:rPr>
                <w:color w:val="3E3935"/>
              </w:rPr>
            </w:pPr>
            <w:r>
              <w:rPr>
                <w:color w:val="3E3935"/>
              </w:rPr>
              <w:t> </w:t>
            </w:r>
            <w:r>
              <w:rPr>
                <w:rFonts w:ascii="arial" w:hAnsi="arial"/>
                <w:i/>
                <w:color w:val="3E3935"/>
                <w:sz w:val="17"/>
              </w:rPr>
              <w:t>Company Policy on Corporate Political Contributions and</w:t>
            </w:r>
          </w:p>
          <w:p>
            <w:pPr>
              <w:pStyle w:val="TableContents"/>
              <w:bidi w:val="0"/>
              <w:spacing w:before="0" w:after="20"/>
              <w:jc w:val="left"/>
              <w:rPr>
                <w:color w:val="3E3935"/>
              </w:rPr>
            </w:pPr>
            <w:r>
              <w:rPr>
                <w:color w:val="3E3935"/>
              </w:rPr>
              <w:t>   </w:t>
            </w:r>
            <w:r>
              <w:rPr>
                <w:rFonts w:ascii="arial" w:hAnsi="arial"/>
                <w:i/>
                <w:color w:val="3E3935"/>
                <w:sz w:val="17"/>
              </w:rPr>
              <w:t>Expenditures</w:t>
            </w:r>
          </w:p>
        </w:tc>
        <w:tc>
          <w:tcPr>
            <w:tcW w:w="120" w:type="dxa"/>
            <w:vMerge w:val="restart"/>
            <w:tcBorders/>
            <w:vAlign w:val="center"/>
          </w:tcPr>
          <w:p>
            <w:pPr>
              <w:pStyle w:val="TableContents"/>
              <w:bidi w:val="0"/>
              <w:spacing w:before="0" w:after="283"/>
              <w:jc w:val="left"/>
              <w:rPr/>
            </w:pPr>
            <w:r>
              <w:rPr/>
              <w:t>  </w:t>
            </w:r>
          </w:p>
        </w:tc>
        <w:tc>
          <w:tcPr>
            <w:tcW w:w="4805" w:type="dxa"/>
            <w:vMerge w:val="restart"/>
            <w:tcBorders/>
            <w:vAlign w:val="center"/>
          </w:tcPr>
          <w:p>
            <w:pPr>
              <w:pStyle w:val="TableContents"/>
              <w:bidi w:val="0"/>
              <w:spacing w:before="0" w:after="0"/>
              <w:jc w:val="left"/>
              <w:rPr>
                <w:color w:val="3E3935"/>
              </w:rPr>
            </w:pPr>
            <w:r>
              <w:rPr>
                <w:color w:val="3E3935"/>
              </w:rPr>
              <w:t> </w:t>
            </w:r>
            <w:r>
              <w:rPr>
                <w:rFonts w:ascii="arial" w:hAnsi="arial"/>
                <w:i/>
                <w:color w:val="3E3935"/>
                <w:sz w:val="17"/>
              </w:rPr>
              <w:t>Anti-Harassment Policy</w:t>
            </w:r>
          </w:p>
          <w:p>
            <w:pPr>
              <w:pStyle w:val="TableContents"/>
              <w:bidi w:val="0"/>
              <w:spacing w:before="0" w:after="0"/>
              <w:jc w:val="left"/>
              <w:rPr/>
            </w:pPr>
            <w:r>
              <w:rPr/>
              <w:t> </w:t>
            </w:r>
          </w:p>
          <w:p>
            <w:pPr>
              <w:pStyle w:val="TableContents"/>
              <w:bidi w:val="0"/>
              <w:spacing w:before="0" w:after="0"/>
              <w:jc w:val="left"/>
              <w:rPr>
                <w:color w:val="3E3935"/>
              </w:rPr>
            </w:pPr>
            <w:r>
              <w:rPr>
                <w:color w:val="3E3935"/>
              </w:rPr>
              <w:t> </w:t>
            </w:r>
            <w:r>
              <w:rPr>
                <w:rFonts w:ascii="arial" w:hAnsi="arial"/>
                <w:i/>
                <w:color w:val="3E3935"/>
                <w:sz w:val="17"/>
              </w:rPr>
              <w:t>Environmental Policy</w:t>
            </w:r>
          </w:p>
          <w:p>
            <w:pPr>
              <w:pStyle w:val="TableContents"/>
              <w:bidi w:val="0"/>
              <w:spacing w:before="0" w:after="0"/>
              <w:jc w:val="left"/>
              <w:rPr/>
            </w:pPr>
            <w:r>
              <w:rPr/>
              <w:t> </w:t>
            </w:r>
          </w:p>
          <w:p>
            <w:pPr>
              <w:pStyle w:val="TableContents"/>
              <w:bidi w:val="0"/>
              <w:spacing w:before="0" w:after="0"/>
              <w:jc w:val="left"/>
              <w:rPr>
                <w:color w:val="3E3935"/>
              </w:rPr>
            </w:pPr>
            <w:r>
              <w:rPr>
                <w:color w:val="3E3935"/>
              </w:rPr>
              <w:t> </w:t>
            </w:r>
            <w:r>
              <w:rPr>
                <w:rFonts w:ascii="arial" w:hAnsi="arial"/>
                <w:i/>
                <w:color w:val="3E3935"/>
                <w:sz w:val="17"/>
              </w:rPr>
              <w:t>Human Rights Policy</w:t>
            </w:r>
          </w:p>
          <w:p>
            <w:pPr>
              <w:pStyle w:val="TableContents"/>
              <w:bidi w:val="0"/>
              <w:spacing w:before="0" w:after="0"/>
              <w:jc w:val="left"/>
              <w:rPr/>
            </w:pPr>
            <w:r>
              <w:rPr/>
              <w:t> </w:t>
            </w:r>
          </w:p>
          <w:p>
            <w:pPr>
              <w:pStyle w:val="TableContents"/>
              <w:bidi w:val="0"/>
              <w:spacing w:before="0" w:after="0"/>
              <w:jc w:val="left"/>
              <w:rPr>
                <w:color w:val="3E3935"/>
              </w:rPr>
            </w:pPr>
            <w:r>
              <w:rPr>
                <w:color w:val="3E3935"/>
              </w:rPr>
              <w:t> </w:t>
            </w:r>
            <w:r>
              <w:rPr>
                <w:rFonts w:ascii="arial" w:hAnsi="arial"/>
                <w:i/>
                <w:color w:val="3E3935"/>
                <w:sz w:val="17"/>
              </w:rPr>
              <w:t>Responsible Minerals Sourcing Policy</w:t>
            </w:r>
          </w:p>
          <w:p>
            <w:pPr>
              <w:pStyle w:val="TableContents"/>
              <w:bidi w:val="0"/>
              <w:spacing w:before="0" w:after="0"/>
              <w:jc w:val="left"/>
              <w:rPr/>
            </w:pPr>
            <w:r>
              <w:rPr/>
              <w:t> </w:t>
            </w:r>
          </w:p>
          <w:p>
            <w:pPr>
              <w:pStyle w:val="TableContents"/>
              <w:bidi w:val="0"/>
              <w:spacing w:before="0" w:after="0"/>
              <w:jc w:val="left"/>
              <w:rPr>
                <w:color w:val="3E3935"/>
              </w:rPr>
            </w:pPr>
            <w:r>
              <w:rPr>
                <w:color w:val="3E3935"/>
              </w:rPr>
              <w:t> </w:t>
            </w:r>
            <w:r>
              <w:rPr>
                <w:rFonts w:ascii="arial" w:hAnsi="arial"/>
                <w:i/>
                <w:color w:val="3E3935"/>
                <w:sz w:val="17"/>
              </w:rPr>
              <w:t>Supplier Code of Conduct</w:t>
            </w:r>
          </w:p>
          <w:p>
            <w:pPr>
              <w:pStyle w:val="TableContents"/>
              <w:bidi w:val="0"/>
              <w:spacing w:before="0" w:after="0"/>
              <w:jc w:val="left"/>
              <w:rPr/>
            </w:pPr>
            <w:r>
              <w:rPr/>
              <w:t> </w:t>
            </w:r>
          </w:p>
          <w:p>
            <w:pPr>
              <w:pStyle w:val="TableContents"/>
              <w:bidi w:val="0"/>
              <w:spacing w:before="0" w:after="0"/>
              <w:jc w:val="left"/>
              <w:rPr>
                <w:color w:val="3E3935"/>
              </w:rPr>
            </w:pPr>
            <w:r>
              <w:rPr>
                <w:color w:val="3E3935"/>
              </w:rPr>
              <w:t> </w:t>
            </w:r>
            <w:r>
              <w:rPr>
                <w:rFonts w:ascii="arial" w:hAnsi="arial"/>
                <w:i/>
                <w:color w:val="3E3935"/>
                <w:sz w:val="17"/>
              </w:rPr>
              <w:t>Sustainability Framework</w:t>
            </w:r>
          </w:p>
          <w:p>
            <w:pPr>
              <w:pStyle w:val="TableContents"/>
              <w:bidi w:val="0"/>
              <w:spacing w:before="0" w:after="0"/>
              <w:jc w:val="left"/>
              <w:rPr/>
            </w:pPr>
            <w:r>
              <w:rPr/>
              <w:t> </w:t>
            </w:r>
          </w:p>
          <w:p>
            <w:pPr>
              <w:pStyle w:val="TableContents"/>
              <w:bidi w:val="0"/>
              <w:spacing w:before="0" w:after="20"/>
              <w:jc w:val="left"/>
              <w:rPr>
                <w:color w:val="3E3935"/>
              </w:rPr>
            </w:pPr>
            <w:r>
              <w:rPr>
                <w:color w:val="3E3935"/>
              </w:rPr>
              <w:t> </w:t>
            </w:r>
            <w:r>
              <w:rPr>
                <w:rFonts w:ascii="arial" w:hAnsi="arial"/>
                <w:i/>
                <w:color w:val="3E3935"/>
                <w:sz w:val="17"/>
              </w:rPr>
              <w:t>Sustainability Report</w:t>
            </w:r>
          </w:p>
        </w:tc>
      </w:tr>
      <w:tr>
        <w:trPr/>
        <w:tc>
          <w:tcPr>
            <w:tcW w:w="4250" w:type="dxa"/>
            <w:tcBorders/>
            <w:vAlign w:val="center"/>
          </w:tcPr>
          <w:p>
            <w:pPr>
              <w:pStyle w:val="TableContents"/>
              <w:bidi w:val="0"/>
              <w:spacing w:before="0" w:after="0"/>
              <w:jc w:val="left"/>
              <w:rPr>
                <w:color w:val="3E3935"/>
              </w:rPr>
            </w:pPr>
            <w:r>
              <w:rPr>
                <w:color w:val="3E3935"/>
              </w:rPr>
              <w:t> </w:t>
            </w:r>
            <w:r>
              <w:rPr>
                <w:rFonts w:ascii="arial" w:hAnsi="arial"/>
                <w:i/>
                <w:color w:val="3E3935"/>
                <w:sz w:val="17"/>
              </w:rPr>
              <w:t>Global Integrity Policy</w:t>
            </w:r>
          </w:p>
        </w:tc>
        <w:tc>
          <w:tcPr>
            <w:tcW w:w="120" w:type="dxa"/>
            <w:vMerge w:val="continue"/>
            <w:tcBorders/>
            <w:vAlign w:val="center"/>
          </w:tcPr>
          <w:p>
            <w:pPr>
              <w:pStyle w:val="Normal"/>
              <w:bidi w:val="0"/>
              <w:jc w:val="left"/>
              <w:rPr/>
            </w:pPr>
            <w:r>
              <w:rPr/>
            </w:r>
          </w:p>
        </w:tc>
        <w:tc>
          <w:tcPr>
            <w:tcW w:w="4805" w:type="dxa"/>
            <w:vMerge w:val="continue"/>
            <w:tcBorders/>
            <w:vAlign w:val="center"/>
          </w:tcPr>
          <w:p>
            <w:pPr>
              <w:pStyle w:val="Normal"/>
              <w:bidi w:val="0"/>
              <w:jc w:val="left"/>
              <w:rPr/>
            </w:pPr>
            <w:r>
              <w:rPr/>
            </w:r>
          </w:p>
        </w:tc>
      </w:tr>
      <w:tr>
        <w:trPr/>
        <w:tc>
          <w:tcPr>
            <w:tcW w:w="4250" w:type="dxa"/>
            <w:tcBorders/>
            <w:vAlign w:val="center"/>
          </w:tcPr>
          <w:p>
            <w:pPr>
              <w:pStyle w:val="TableContents"/>
              <w:bidi w:val="0"/>
              <w:spacing w:before="0" w:after="0"/>
              <w:jc w:val="left"/>
              <w:rPr>
                <w:color w:val="3E3935"/>
              </w:rPr>
            </w:pPr>
            <w:r>
              <w:rPr>
                <w:color w:val="3E3935"/>
              </w:rPr>
              <w:t> </w:t>
            </w:r>
            <w:r>
              <w:rPr>
                <w:rFonts w:ascii="arial" w:hAnsi="arial"/>
                <w:i/>
                <w:color w:val="3E3935"/>
                <w:sz w:val="17"/>
              </w:rPr>
              <w:t>GM’s Code of Conduct: “Winning with Integrity”</w:t>
            </w:r>
          </w:p>
        </w:tc>
        <w:tc>
          <w:tcPr>
            <w:tcW w:w="120" w:type="dxa"/>
            <w:vMerge w:val="continue"/>
            <w:tcBorders/>
            <w:vAlign w:val="center"/>
          </w:tcPr>
          <w:p>
            <w:pPr>
              <w:pStyle w:val="Normal"/>
              <w:bidi w:val="0"/>
              <w:jc w:val="left"/>
              <w:rPr/>
            </w:pPr>
            <w:r>
              <w:rPr/>
            </w:r>
          </w:p>
        </w:tc>
        <w:tc>
          <w:tcPr>
            <w:tcW w:w="4805" w:type="dxa"/>
            <w:vMerge w:val="continue"/>
            <w:tcBorders/>
            <w:vAlign w:val="center"/>
          </w:tcPr>
          <w:p>
            <w:pPr>
              <w:pStyle w:val="Normal"/>
              <w:bidi w:val="0"/>
              <w:jc w:val="left"/>
              <w:rPr/>
            </w:pPr>
            <w:r>
              <w:rPr/>
            </w:r>
          </w:p>
        </w:tc>
      </w:tr>
      <w:tr>
        <w:trPr/>
        <w:tc>
          <w:tcPr>
            <w:tcW w:w="4250" w:type="dxa"/>
            <w:tcBorders/>
            <w:vAlign w:val="center"/>
          </w:tcPr>
          <w:p>
            <w:pPr>
              <w:pStyle w:val="TableContents"/>
              <w:bidi w:val="0"/>
              <w:spacing w:before="0" w:after="0"/>
              <w:jc w:val="left"/>
              <w:rPr>
                <w:color w:val="3E3935"/>
              </w:rPr>
            </w:pPr>
            <w:r>
              <w:rPr>
                <w:color w:val="3E3935"/>
              </w:rPr>
              <w:t> </w:t>
            </w:r>
            <w:r>
              <w:rPr>
                <w:rFonts w:ascii="arial" w:hAnsi="arial"/>
                <w:i/>
                <w:color w:val="3E3935"/>
                <w:sz w:val="17"/>
              </w:rPr>
              <w:t>Insider Trading Policy</w:t>
            </w:r>
          </w:p>
        </w:tc>
        <w:tc>
          <w:tcPr>
            <w:tcW w:w="120" w:type="dxa"/>
            <w:vMerge w:val="continue"/>
            <w:tcBorders/>
            <w:vAlign w:val="center"/>
          </w:tcPr>
          <w:p>
            <w:pPr>
              <w:pStyle w:val="Normal"/>
              <w:bidi w:val="0"/>
              <w:jc w:val="left"/>
              <w:rPr/>
            </w:pPr>
            <w:r>
              <w:rPr/>
            </w:r>
          </w:p>
        </w:tc>
        <w:tc>
          <w:tcPr>
            <w:tcW w:w="4805" w:type="dxa"/>
            <w:vMerge w:val="continue"/>
            <w:tcBorders/>
            <w:vAlign w:val="center"/>
          </w:tcPr>
          <w:p>
            <w:pPr>
              <w:pStyle w:val="Normal"/>
              <w:bidi w:val="0"/>
              <w:jc w:val="left"/>
              <w:rPr/>
            </w:pPr>
            <w:r>
              <w:rPr/>
            </w:r>
          </w:p>
        </w:tc>
      </w:tr>
      <w:tr>
        <w:trPr/>
        <w:tc>
          <w:tcPr>
            <w:tcW w:w="4250" w:type="dxa"/>
            <w:tcBorders/>
            <w:vAlign w:val="center"/>
          </w:tcPr>
          <w:p>
            <w:pPr>
              <w:pStyle w:val="TableContents"/>
              <w:bidi w:val="0"/>
              <w:spacing w:before="0" w:after="0"/>
              <w:jc w:val="left"/>
              <w:rPr>
                <w:color w:val="3E3935"/>
              </w:rPr>
            </w:pPr>
            <w:r>
              <w:rPr>
                <w:color w:val="3E3935"/>
              </w:rPr>
              <w:t> </w:t>
            </w:r>
            <w:r>
              <w:rPr>
                <w:rFonts w:ascii="arial" w:hAnsi="arial"/>
                <w:i/>
                <w:color w:val="3E3935"/>
                <w:sz w:val="17"/>
              </w:rPr>
              <w:t>Policy on Recoupment of Incentive Compensation</w:t>
            </w:r>
          </w:p>
        </w:tc>
        <w:tc>
          <w:tcPr>
            <w:tcW w:w="120" w:type="dxa"/>
            <w:vMerge w:val="continue"/>
            <w:tcBorders/>
            <w:vAlign w:val="center"/>
          </w:tcPr>
          <w:p>
            <w:pPr>
              <w:pStyle w:val="Normal"/>
              <w:bidi w:val="0"/>
              <w:jc w:val="left"/>
              <w:rPr/>
            </w:pPr>
            <w:r>
              <w:rPr/>
            </w:r>
          </w:p>
        </w:tc>
        <w:tc>
          <w:tcPr>
            <w:tcW w:w="4805" w:type="dxa"/>
            <w:vMerge w:val="continue"/>
            <w:tcBorders/>
            <w:vAlign w:val="center"/>
          </w:tcPr>
          <w:p>
            <w:pPr>
              <w:pStyle w:val="Normal"/>
              <w:bidi w:val="0"/>
              <w:jc w:val="left"/>
              <w:rPr/>
            </w:pPr>
            <w:r>
              <w:rPr/>
            </w:r>
          </w:p>
        </w:tc>
      </w:tr>
      <w:tr>
        <w:trPr/>
        <w:tc>
          <w:tcPr>
            <w:tcW w:w="4250" w:type="dxa"/>
            <w:tcBorders/>
            <w:vAlign w:val="center"/>
          </w:tcPr>
          <w:p>
            <w:pPr>
              <w:pStyle w:val="TableContents"/>
              <w:bidi w:val="0"/>
              <w:spacing w:before="0" w:after="0"/>
              <w:jc w:val="left"/>
              <w:rPr>
                <w:color w:val="3E3935"/>
              </w:rPr>
            </w:pPr>
            <w:r>
              <w:rPr>
                <w:color w:val="3E3935"/>
              </w:rPr>
              <w:t> </w:t>
            </w:r>
            <w:r>
              <w:rPr>
                <w:rFonts w:ascii="arial" w:hAnsi="arial"/>
                <w:i/>
                <w:color w:val="3E3935"/>
                <w:sz w:val="17"/>
              </w:rPr>
              <w:t>Related Party Transactions Policy</w:t>
            </w:r>
          </w:p>
        </w:tc>
        <w:tc>
          <w:tcPr>
            <w:tcW w:w="120" w:type="dxa"/>
            <w:vMerge w:val="continue"/>
            <w:tcBorders/>
            <w:vAlign w:val="center"/>
          </w:tcPr>
          <w:p>
            <w:pPr>
              <w:pStyle w:val="Normal"/>
              <w:bidi w:val="0"/>
              <w:jc w:val="left"/>
              <w:rPr/>
            </w:pPr>
            <w:r>
              <w:rPr/>
            </w:r>
          </w:p>
        </w:tc>
        <w:tc>
          <w:tcPr>
            <w:tcW w:w="4805" w:type="dxa"/>
            <w:vMerge w:val="continue"/>
            <w:tcBorders/>
            <w:vAlign w:val="center"/>
          </w:tcPr>
          <w:p>
            <w:pPr>
              <w:pStyle w:val="Normal"/>
              <w:bidi w:val="0"/>
              <w:jc w:val="left"/>
              <w:rPr/>
            </w:pPr>
            <w:r>
              <w:rPr/>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For more information regarding GM’s environmental and social initiatives, please see our other voluntary sustainability disclosures, available at</w:t>
            </w:r>
            <w:r>
              <w:rPr>
                <w:rFonts w:ascii="arial" w:hAnsi="arial"/>
                <w:color w:val="0071CE"/>
                <w:sz w:val="18"/>
              </w:rPr>
              <w:t xml:space="preserve"> </w:t>
            </w:r>
            <w:r>
              <w:rPr>
                <w:rFonts w:ascii="arial" w:hAnsi="arial"/>
                <w:i/>
                <w:color w:val="0071CE"/>
                <w:sz w:val="18"/>
              </w:rPr>
              <w:t>investor.gm.com/governanceandsustainability</w:t>
            </w:r>
            <w:r>
              <w:rPr>
                <w:rFonts w:ascii="arial" w:hAnsi="arial"/>
                <w:color w:val="3E3935"/>
                <w:sz w:val="18"/>
              </w:rPr>
              <w:t>.</w:t>
            </w:r>
          </w:p>
          <w:p>
            <w:pPr>
              <w:pStyle w:val="TableContents"/>
              <w:bidi w:val="0"/>
              <w:spacing w:before="0" w:after="20"/>
              <w:jc w:val="left"/>
              <w:rPr/>
            </w:pPr>
            <w:r>
              <w:rPr/>
              <w:t> </w:t>
            </w:r>
          </w:p>
        </w:tc>
      </w:tr>
    </w:tbl>
    <w:p>
      <w:pPr>
        <w:pStyle w:val="TextBody"/>
        <w:bidi w:val="0"/>
        <w:spacing w:before="0" w:after="0"/>
        <w:jc w:val="left"/>
        <w:rPr/>
      </w:pPr>
      <w:r>
        <w:rPr/>
        <w:t> </w:t>
      </w:r>
    </w:p>
    <w:tbl>
      <w:tblPr>
        <w:tblW w:w="2963" w:type="dxa"/>
        <w:jc w:val="left"/>
        <w:tblInd w:w="0" w:type="dxa"/>
        <w:tblLayout w:type="fixed"/>
        <w:tblCellMar>
          <w:top w:w="0" w:type="dxa"/>
          <w:left w:w="0" w:type="dxa"/>
          <w:bottom w:w="0" w:type="dxa"/>
          <w:right w:w="0" w:type="dxa"/>
        </w:tblCellMar>
      </w:tblPr>
      <w:tblGrid>
        <w:gridCol w:w="155"/>
        <w:gridCol w:w="60"/>
        <w:gridCol w:w="192"/>
        <w:gridCol w:w="60"/>
        <w:gridCol w:w="2255"/>
        <w:gridCol w:w="60"/>
        <w:gridCol w:w="23"/>
        <w:gridCol w:w="12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1CE"/>
              </w:rPr>
            </w:pPr>
            <w:r>
              <w:rPr>
                <w:b/>
                <w:color w:val="0071CE"/>
              </w:rPr>
              <w:t>8</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31"/>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color w:val="3E3935"/>
              </w:rPr>
            </w:pPr>
            <w:r>
              <w:rPr>
                <w:b/>
                <w:color w:val="3E3935"/>
              </w:rPr>
              <w:t>PROXY SUMMARY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32"/>
        </w:rPr>
      </w:pPr>
      <w:bookmarkStart w:id="4" w:name="toc648661_2"/>
      <w:bookmarkEnd w:id="4"/>
      <w:r>
        <w:rPr>
          <w:rFonts w:ascii="arial" w:hAnsi="arial"/>
          <w:b/>
          <w:color w:val="3E3935"/>
          <w:sz w:val="32"/>
        </w:rPr>
        <w:t xml:space="preserve">ITEM NO. 1: </w:t>
      </w:r>
    </w:p>
    <w:p>
      <w:pPr>
        <w:pStyle w:val="TextBody"/>
        <w:bidi w:val="0"/>
        <w:spacing w:before="0" w:after="0"/>
        <w:jc w:val="left"/>
        <w:rPr>
          <w:rFonts w:ascii="arial" w:hAnsi="arial"/>
          <w:color w:val="3E3935"/>
          <w:sz w:val="64"/>
        </w:rPr>
      </w:pPr>
      <w:r>
        <w:rPr>
          <w:rFonts w:ascii="arial" w:hAnsi="arial"/>
          <w:color w:val="3E3935"/>
          <w:sz w:val="64"/>
        </w:rPr>
        <w:t xml:space="preserve">Annual Election Of Directors </w:t>
      </w:r>
    </w:p>
    <w:p>
      <w:pPr>
        <w:pStyle w:val="TextBody"/>
        <w:bidi w:val="0"/>
        <w:spacing w:before="240" w:after="0"/>
        <w:jc w:val="both"/>
        <w:rPr>
          <w:rFonts w:ascii="arial" w:hAnsi="arial"/>
          <w:color w:val="3E3935"/>
          <w:sz w:val="18"/>
        </w:rPr>
      </w:pPr>
      <w:r>
        <w:rPr>
          <w:rFonts w:ascii="arial" w:hAnsi="arial"/>
          <w:color w:val="3E3935"/>
          <w:sz w:val="18"/>
        </w:rPr>
        <w:t xml:space="preserve">At the Annual Meeting, 12 directors will be nominated for election to GM’s Board of Directors. The Governance Committee evaluated the nominees in accordance with the Committee’s charter and our Corporate Governance Guidelines and submitted the nominees to the Board for approval. </w:t>
      </w:r>
    </w:p>
    <w:p>
      <w:pPr>
        <w:pStyle w:val="TextBody"/>
        <w:bidi w:val="0"/>
        <w:spacing w:before="120" w:after="0"/>
        <w:jc w:val="both"/>
        <w:rPr>
          <w:rFonts w:ascii="arial" w:hAnsi="arial"/>
          <w:color w:val="3E3935"/>
          <w:sz w:val="18"/>
        </w:rPr>
      </w:pPr>
      <w:r>
        <w:rPr>
          <w:rFonts w:ascii="arial" w:hAnsi="arial"/>
          <w:color w:val="3E3935"/>
          <w:sz w:val="18"/>
        </w:rPr>
        <w:t xml:space="preserve">The Board believes that the director nominees’ diverse backgrounds, attributes, and experiences provide valuable insights for the Board’s oversight of the Company. Eight of the 12 nominees, or 67 percent, bring gender, racial, or ethnic diversity to the Board, including four of the six committee chairs. </w:t>
      </w:r>
    </w:p>
    <w:p>
      <w:pPr>
        <w:pStyle w:val="TextBody"/>
        <w:bidi w:val="0"/>
        <w:spacing w:before="120" w:after="0"/>
        <w:jc w:val="both"/>
        <w:rPr>
          <w:rFonts w:ascii="arial" w:hAnsi="arial"/>
          <w:color w:val="3E3935"/>
          <w:sz w:val="18"/>
        </w:rPr>
      </w:pPr>
      <w:r>
        <w:rPr>
          <w:rFonts w:ascii="arial" w:hAnsi="arial"/>
          <w:color w:val="3E3935"/>
          <w:sz w:val="18"/>
        </w:rPr>
        <w:t xml:space="preserve">Of the 12 director nominees, all were previously elected at the 2023 annual meeting. Further information on the Board’s composition, as well as each nominee’s qualifications and relevant experience, are provided on the following pages. </w:t>
      </w:r>
    </w:p>
    <w:p>
      <w:pPr>
        <w:pStyle w:val="TextBody"/>
        <w:bidi w:val="0"/>
        <w:spacing w:before="120" w:after="0"/>
        <w:jc w:val="both"/>
        <w:rPr>
          <w:rFonts w:ascii="arial" w:hAnsi="arial"/>
          <w:color w:val="3E3935"/>
          <w:sz w:val="18"/>
        </w:rPr>
      </w:pPr>
      <w:r>
        <w:rPr>
          <w:rFonts w:ascii="arial" w:hAnsi="arial"/>
          <w:color w:val="3E3935"/>
          <w:sz w:val="18"/>
        </w:rPr>
        <w:t xml:space="preserve">If elected, the director nominees will serve on the Board until the next annual meeting of shareholders, or until their successors are duly elected and qualified, or until their earlier resignation or removal. If any nominee becomes unable to serve, proxies will be voted for the election of such other person as the Board may designate, unless the Board chooses to reduce the number of directors standing for election. Each of the nominees has consented to being named in this Proxy Statement and serving on the Board, if elected. </w:t>
      </w:r>
    </w:p>
    <w:p>
      <w:pPr>
        <w:pStyle w:val="TextBody"/>
        <w:bidi w:val="0"/>
        <w:spacing w:before="0" w:after="0"/>
        <w:jc w:val="left"/>
        <w:rPr/>
      </w:pPr>
      <w:r>
        <w:rPr/>
        <w:t> </w:t>
      </w:r>
    </w:p>
    <w:tbl>
      <w:tblPr>
        <w:tblW w:w="8825" w:type="dxa"/>
        <w:jc w:val="left"/>
        <w:tblInd w:w="0" w:type="dxa"/>
        <w:shd w:fill="CCF2F8" w:val="clear"/>
        <w:tblLayout w:type="fixed"/>
        <w:tblCellMar>
          <w:top w:w="0" w:type="dxa"/>
          <w:left w:w="0" w:type="dxa"/>
          <w:bottom w:w="0" w:type="dxa"/>
          <w:right w:w="0" w:type="dxa"/>
        </w:tblCellMar>
      </w:tblPr>
      <w:tblGrid>
        <w:gridCol w:w="660"/>
        <w:gridCol w:w="60"/>
        <w:gridCol w:w="8105"/>
      </w:tblGrid>
      <w:tr>
        <w:trPr/>
        <w:tc>
          <w:tcPr>
            <w:tcW w:w="6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105" w:type="dxa"/>
            <w:tcBorders/>
            <w:shd w:fill="CCF2F8" w:val="clear"/>
            <w:vAlign w:val="center"/>
          </w:tcPr>
          <w:p>
            <w:pPr>
              <w:pStyle w:val="TableContents"/>
              <w:bidi w:val="0"/>
              <w:spacing w:before="0" w:after="283"/>
              <w:jc w:val="left"/>
              <w:rPr>
                <w:sz w:val="4"/>
                <w:szCs w:val="4"/>
              </w:rPr>
            </w:pPr>
            <w:r>
              <w:rPr>
                <w:sz w:val="4"/>
                <w:szCs w:val="4"/>
              </w:rPr>
            </w:r>
          </w:p>
        </w:tc>
      </w:tr>
      <w:tr>
        <w:trPr/>
        <w:tc>
          <w:tcPr>
            <w:tcW w:w="660" w:type="dxa"/>
            <w:tcBorders/>
            <w:shd w:fill="CCF2F8" w:val="clear"/>
            <w:vAlign w:val="center"/>
          </w:tcPr>
          <w:p>
            <w:pPr>
              <w:pStyle w:val="TableContents"/>
              <w:bidi w:val="0"/>
              <w:spacing w:before="0" w:after="283"/>
              <w:jc w:val="left"/>
              <w:rPr>
                <w:sz w:val="4"/>
                <w:szCs w:val="4"/>
              </w:rPr>
            </w:pPr>
            <w:r>
              <w:rPr>
                <w:sz w:val="4"/>
                <w:szCs w:val="4"/>
              </w:rPr>
            </w:r>
          </w:p>
        </w:tc>
        <w:tc>
          <w:tcPr>
            <w:tcW w:w="8165"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60" w:type="dxa"/>
            <w:tcBorders/>
            <w:shd w:fill="CCF2F8" w:val="clear"/>
            <w:vAlign w:val="center"/>
          </w:tcPr>
          <w:p>
            <w:pPr>
              <w:pStyle w:val="TableContents"/>
              <w:bidi w:val="0"/>
              <w:spacing w:before="0" w:after="283"/>
              <w:jc w:val="center"/>
              <w:rPr/>
            </w:pPr>
            <w:r>
              <w:rPr/>
              <w:drawing>
                <wp:inline distT="0" distB="0" distL="0" distR="0">
                  <wp:extent cx="371475" cy="371475"/>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32"/>
                          <a:stretch>
                            <a:fillRect/>
                          </a:stretch>
                        </pic:blipFill>
                        <pic:spPr bwMode="auto">
                          <a:xfrm>
                            <a:off x="0" y="0"/>
                            <a:ext cx="371475" cy="371475"/>
                          </a:xfrm>
                          <a:prstGeom prst="rect">
                            <a:avLst/>
                          </a:prstGeom>
                        </pic:spPr>
                      </pic:pic>
                    </a:graphicData>
                  </a:graphic>
                </wp:inline>
              </w:drawing>
            </w:r>
            <w:r>
              <w:rPr/>
              <w:t xml:space="preserve"> </w:t>
            </w:r>
          </w:p>
        </w:tc>
        <w:tc>
          <w:tcPr>
            <w:tcW w:w="60" w:type="dxa"/>
            <w:tcBorders/>
            <w:shd w:fill="CCF2F8" w:val="clear"/>
            <w:vAlign w:val="center"/>
          </w:tcPr>
          <w:p>
            <w:pPr>
              <w:pStyle w:val="TableContents"/>
              <w:bidi w:val="0"/>
              <w:spacing w:before="0" w:after="283"/>
              <w:jc w:val="left"/>
              <w:rPr/>
            </w:pPr>
            <w:r>
              <w:rPr/>
              <w:t> </w:t>
            </w:r>
          </w:p>
        </w:tc>
        <w:tc>
          <w:tcPr>
            <w:tcW w:w="8105" w:type="dxa"/>
            <w:tcBorders/>
            <w:shd w:fill="CCF2F8" w:val="clear"/>
            <w:vAlign w:val="center"/>
          </w:tcPr>
          <w:p>
            <w:pPr>
              <w:pStyle w:val="TableContents"/>
              <w:bidi w:val="0"/>
              <w:spacing w:before="0" w:after="0"/>
              <w:jc w:val="left"/>
              <w:rPr>
                <w:rFonts w:ascii="arial" w:hAnsi="arial"/>
                <w:b/>
                <w:color w:val="3E3935"/>
                <w:sz w:val="26"/>
              </w:rPr>
            </w:pPr>
            <w:r>
              <w:rPr>
                <w:rFonts w:ascii="arial" w:hAnsi="arial"/>
                <w:b/>
                <w:color w:val="3E3935"/>
                <w:sz w:val="26"/>
              </w:rPr>
              <w:t xml:space="preserve">The Board recommends a vote </w:t>
            </w:r>
            <w:r>
              <w:rPr>
                <w:rFonts w:ascii="arial" w:hAnsi="arial"/>
                <w:b/>
                <w:color w:val="0071CE"/>
                <w:sz w:val="26"/>
              </w:rPr>
              <w:t>FOR</w:t>
            </w:r>
            <w:r>
              <w:rPr>
                <w:rFonts w:ascii="arial" w:hAnsi="arial"/>
                <w:b/>
                <w:color w:val="3E3935"/>
                <w:sz w:val="26"/>
              </w:rPr>
              <w:t> each of the nominees identified</w:t>
              <w:br/>
              <w:t>in this Proxy Statement.</w:t>
            </w:r>
          </w:p>
          <w:p>
            <w:pPr>
              <w:pStyle w:val="TableContents"/>
              <w:bidi w:val="0"/>
              <w:spacing w:before="0" w:after="20"/>
              <w:jc w:val="left"/>
              <w:rPr/>
            </w:pPr>
            <w:r>
              <w:rPr/>
              <w:t> </w:t>
            </w:r>
          </w:p>
        </w:tc>
      </w:tr>
    </w:tbl>
    <w:p>
      <w:pPr>
        <w:pStyle w:val="TextBody"/>
        <w:bidi w:val="0"/>
        <w:spacing w:before="0" w:after="0"/>
        <w:jc w:val="left"/>
        <w:rPr/>
      </w:pPr>
      <w:r>
        <w:rPr/>
        <w:t> </w:t>
      </w:r>
    </w:p>
    <w:tbl>
      <w:tblPr>
        <w:tblW w:w="8671" w:type="dxa"/>
        <w:jc w:val="left"/>
        <w:tblInd w:w="0" w:type="dxa"/>
        <w:tblLayout w:type="fixed"/>
        <w:tblCellMar>
          <w:top w:w="0" w:type="dxa"/>
          <w:left w:w="0" w:type="dxa"/>
          <w:bottom w:w="0" w:type="dxa"/>
          <w:right w:w="0" w:type="dxa"/>
        </w:tblCellMar>
      </w:tblPr>
      <w:tblGrid>
        <w:gridCol w:w="38"/>
        <w:gridCol w:w="60"/>
        <w:gridCol w:w="23"/>
        <w:gridCol w:w="60"/>
        <w:gridCol w:w="5780"/>
        <w:gridCol w:w="60"/>
        <w:gridCol w:w="2255"/>
        <w:gridCol w:w="12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140" w:type="dxa"/>
            <w:tcBorders/>
            <w:vAlign w:val="center"/>
          </w:tcPr>
          <w:p>
            <w:pPr>
              <w:pStyle w:val="TableContents"/>
              <w:bidi w:val="0"/>
              <w:spacing w:before="0" w:after="283"/>
              <w:jc w:val="right"/>
              <w:rPr>
                <w:b/>
                <w:color w:val="0071CE"/>
              </w:rPr>
            </w:pPr>
            <w:r>
              <w:rPr>
                <w:b/>
                <w:color w:val="0071CE"/>
              </w:rPr>
              <w:t>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5" w:name="toc648661_3"/>
      <w:bookmarkEnd w:id="5"/>
      <w:r>
        <w:rPr>
          <w:rFonts w:ascii="arial" w:hAnsi="arial"/>
          <w:b/>
          <w:color w:val="0071CE"/>
          <w:sz w:val="28"/>
        </w:rPr>
        <w:t xml:space="preserve">Board Experience and Expertise </w:t>
      </w:r>
    </w:p>
    <w:p>
      <w:pPr>
        <w:pStyle w:val="TextBody"/>
        <w:bidi w:val="0"/>
        <w:spacing w:before="120" w:after="0"/>
        <w:jc w:val="left"/>
        <w:rPr>
          <w:rFonts w:ascii="arial" w:hAnsi="arial"/>
          <w:b/>
          <w:color w:val="3E3935"/>
          <w:sz w:val="26"/>
        </w:rPr>
      </w:pPr>
      <w:bookmarkStart w:id="6" w:name="toc648661_4"/>
      <w:bookmarkEnd w:id="6"/>
      <w:r>
        <w:rPr>
          <w:rFonts w:ascii="arial" w:hAnsi="arial"/>
          <w:b/>
          <w:color w:val="3E3935"/>
          <w:sz w:val="26"/>
        </w:rPr>
        <w:t xml:space="preserve">Skills Matrix </w:t>
      </w:r>
    </w:p>
    <w:p>
      <w:pPr>
        <w:pStyle w:val="TextBody"/>
        <w:bidi w:val="0"/>
        <w:spacing w:before="120" w:after="0"/>
        <w:jc w:val="both"/>
        <w:rPr>
          <w:rFonts w:ascii="arial" w:hAnsi="arial"/>
          <w:color w:val="3E3935"/>
          <w:sz w:val="18"/>
        </w:rPr>
      </w:pPr>
      <w:r>
        <w:rPr>
          <w:rFonts w:ascii="arial" w:hAnsi="arial"/>
          <w:color w:val="3E3935"/>
          <w:sz w:val="18"/>
        </w:rPr>
        <w:t xml:space="preserve">The skills matrix below summarizes certain qualifications used by the Governance Committee in their evaluation of our director nominees. </w:t>
      </w:r>
    </w:p>
    <w:p>
      <w:pPr>
        <w:pStyle w:val="TextBody"/>
        <w:bidi w:val="0"/>
        <w:spacing w:before="0" w:after="0"/>
        <w:jc w:val="left"/>
        <w:rPr/>
      </w:pPr>
      <w:r>
        <w:rPr/>
        <w:t> </w:t>
      </w:r>
    </w:p>
    <w:tbl>
      <w:tblPr>
        <w:tblW w:w="7226" w:type="dxa"/>
        <w:jc w:val="left"/>
        <w:tblInd w:w="0" w:type="dxa"/>
        <w:tblLayout w:type="fixed"/>
        <w:tblCellMar>
          <w:top w:w="0" w:type="dxa"/>
          <w:left w:w="0" w:type="dxa"/>
          <w:bottom w:w="0" w:type="dxa"/>
          <w:right w:w="0" w:type="dxa"/>
        </w:tblCellMar>
      </w:tblPr>
      <w:tblGrid>
        <w:gridCol w:w="111"/>
        <w:gridCol w:w="60"/>
        <w:gridCol w:w="1610"/>
        <w:gridCol w:w="60"/>
        <w:gridCol w:w="335"/>
        <w:gridCol w:w="60"/>
        <w:gridCol w:w="500"/>
        <w:gridCol w:w="60"/>
        <w:gridCol w:w="500"/>
        <w:gridCol w:w="60"/>
        <w:gridCol w:w="335"/>
        <w:gridCol w:w="60"/>
        <w:gridCol w:w="365"/>
        <w:gridCol w:w="60"/>
        <w:gridCol w:w="500"/>
        <w:gridCol w:w="60"/>
        <w:gridCol w:w="335"/>
        <w:gridCol w:w="60"/>
        <w:gridCol w:w="335"/>
        <w:gridCol w:w="60"/>
        <w:gridCol w:w="500"/>
        <w:gridCol w:w="60"/>
        <w:gridCol w:w="335"/>
        <w:gridCol w:w="60"/>
        <w:gridCol w:w="335"/>
        <w:gridCol w:w="60"/>
        <w:gridCol w:w="350"/>
      </w:tblGrid>
      <w:tr>
        <w:trPr/>
        <w:tc>
          <w:tcPr>
            <w:tcW w:w="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31750" cy="3048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33"/>
                          <a:stretch>
                            <a:fillRect/>
                          </a:stretch>
                        </pic:blipFill>
                        <pic:spPr bwMode="auto">
                          <a:xfrm>
                            <a:off x="0" y="0"/>
                            <a:ext cx="31750" cy="30480"/>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28575" cy="28575"/>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34"/>
                          <a:stretch>
                            <a:fillRect/>
                          </a:stretch>
                        </pic:blipFill>
                        <pic:spPr bwMode="auto">
                          <a:xfrm>
                            <a:off x="0" y="0"/>
                            <a:ext cx="28575" cy="28575"/>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54610" cy="52705"/>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5"/>
                          <a:stretch>
                            <a:fillRect/>
                          </a:stretch>
                        </pic:blipFill>
                        <pic:spPr bwMode="auto">
                          <a:xfrm>
                            <a:off x="0" y="0"/>
                            <a:ext cx="54610" cy="52705"/>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39370" cy="38100"/>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6"/>
                          <a:stretch>
                            <a:fillRect/>
                          </a:stretch>
                        </pic:blipFill>
                        <pic:spPr bwMode="auto">
                          <a:xfrm>
                            <a:off x="0" y="0"/>
                            <a:ext cx="39370" cy="38100"/>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65"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41910" cy="41275"/>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7"/>
                          <a:stretch>
                            <a:fillRect/>
                          </a:stretch>
                        </pic:blipFill>
                        <pic:spPr bwMode="auto">
                          <a:xfrm>
                            <a:off x="0" y="0"/>
                            <a:ext cx="41910" cy="41275"/>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38100" cy="36830"/>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8"/>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34290" cy="33655"/>
                  <wp:effectExtent l="0" t="0" r="0" b="0"/>
                  <wp:docPr id="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3" descr=""/>
                          <pic:cNvPicPr>
                            <a:picLocks noChangeAspect="1" noChangeArrowheads="1"/>
                          </pic:cNvPicPr>
                        </pic:nvPicPr>
                        <pic:blipFill>
                          <a:blip r:embed="rId39"/>
                          <a:stretch>
                            <a:fillRect/>
                          </a:stretch>
                        </pic:blipFill>
                        <pic:spPr bwMode="auto">
                          <a:xfrm>
                            <a:off x="0" y="0"/>
                            <a:ext cx="34290" cy="33655"/>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32385" cy="32385"/>
                  <wp:effectExtent l="0" t="0" r="0" b="0"/>
                  <wp:docPr id="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4" descr=""/>
                          <pic:cNvPicPr>
                            <a:picLocks noChangeAspect="1" noChangeArrowheads="1"/>
                          </pic:cNvPicPr>
                        </pic:nvPicPr>
                        <pic:blipFill>
                          <a:blip r:embed="rId40"/>
                          <a:stretch>
                            <a:fillRect/>
                          </a:stretch>
                        </pic:blipFill>
                        <pic:spPr bwMode="auto">
                          <a:xfrm>
                            <a:off x="0" y="0"/>
                            <a:ext cx="32385" cy="32385"/>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43815" cy="42545"/>
                  <wp:effectExtent l="0" t="0" r="0" b="0"/>
                  <wp:docPr id="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 descr=""/>
                          <pic:cNvPicPr>
                            <a:picLocks noChangeAspect="1" noChangeArrowheads="1"/>
                          </pic:cNvPicPr>
                        </pic:nvPicPr>
                        <pic:blipFill>
                          <a:blip r:embed="rId41"/>
                          <a:stretch>
                            <a:fillRect/>
                          </a:stretch>
                        </pic:blipFill>
                        <pic:spPr bwMode="auto">
                          <a:xfrm>
                            <a:off x="0" y="0"/>
                            <a:ext cx="43815" cy="42545"/>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34290" cy="33655"/>
                  <wp:effectExtent l="0" t="0" r="0" b="0"/>
                  <wp:docPr id="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6" descr=""/>
                          <pic:cNvPicPr>
                            <a:picLocks noChangeAspect="1" noChangeArrowheads="1"/>
                          </pic:cNvPicPr>
                        </pic:nvPicPr>
                        <pic:blipFill>
                          <a:blip r:embed="rId42"/>
                          <a:stretch>
                            <a:fillRect/>
                          </a:stretch>
                        </pic:blipFill>
                        <pic:spPr bwMode="auto">
                          <a:xfrm>
                            <a:off x="0" y="0"/>
                            <a:ext cx="34290" cy="33655"/>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30480" cy="30480"/>
                  <wp:effectExtent l="0" t="0" r="0" b="0"/>
                  <wp:docPr id="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 descr=""/>
                          <pic:cNvPicPr>
                            <a:picLocks noChangeAspect="1" noChangeArrowheads="1"/>
                          </pic:cNvPicPr>
                        </pic:nvPicPr>
                        <pic:blipFill>
                          <a:blip r:embed="rId43"/>
                          <a:stretch>
                            <a:fillRect/>
                          </a:stretch>
                        </pic:blipFill>
                        <pic:spPr bwMode="auto">
                          <a:xfrm>
                            <a:off x="0" y="0"/>
                            <a:ext cx="30480" cy="30480"/>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50" w:type="dxa"/>
            <w:tcBorders>
              <w:bottom w:val="single" w:sz="6" w:space="0" w:color="0071CE"/>
            </w:tcBorders>
            <w:tcMar>
              <w:bottom w:w="28" w:type="dxa"/>
            </w:tcMar>
            <w:vAlign w:val="center"/>
          </w:tcPr>
          <w:p>
            <w:pPr>
              <w:pStyle w:val="TableContents"/>
              <w:bidi w:val="0"/>
              <w:spacing w:before="0" w:after="283"/>
              <w:jc w:val="left"/>
              <w:rPr/>
            </w:pPr>
            <w:r>
              <w:rPr/>
              <w:drawing>
                <wp:inline distT="0" distB="0" distL="0" distR="0">
                  <wp:extent cx="33655" cy="32385"/>
                  <wp:effectExtent l="0" t="0" r="0" b="0"/>
                  <wp:docPr id="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8" descr=""/>
                          <pic:cNvPicPr>
                            <a:picLocks noChangeAspect="1" noChangeArrowheads="1"/>
                          </pic:cNvPicPr>
                        </pic:nvPicPr>
                        <pic:blipFill>
                          <a:blip r:embed="rId44"/>
                          <a:stretch>
                            <a:fillRect/>
                          </a:stretch>
                        </pic:blipFill>
                        <pic:spPr bwMode="auto">
                          <a:xfrm>
                            <a:off x="0" y="0"/>
                            <a:ext cx="33655" cy="32385"/>
                          </a:xfrm>
                          <a:prstGeom prst="rect">
                            <a:avLst/>
                          </a:prstGeom>
                        </pic:spPr>
                      </pic:pic>
                    </a:graphicData>
                  </a:graphic>
                </wp:inline>
              </w:drawing>
            </w:r>
            <w:r>
              <w:rPr/>
              <w:t xml:space="preserve"> </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center"/>
              <w:rPr/>
            </w:pPr>
            <w:r>
              <w:rPr/>
              <w:drawing>
                <wp:inline distT="0" distB="0" distL="0" distR="0">
                  <wp:extent cx="17145" cy="19050"/>
                  <wp:effectExtent l="0" t="0" r="0" b="0"/>
                  <wp:docPr id="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9" descr=""/>
                          <pic:cNvPicPr>
                            <a:picLocks noChangeAspect="1" noChangeArrowheads="1"/>
                          </pic:cNvPicPr>
                        </pic:nvPicPr>
                        <pic:blipFill>
                          <a:blip r:embed="rId45"/>
                          <a:stretch>
                            <a:fillRect/>
                          </a:stretch>
                        </pic:blipFill>
                        <pic:spPr bwMode="auto">
                          <a:xfrm>
                            <a:off x="0" y="0"/>
                            <a:ext cx="17145"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color w:val="3E3935"/>
                <w:sz w:val="18"/>
              </w:rPr>
            </w:pPr>
            <w:r>
              <w:rPr>
                <w:color w:val="3E3935"/>
                <w:sz w:val="18"/>
              </w:rPr>
              <w:t>Public Company CEO</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color w:val="0071CE"/>
              </w:rPr>
            </w:pPr>
            <w:r>
              <w:rPr>
                <w:color w:val="0071CE"/>
              </w:rPr>
              <w:t>●</w:t>
            </w:r>
          </w:p>
        </w:tc>
      </w:tr>
      <w:tr>
        <w:trPr/>
        <w:tc>
          <w:tcPr>
            <w:tcW w:w="111" w:type="dxa"/>
            <w:tcBorders/>
            <w:shd w:fill="CCF2F8" w:val="clear"/>
            <w:vAlign w:val="center"/>
          </w:tcPr>
          <w:p>
            <w:pPr>
              <w:pStyle w:val="TableContents"/>
              <w:bidi w:val="0"/>
              <w:spacing w:before="0" w:after="283"/>
              <w:jc w:val="left"/>
              <w:rPr>
                <w:sz w:val="4"/>
                <w:szCs w:val="4"/>
              </w:rPr>
            </w:pPr>
            <w:r>
              <w:rPr>
                <w:sz w:val="4"/>
                <w:szCs w:val="4"/>
              </w:rPr>
            </w:r>
          </w:p>
        </w:tc>
        <w:tc>
          <w:tcPr>
            <w:tcW w:w="167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42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41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11" w:type="dxa"/>
            <w:tcBorders/>
            <w:shd w:fill="CCF2F8" w:val="clear"/>
            <w:vAlign w:val="center"/>
          </w:tcPr>
          <w:p>
            <w:pPr>
              <w:pStyle w:val="TableContents"/>
              <w:bidi w:val="0"/>
              <w:spacing w:before="0" w:after="283"/>
              <w:jc w:val="center"/>
              <w:rPr/>
            </w:pPr>
            <w:r>
              <w:rPr/>
              <w:drawing>
                <wp:inline distT="0" distB="0" distL="0" distR="0">
                  <wp:extent cx="17145" cy="17145"/>
                  <wp:effectExtent l="0" t="0" r="0" b="0"/>
                  <wp:docPr id="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0" descr=""/>
                          <pic:cNvPicPr>
                            <a:picLocks noChangeAspect="1" noChangeArrowheads="1"/>
                          </pic:cNvPicPr>
                        </pic:nvPicPr>
                        <pic:blipFill>
                          <a:blip r:embed="rId46"/>
                          <a:stretch>
                            <a:fillRect/>
                          </a:stretch>
                        </pic:blipFill>
                        <pic:spPr bwMode="auto">
                          <a:xfrm>
                            <a:off x="0" y="0"/>
                            <a:ext cx="17145" cy="17145"/>
                          </a:xfrm>
                          <a:prstGeom prst="rect">
                            <a:avLst/>
                          </a:prstGeom>
                        </pic:spPr>
                      </pic:pic>
                    </a:graphicData>
                  </a:graphic>
                </wp:inline>
              </w:drawing>
            </w:r>
            <w:r>
              <w:rPr/>
              <w:t xml:space="preserve"> </w:t>
            </w:r>
          </w:p>
        </w:tc>
        <w:tc>
          <w:tcPr>
            <w:tcW w:w="60" w:type="dxa"/>
            <w:tcBorders/>
            <w:shd w:fill="CCF2F8" w:val="clear"/>
            <w:vAlign w:val="center"/>
          </w:tcPr>
          <w:p>
            <w:pPr>
              <w:pStyle w:val="TableContents"/>
              <w:bidi w:val="0"/>
              <w:spacing w:before="0" w:after="283"/>
              <w:jc w:val="left"/>
              <w:rPr/>
            </w:pPr>
            <w:r>
              <w:rPr/>
              <w:t> </w:t>
            </w:r>
          </w:p>
        </w:tc>
        <w:tc>
          <w:tcPr>
            <w:tcW w:w="1610" w:type="dxa"/>
            <w:tcBorders/>
            <w:shd w:fill="CCF2F8" w:val="clear"/>
            <w:vAlign w:val="center"/>
          </w:tcPr>
          <w:p>
            <w:pPr>
              <w:pStyle w:val="TableContents"/>
              <w:bidi w:val="0"/>
              <w:spacing w:before="0" w:after="283"/>
              <w:jc w:val="left"/>
              <w:rPr>
                <w:color w:val="3E3935"/>
                <w:sz w:val="18"/>
              </w:rPr>
            </w:pPr>
            <w:r>
              <w:rPr>
                <w:color w:val="3E3935"/>
                <w:sz w:val="18"/>
              </w:rPr>
              <w:t>Industry</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6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50" w:type="dxa"/>
            <w:tcBorders/>
            <w:shd w:fill="CCF2F8" w:val="clear"/>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center"/>
              <w:rPr/>
            </w:pPr>
            <w:r>
              <w:rPr/>
              <w:drawing>
                <wp:inline distT="0" distB="0" distL="0" distR="0">
                  <wp:extent cx="22860" cy="17145"/>
                  <wp:effectExtent l="0" t="0" r="0" b="0"/>
                  <wp:docPr id="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1" descr=""/>
                          <pic:cNvPicPr>
                            <a:picLocks noChangeAspect="1" noChangeArrowheads="1"/>
                          </pic:cNvPicPr>
                        </pic:nvPicPr>
                        <pic:blipFill>
                          <a:blip r:embed="rId47"/>
                          <a:stretch>
                            <a:fillRect/>
                          </a:stretch>
                        </pic:blipFill>
                        <pic:spPr bwMode="auto">
                          <a:xfrm>
                            <a:off x="0" y="0"/>
                            <a:ext cx="22860" cy="171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color w:val="3E3935"/>
                <w:sz w:val="18"/>
              </w:rPr>
            </w:pPr>
            <w:r>
              <w:rPr>
                <w:color w:val="3E3935"/>
                <w:sz w:val="18"/>
              </w:rPr>
              <w:t>Manufacturing</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4"/>
                <w:szCs w:val="4"/>
              </w:rPr>
            </w:pPr>
            <w:r>
              <w:rPr>
                <w:sz w:val="4"/>
                <w:szCs w:val="4"/>
              </w:rPr>
            </w:r>
          </w:p>
        </w:tc>
      </w:tr>
      <w:tr>
        <w:trPr/>
        <w:tc>
          <w:tcPr>
            <w:tcW w:w="111" w:type="dxa"/>
            <w:tcBorders/>
            <w:shd w:fill="CCF2F8" w:val="clear"/>
            <w:vAlign w:val="center"/>
          </w:tcPr>
          <w:p>
            <w:pPr>
              <w:pStyle w:val="TableContents"/>
              <w:bidi w:val="0"/>
              <w:spacing w:before="0" w:after="283"/>
              <w:jc w:val="left"/>
              <w:rPr>
                <w:sz w:val="4"/>
                <w:szCs w:val="4"/>
              </w:rPr>
            </w:pPr>
            <w:r>
              <w:rPr>
                <w:sz w:val="4"/>
                <w:szCs w:val="4"/>
              </w:rPr>
            </w:r>
          </w:p>
        </w:tc>
        <w:tc>
          <w:tcPr>
            <w:tcW w:w="167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42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41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11" w:type="dxa"/>
            <w:tcBorders/>
            <w:shd w:fill="CCF2F8" w:val="clear"/>
            <w:vAlign w:val="center"/>
          </w:tcPr>
          <w:p>
            <w:pPr>
              <w:pStyle w:val="TableContents"/>
              <w:bidi w:val="0"/>
              <w:spacing w:before="0" w:after="283"/>
              <w:jc w:val="center"/>
              <w:rPr/>
            </w:pPr>
            <w:r>
              <w:rPr/>
              <w:drawing>
                <wp:inline distT="0" distB="0" distL="0" distR="0">
                  <wp:extent cx="22860" cy="17145"/>
                  <wp:effectExtent l="0" t="0" r="0" b="0"/>
                  <wp:docPr id="5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2" descr=""/>
                          <pic:cNvPicPr>
                            <a:picLocks noChangeAspect="1" noChangeArrowheads="1"/>
                          </pic:cNvPicPr>
                        </pic:nvPicPr>
                        <pic:blipFill>
                          <a:blip r:embed="rId48"/>
                          <a:stretch>
                            <a:fillRect/>
                          </a:stretch>
                        </pic:blipFill>
                        <pic:spPr bwMode="auto">
                          <a:xfrm>
                            <a:off x="0" y="0"/>
                            <a:ext cx="22860" cy="17145"/>
                          </a:xfrm>
                          <a:prstGeom prst="rect">
                            <a:avLst/>
                          </a:prstGeom>
                        </pic:spPr>
                      </pic:pic>
                    </a:graphicData>
                  </a:graphic>
                </wp:inline>
              </w:drawing>
            </w:r>
            <w:r>
              <w:rPr/>
              <w:t xml:space="preserve"> </w:t>
            </w:r>
          </w:p>
        </w:tc>
        <w:tc>
          <w:tcPr>
            <w:tcW w:w="60" w:type="dxa"/>
            <w:tcBorders/>
            <w:shd w:fill="CCF2F8" w:val="clear"/>
            <w:vAlign w:val="center"/>
          </w:tcPr>
          <w:p>
            <w:pPr>
              <w:pStyle w:val="TableContents"/>
              <w:bidi w:val="0"/>
              <w:spacing w:before="0" w:after="283"/>
              <w:jc w:val="left"/>
              <w:rPr/>
            </w:pPr>
            <w:r>
              <w:rPr/>
              <w:t> </w:t>
            </w:r>
          </w:p>
        </w:tc>
        <w:tc>
          <w:tcPr>
            <w:tcW w:w="1610" w:type="dxa"/>
            <w:tcBorders/>
            <w:shd w:fill="CCF2F8" w:val="clear"/>
            <w:vAlign w:val="center"/>
          </w:tcPr>
          <w:p>
            <w:pPr>
              <w:pStyle w:val="TableContents"/>
              <w:bidi w:val="0"/>
              <w:spacing w:before="0" w:after="283"/>
              <w:jc w:val="left"/>
              <w:rPr>
                <w:color w:val="3E3935"/>
                <w:sz w:val="18"/>
              </w:rPr>
            </w:pPr>
            <w:r>
              <w:rPr>
                <w:color w:val="3E3935"/>
                <w:sz w:val="18"/>
              </w:rPr>
              <w:t>Technology</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6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50" w:type="dxa"/>
            <w:tcBorders/>
            <w:shd w:fill="CCF2F8" w:val="clear"/>
            <w:vAlign w:val="center"/>
          </w:tcPr>
          <w:p>
            <w:pPr>
              <w:pStyle w:val="TableContents"/>
              <w:bidi w:val="0"/>
              <w:spacing w:before="0" w:after="283"/>
              <w:jc w:val="center"/>
              <w:rPr>
                <w:color w:val="0071CE"/>
              </w:rPr>
            </w:pPr>
            <w:r>
              <w:rPr>
                <w:color w:val="0071CE"/>
              </w:rPr>
              <w:t>●</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center"/>
              <w:rPr/>
            </w:pPr>
            <w:r>
              <w:rPr/>
              <w:drawing>
                <wp:inline distT="0" distB="0" distL="0" distR="0">
                  <wp:extent cx="17145" cy="17780"/>
                  <wp:effectExtent l="0" t="0" r="0" b="0"/>
                  <wp:docPr id="5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3" descr=""/>
                          <pic:cNvPicPr>
                            <a:picLocks noChangeAspect="1" noChangeArrowheads="1"/>
                          </pic:cNvPicPr>
                        </pic:nvPicPr>
                        <pic:blipFill>
                          <a:blip r:embed="rId49"/>
                          <a:stretch>
                            <a:fillRect/>
                          </a:stretch>
                        </pic:blipFill>
                        <pic:spPr bwMode="auto">
                          <a:xfrm>
                            <a:off x="0" y="0"/>
                            <a:ext cx="17145" cy="177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color w:val="3E3935"/>
                <w:sz w:val="18"/>
              </w:rPr>
            </w:pPr>
            <w:r>
              <w:rPr>
                <w:color w:val="3E3935"/>
                <w:sz w:val="18"/>
              </w:rPr>
              <w:t>Risk Management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color w:val="0071CE"/>
              </w:rPr>
            </w:pPr>
            <w:r>
              <w:rPr>
                <w:color w:val="0071CE"/>
              </w:rPr>
              <w:t>●</w:t>
            </w:r>
          </w:p>
        </w:tc>
      </w:tr>
      <w:tr>
        <w:trPr/>
        <w:tc>
          <w:tcPr>
            <w:tcW w:w="111" w:type="dxa"/>
            <w:tcBorders/>
            <w:shd w:fill="CCF2F8" w:val="clear"/>
            <w:vAlign w:val="center"/>
          </w:tcPr>
          <w:p>
            <w:pPr>
              <w:pStyle w:val="TableContents"/>
              <w:bidi w:val="0"/>
              <w:spacing w:before="0" w:after="283"/>
              <w:jc w:val="left"/>
              <w:rPr>
                <w:sz w:val="4"/>
                <w:szCs w:val="4"/>
              </w:rPr>
            </w:pPr>
            <w:r>
              <w:rPr>
                <w:sz w:val="4"/>
                <w:szCs w:val="4"/>
              </w:rPr>
            </w:r>
          </w:p>
        </w:tc>
        <w:tc>
          <w:tcPr>
            <w:tcW w:w="167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42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41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11" w:type="dxa"/>
            <w:tcBorders/>
            <w:shd w:fill="CCF2F8" w:val="clear"/>
            <w:vAlign w:val="center"/>
          </w:tcPr>
          <w:p>
            <w:pPr>
              <w:pStyle w:val="TableContents"/>
              <w:bidi w:val="0"/>
              <w:spacing w:before="0" w:after="283"/>
              <w:jc w:val="center"/>
              <w:rPr/>
            </w:pPr>
            <w:r>
              <w:rPr/>
              <w:drawing>
                <wp:inline distT="0" distB="0" distL="0" distR="0">
                  <wp:extent cx="17780" cy="20320"/>
                  <wp:effectExtent l="0" t="0" r="0" b="0"/>
                  <wp:docPr id="5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4" descr=""/>
                          <pic:cNvPicPr>
                            <a:picLocks noChangeAspect="1" noChangeArrowheads="1"/>
                          </pic:cNvPicPr>
                        </pic:nvPicPr>
                        <pic:blipFill>
                          <a:blip r:embed="rId50"/>
                          <a:stretch>
                            <a:fillRect/>
                          </a:stretch>
                        </pic:blipFill>
                        <pic:spPr bwMode="auto">
                          <a:xfrm>
                            <a:off x="0" y="0"/>
                            <a:ext cx="17780" cy="20320"/>
                          </a:xfrm>
                          <a:prstGeom prst="rect">
                            <a:avLst/>
                          </a:prstGeom>
                        </pic:spPr>
                      </pic:pic>
                    </a:graphicData>
                  </a:graphic>
                </wp:inline>
              </w:drawing>
            </w:r>
            <w:r>
              <w:rPr/>
              <w:t xml:space="preserve"> </w:t>
            </w:r>
          </w:p>
        </w:tc>
        <w:tc>
          <w:tcPr>
            <w:tcW w:w="60" w:type="dxa"/>
            <w:tcBorders/>
            <w:shd w:fill="CCF2F8" w:val="clear"/>
            <w:vAlign w:val="center"/>
          </w:tcPr>
          <w:p>
            <w:pPr>
              <w:pStyle w:val="TableContents"/>
              <w:bidi w:val="0"/>
              <w:spacing w:before="0" w:after="283"/>
              <w:jc w:val="left"/>
              <w:rPr/>
            </w:pPr>
            <w:r>
              <w:rPr/>
              <w:t> </w:t>
            </w:r>
          </w:p>
        </w:tc>
        <w:tc>
          <w:tcPr>
            <w:tcW w:w="1610" w:type="dxa"/>
            <w:tcBorders/>
            <w:shd w:fill="CCF2F8" w:val="clear"/>
            <w:vAlign w:val="center"/>
          </w:tcPr>
          <w:p>
            <w:pPr>
              <w:pStyle w:val="TableContents"/>
              <w:bidi w:val="0"/>
              <w:spacing w:before="0" w:after="283"/>
              <w:jc w:val="left"/>
              <w:rPr>
                <w:color w:val="3E3935"/>
                <w:sz w:val="18"/>
              </w:rPr>
            </w:pPr>
            <w:r>
              <w:rPr>
                <w:color w:val="3E3935"/>
                <w:sz w:val="18"/>
              </w:rPr>
              <w:t>Finance</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6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50" w:type="dxa"/>
            <w:tcBorders/>
            <w:shd w:fill="CCF2F8" w:val="clear"/>
            <w:vAlign w:val="center"/>
          </w:tcPr>
          <w:p>
            <w:pPr>
              <w:pStyle w:val="TableContents"/>
              <w:bidi w:val="0"/>
              <w:spacing w:before="0" w:after="283"/>
              <w:jc w:val="center"/>
              <w:rPr>
                <w:color w:val="0071CE"/>
              </w:rPr>
            </w:pPr>
            <w:r>
              <w:rPr>
                <w:color w:val="0071CE"/>
              </w:rPr>
              <w:t>●</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center"/>
              <w:rPr/>
            </w:pPr>
            <w:r>
              <w:rPr/>
              <w:drawing>
                <wp:inline distT="0" distB="0" distL="0" distR="0">
                  <wp:extent cx="20320" cy="16510"/>
                  <wp:effectExtent l="0" t="0" r="0" b="0"/>
                  <wp:docPr id="5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5" descr=""/>
                          <pic:cNvPicPr>
                            <a:picLocks noChangeAspect="1" noChangeArrowheads="1"/>
                          </pic:cNvPicPr>
                        </pic:nvPicPr>
                        <pic:blipFill>
                          <a:blip r:embed="rId51"/>
                          <a:stretch>
                            <a:fillRect/>
                          </a:stretch>
                        </pic:blipFill>
                        <pic:spPr bwMode="auto">
                          <a:xfrm>
                            <a:off x="0" y="0"/>
                            <a:ext cx="20320" cy="165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color w:val="3E3935"/>
                <w:sz w:val="18"/>
              </w:rPr>
            </w:pPr>
            <w:r>
              <w:rPr>
                <w:color w:val="3E3935"/>
                <w:sz w:val="18"/>
              </w:rPr>
              <w:t>Marketing</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color w:val="0071CE"/>
              </w:rPr>
            </w:pPr>
            <w:r>
              <w:rPr>
                <w:color w:val="0071CE"/>
              </w:rPr>
              <w:t>●</w:t>
            </w:r>
          </w:p>
        </w:tc>
      </w:tr>
      <w:tr>
        <w:trPr/>
        <w:tc>
          <w:tcPr>
            <w:tcW w:w="111" w:type="dxa"/>
            <w:tcBorders/>
            <w:shd w:fill="CCF2F8" w:val="clear"/>
            <w:vAlign w:val="center"/>
          </w:tcPr>
          <w:p>
            <w:pPr>
              <w:pStyle w:val="TableContents"/>
              <w:bidi w:val="0"/>
              <w:spacing w:before="0" w:after="283"/>
              <w:jc w:val="left"/>
              <w:rPr>
                <w:sz w:val="4"/>
                <w:szCs w:val="4"/>
              </w:rPr>
            </w:pPr>
            <w:r>
              <w:rPr>
                <w:sz w:val="4"/>
                <w:szCs w:val="4"/>
              </w:rPr>
            </w:r>
          </w:p>
        </w:tc>
        <w:tc>
          <w:tcPr>
            <w:tcW w:w="167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42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560"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395" w:type="dxa"/>
            <w:gridSpan w:val="2"/>
            <w:tcBorders/>
            <w:shd w:fill="CCF2F8" w:val="clear"/>
            <w:vAlign w:val="center"/>
          </w:tcPr>
          <w:p>
            <w:pPr>
              <w:pStyle w:val="TableContents"/>
              <w:bidi w:val="0"/>
              <w:spacing w:before="0" w:after="283"/>
              <w:jc w:val="left"/>
              <w:rPr>
                <w:sz w:val="4"/>
                <w:szCs w:val="4"/>
              </w:rPr>
            </w:pPr>
            <w:r>
              <w:rPr>
                <w:sz w:val="4"/>
                <w:szCs w:val="4"/>
              </w:rPr>
            </w:r>
          </w:p>
        </w:tc>
        <w:tc>
          <w:tcPr>
            <w:tcW w:w="41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11" w:type="dxa"/>
            <w:tcBorders/>
            <w:shd w:fill="CCF2F8" w:val="clear"/>
            <w:vAlign w:val="center"/>
          </w:tcPr>
          <w:p>
            <w:pPr>
              <w:pStyle w:val="TableContents"/>
              <w:bidi w:val="0"/>
              <w:spacing w:before="0" w:after="283"/>
              <w:jc w:val="center"/>
              <w:rPr/>
            </w:pPr>
            <w:r>
              <w:rPr/>
              <w:drawing>
                <wp:inline distT="0" distB="0" distL="0" distR="0">
                  <wp:extent cx="20320" cy="14605"/>
                  <wp:effectExtent l="0" t="0" r="0" b="0"/>
                  <wp:docPr id="5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6" descr=""/>
                          <pic:cNvPicPr>
                            <a:picLocks noChangeAspect="1" noChangeArrowheads="1"/>
                          </pic:cNvPicPr>
                        </pic:nvPicPr>
                        <pic:blipFill>
                          <a:blip r:embed="rId52"/>
                          <a:stretch>
                            <a:fillRect/>
                          </a:stretch>
                        </pic:blipFill>
                        <pic:spPr bwMode="auto">
                          <a:xfrm>
                            <a:off x="0" y="0"/>
                            <a:ext cx="20320" cy="14605"/>
                          </a:xfrm>
                          <a:prstGeom prst="rect">
                            <a:avLst/>
                          </a:prstGeom>
                        </pic:spPr>
                      </pic:pic>
                    </a:graphicData>
                  </a:graphic>
                </wp:inline>
              </w:drawing>
            </w:r>
            <w:r>
              <w:rPr/>
              <w:t xml:space="preserve"> </w:t>
            </w:r>
          </w:p>
        </w:tc>
        <w:tc>
          <w:tcPr>
            <w:tcW w:w="60" w:type="dxa"/>
            <w:tcBorders/>
            <w:shd w:fill="CCF2F8" w:val="clear"/>
            <w:vAlign w:val="center"/>
          </w:tcPr>
          <w:p>
            <w:pPr>
              <w:pStyle w:val="TableContents"/>
              <w:bidi w:val="0"/>
              <w:spacing w:before="0" w:after="283"/>
              <w:jc w:val="left"/>
              <w:rPr/>
            </w:pPr>
            <w:r>
              <w:rPr/>
              <w:t> </w:t>
            </w:r>
          </w:p>
        </w:tc>
        <w:tc>
          <w:tcPr>
            <w:tcW w:w="1610" w:type="dxa"/>
            <w:tcBorders/>
            <w:shd w:fill="CCF2F8" w:val="clear"/>
            <w:vAlign w:val="center"/>
          </w:tcPr>
          <w:p>
            <w:pPr>
              <w:pStyle w:val="TableContents"/>
              <w:bidi w:val="0"/>
              <w:spacing w:before="0" w:after="283"/>
              <w:jc w:val="left"/>
              <w:rPr>
                <w:color w:val="3E3935"/>
                <w:sz w:val="18"/>
              </w:rPr>
            </w:pPr>
            <w:r>
              <w:rPr>
                <w:color w:val="3E3935"/>
                <w:sz w:val="18"/>
              </w:rPr>
              <w:t>Cyber</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6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500"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35" w:type="dxa"/>
            <w:tcBorders/>
            <w:shd w:fill="CCF2F8" w:val="clear"/>
            <w:vAlign w:val="center"/>
          </w:tcPr>
          <w:p>
            <w:pPr>
              <w:pStyle w:val="TableContents"/>
              <w:bidi w:val="0"/>
              <w:spacing w:before="0" w:after="283"/>
              <w:jc w:val="center"/>
              <w:rPr>
                <w:color w:val="0071CE"/>
              </w:rPr>
            </w:pPr>
            <w:r>
              <w:rPr>
                <w:color w:val="0071CE"/>
              </w:rPr>
              <w:t>●</w:t>
            </w:r>
          </w:p>
        </w:tc>
        <w:tc>
          <w:tcPr>
            <w:tcW w:w="60" w:type="dxa"/>
            <w:tcBorders/>
            <w:shd w:fill="CCF2F8" w:val="clear"/>
            <w:vAlign w:val="center"/>
          </w:tcPr>
          <w:p>
            <w:pPr>
              <w:pStyle w:val="TableContents"/>
              <w:bidi w:val="0"/>
              <w:spacing w:before="0" w:after="283"/>
              <w:jc w:val="left"/>
              <w:rPr/>
            </w:pPr>
            <w:r>
              <w:rPr/>
              <w:t> </w:t>
            </w:r>
          </w:p>
        </w:tc>
        <w:tc>
          <w:tcPr>
            <w:tcW w:w="350" w:type="dxa"/>
            <w:tcBorders/>
            <w:shd w:fill="CCF2F8" w:val="clear"/>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395"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r>
      <w:tr>
        <w:trPr/>
        <w:tc>
          <w:tcPr>
            <w:tcW w:w="111" w:type="dxa"/>
            <w:tcBorders>
              <w:bottom w:val="single" w:sz="6" w:space="0" w:color="0071CE"/>
            </w:tcBorders>
            <w:tcMar>
              <w:bottom w:w="40" w:type="dxa"/>
            </w:tcMar>
            <w:vAlign w:val="center"/>
          </w:tcPr>
          <w:p>
            <w:pPr>
              <w:pStyle w:val="TableContents"/>
              <w:bidi w:val="0"/>
              <w:spacing w:before="0" w:after="283"/>
              <w:jc w:val="center"/>
              <w:rPr/>
            </w:pPr>
            <w:r>
              <w:rPr/>
              <w:drawing>
                <wp:inline distT="0" distB="0" distL="0" distR="0">
                  <wp:extent cx="15240" cy="17780"/>
                  <wp:effectExtent l="0" t="0" r="0" b="0"/>
                  <wp:docPr id="5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7" descr=""/>
                          <pic:cNvPicPr>
                            <a:picLocks noChangeAspect="1" noChangeArrowheads="1"/>
                          </pic:cNvPicPr>
                        </pic:nvPicPr>
                        <pic:blipFill>
                          <a:blip r:embed="rId53"/>
                          <a:stretch>
                            <a:fillRect/>
                          </a:stretch>
                        </pic:blipFill>
                        <pic:spPr bwMode="auto">
                          <a:xfrm>
                            <a:off x="0" y="0"/>
                            <a:ext cx="15240" cy="17780"/>
                          </a:xfrm>
                          <a:prstGeom prst="rect">
                            <a:avLst/>
                          </a:prstGeom>
                        </pic:spPr>
                      </pic:pic>
                    </a:graphicData>
                  </a:graphic>
                </wp:inline>
              </w:drawing>
            </w:r>
            <w:r>
              <w:rPr/>
              <w:t xml:space="preserv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610" w:type="dxa"/>
            <w:tcBorders>
              <w:bottom w:val="single" w:sz="6" w:space="0" w:color="0071CE"/>
            </w:tcBorders>
            <w:tcMar>
              <w:bottom w:w="40" w:type="dxa"/>
            </w:tcMar>
            <w:vAlign w:val="center"/>
          </w:tcPr>
          <w:p>
            <w:pPr>
              <w:pStyle w:val="TableContents"/>
              <w:bidi w:val="0"/>
              <w:spacing w:before="0" w:after="283"/>
              <w:jc w:val="left"/>
              <w:rPr>
                <w:color w:val="3E3935"/>
                <w:sz w:val="18"/>
              </w:rPr>
            </w:pPr>
            <w:r>
              <w:rPr>
                <w:color w:val="3E3935"/>
                <w:sz w:val="18"/>
              </w:rPr>
              <w:t>ESG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ESG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ESG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65"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EG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ESG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ESG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35"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SG</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50" w:type="dxa"/>
            <w:tcBorders>
              <w:bottom w:val="single" w:sz="6" w:space="0" w:color="0071CE"/>
            </w:tcBorders>
            <w:tcMar>
              <w:bottom w:w="40" w:type="dxa"/>
            </w:tcMar>
            <w:vAlign w:val="center"/>
          </w:tcPr>
          <w:p>
            <w:pPr>
              <w:pStyle w:val="TableContents"/>
              <w:bidi w:val="0"/>
              <w:spacing w:before="0" w:after="283"/>
              <w:jc w:val="center"/>
              <w:rPr>
                <w:b/>
                <w:color w:val="0071CE"/>
              </w:rPr>
            </w:pPr>
            <w:r>
              <w:rPr>
                <w:b/>
                <w:color w:val="0071CE"/>
              </w:rPr>
              <w:t>SG</w:t>
            </w:r>
          </w:p>
        </w:tc>
      </w:tr>
    </w:tbl>
    <w:p>
      <w:pPr>
        <w:pStyle w:val="TextBody"/>
        <w:bidi w:val="0"/>
        <w:spacing w:before="120" w:after="0"/>
        <w:jc w:val="both"/>
        <w:rPr>
          <w:rFonts w:ascii="arial" w:hAnsi="arial"/>
          <w:color w:val="3E3935"/>
          <w:sz w:val="18"/>
        </w:rPr>
      </w:pPr>
      <w:r>
        <w:rPr>
          <w:rFonts w:ascii="arial" w:hAnsi="arial"/>
          <w:color w:val="3E3935"/>
          <w:sz w:val="18"/>
        </w:rPr>
        <w:t xml:space="preserve">To supplement the skills matrix, since 2021, the Board has also undertaken an annual ESG self-evaluation. The evaluation is designed to ensure that the Board possesses the requisite skills and expertise to oversee the Company’s ESG opportunities, priorities, and enterprise risks. The Governance Committee leads this effort by asking directors to consider their expertise across key ESG subject matter areas identified in the skills key above. Upon the conclusion of the annual evaluation, the Board determined that it has strong ESG expertise and possesses a broad range of skills, qualifications, and attributes that will support the Company’s sustainability strategy. Results of the Board’s ESG self-evaluation are represented on the skills matrix above. </w:t>
      </w:r>
    </w:p>
    <w:p>
      <w:pPr>
        <w:pStyle w:val="TextBody"/>
        <w:bidi w:val="0"/>
        <w:spacing w:before="120" w:after="0"/>
        <w:jc w:val="left"/>
        <w:rPr>
          <w:rFonts w:ascii="arial" w:hAnsi="arial"/>
          <w:b/>
          <w:color w:val="3E3935"/>
          <w:sz w:val="26"/>
        </w:rPr>
      </w:pPr>
      <w:r>
        <w:rPr>
          <w:rFonts w:ascii="arial" w:hAnsi="arial"/>
          <w:b/>
          <w:color w:val="3E3935"/>
          <w:sz w:val="26"/>
        </w:rPr>
        <w:t xml:space="preserve">Skills Key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74"/>
        <w:gridCol w:w="60"/>
        <w:gridCol w:w="8771"/>
      </w:tblGrid>
      <w:tr>
        <w:trPr/>
        <w:tc>
          <w:tcPr>
            <w:tcW w:w="1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1" w:type="dxa"/>
            <w:tcBorders/>
            <w:vAlign w:val="center"/>
          </w:tcPr>
          <w:p>
            <w:pPr>
              <w:pStyle w:val="TableContents"/>
              <w:bidi w:val="0"/>
              <w:spacing w:before="0" w:after="283"/>
              <w:jc w:val="left"/>
              <w:rPr>
                <w:sz w:val="4"/>
                <w:szCs w:val="4"/>
              </w:rPr>
            </w:pPr>
            <w:r>
              <w:rPr>
                <w:sz w:val="4"/>
                <w:szCs w:val="4"/>
              </w:rPr>
            </w:r>
          </w:p>
        </w:tc>
      </w:tr>
      <w:tr>
        <w:trPr/>
        <w:tc>
          <w:tcPr>
            <w:tcW w:w="1374"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Public Company CEO</w:t>
            </w:r>
          </w:p>
        </w:tc>
        <w:tc>
          <w:tcPr>
            <w:tcW w:w="60" w:type="dxa"/>
            <w:tcBorders/>
            <w:vAlign w:val="center"/>
          </w:tcPr>
          <w:p>
            <w:pPr>
              <w:pStyle w:val="TableContents"/>
              <w:bidi w:val="0"/>
              <w:spacing w:before="0" w:after="283"/>
              <w:jc w:val="left"/>
              <w:rPr/>
            </w:pPr>
            <w:r>
              <w:rPr/>
              <w:t> </w:t>
            </w:r>
          </w:p>
        </w:tc>
        <w:tc>
          <w:tcPr>
            <w:tcW w:w="8771" w:type="dxa"/>
            <w:tcBorders/>
            <w:vAlign w:val="center"/>
          </w:tcPr>
          <w:p>
            <w:pPr>
              <w:pStyle w:val="TableContents"/>
              <w:bidi w:val="0"/>
              <w:spacing w:before="0" w:after="283"/>
              <w:jc w:val="left"/>
              <w:rPr>
                <w:color w:val="3E3935"/>
              </w:rPr>
            </w:pPr>
            <w:r>
              <w:rPr>
                <w:color w:val="3E3935"/>
              </w:rPr>
              <w:t>Experience over an extended period, especially as CEO; extraordinary leadership qualities; and the ability to identify and develop those qualities in others.</w:t>
            </w:r>
          </w:p>
        </w:tc>
      </w:tr>
      <w:tr>
        <w:trPr/>
        <w:tc>
          <w:tcPr>
            <w:tcW w:w="1374" w:type="dxa"/>
            <w:tcBorders/>
            <w:shd w:fill="CCF2F8" w:val="clear"/>
            <w:vAlign w:val="center"/>
          </w:tcPr>
          <w:p>
            <w:pPr>
              <w:pStyle w:val="TableContents"/>
              <w:bidi w:val="0"/>
              <w:spacing w:before="0" w:after="283"/>
              <w:jc w:val="left"/>
              <w:rPr>
                <w:sz w:val="4"/>
                <w:szCs w:val="4"/>
              </w:rPr>
            </w:pPr>
            <w:r>
              <w:rPr>
                <w:sz w:val="4"/>
                <w:szCs w:val="4"/>
              </w:rPr>
            </w:r>
          </w:p>
        </w:tc>
        <w:tc>
          <w:tcPr>
            <w:tcW w:w="8831"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374"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Industry</w:t>
            </w:r>
          </w:p>
        </w:tc>
        <w:tc>
          <w:tcPr>
            <w:tcW w:w="60" w:type="dxa"/>
            <w:tcBorders/>
            <w:shd w:fill="CCF2F8" w:val="clear"/>
            <w:vAlign w:val="center"/>
          </w:tcPr>
          <w:p>
            <w:pPr>
              <w:pStyle w:val="TableContents"/>
              <w:bidi w:val="0"/>
              <w:spacing w:before="0" w:after="283"/>
              <w:jc w:val="left"/>
              <w:rPr/>
            </w:pPr>
            <w:r>
              <w:rPr/>
              <w:t> </w:t>
            </w:r>
          </w:p>
        </w:tc>
        <w:tc>
          <w:tcPr>
            <w:tcW w:w="8771" w:type="dxa"/>
            <w:tcBorders/>
            <w:shd w:fill="CCF2F8" w:val="clear"/>
            <w:vAlign w:val="center"/>
          </w:tcPr>
          <w:p>
            <w:pPr>
              <w:pStyle w:val="TableContents"/>
              <w:bidi w:val="0"/>
              <w:spacing w:before="0" w:after="283"/>
              <w:jc w:val="left"/>
              <w:rPr>
                <w:color w:val="3E3935"/>
              </w:rPr>
            </w:pPr>
            <w:r>
              <w:rPr>
                <w:color w:val="3E3935"/>
              </w:rPr>
              <w:t>Expertise in key businesses and proven knowledge of key customers and risks associated with the automotive industry.</w:t>
            </w:r>
          </w:p>
        </w:tc>
      </w:tr>
      <w:tr>
        <w:trPr/>
        <w:tc>
          <w:tcPr>
            <w:tcW w:w="1374" w:type="dxa"/>
            <w:tcBorders/>
            <w:vAlign w:val="center"/>
          </w:tcPr>
          <w:p>
            <w:pPr>
              <w:pStyle w:val="TableContents"/>
              <w:bidi w:val="0"/>
              <w:spacing w:before="0" w:after="283"/>
              <w:jc w:val="left"/>
              <w:rPr>
                <w:sz w:val="4"/>
                <w:szCs w:val="4"/>
              </w:rPr>
            </w:pPr>
            <w:r>
              <w:rPr>
                <w:sz w:val="4"/>
                <w:szCs w:val="4"/>
              </w:rPr>
            </w:r>
          </w:p>
        </w:tc>
        <w:tc>
          <w:tcPr>
            <w:tcW w:w="8831" w:type="dxa"/>
            <w:gridSpan w:val="2"/>
            <w:tcBorders/>
            <w:vAlign w:val="center"/>
          </w:tcPr>
          <w:p>
            <w:pPr>
              <w:pStyle w:val="TableContents"/>
              <w:bidi w:val="0"/>
              <w:spacing w:before="0" w:after="283"/>
              <w:jc w:val="left"/>
              <w:rPr>
                <w:sz w:val="4"/>
                <w:szCs w:val="4"/>
              </w:rPr>
            </w:pPr>
            <w:r>
              <w:rPr>
                <w:sz w:val="4"/>
                <w:szCs w:val="4"/>
              </w:rPr>
            </w:r>
          </w:p>
        </w:tc>
      </w:tr>
      <w:tr>
        <w:trPr/>
        <w:tc>
          <w:tcPr>
            <w:tcW w:w="1374"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Manufacturing</w:t>
            </w:r>
          </w:p>
        </w:tc>
        <w:tc>
          <w:tcPr>
            <w:tcW w:w="60" w:type="dxa"/>
            <w:tcBorders/>
            <w:vAlign w:val="center"/>
          </w:tcPr>
          <w:p>
            <w:pPr>
              <w:pStyle w:val="TableContents"/>
              <w:bidi w:val="0"/>
              <w:spacing w:before="0" w:after="283"/>
              <w:jc w:val="left"/>
              <w:rPr/>
            </w:pPr>
            <w:r>
              <w:rPr/>
              <w:t> </w:t>
            </w:r>
          </w:p>
        </w:tc>
        <w:tc>
          <w:tcPr>
            <w:tcW w:w="8771" w:type="dxa"/>
            <w:tcBorders/>
            <w:vAlign w:val="center"/>
          </w:tcPr>
          <w:p>
            <w:pPr>
              <w:pStyle w:val="TableContents"/>
              <w:bidi w:val="0"/>
              <w:spacing w:before="0" w:after="283"/>
              <w:jc w:val="left"/>
              <w:rPr>
                <w:color w:val="3E3935"/>
              </w:rPr>
            </w:pPr>
            <w:r>
              <w:rPr>
                <w:color w:val="3E3935"/>
              </w:rPr>
              <w:t>Experience in, or experience in a senior management position responsible for, significant manufacturing operations.</w:t>
            </w:r>
          </w:p>
        </w:tc>
      </w:tr>
      <w:tr>
        <w:trPr/>
        <w:tc>
          <w:tcPr>
            <w:tcW w:w="1374" w:type="dxa"/>
            <w:tcBorders/>
            <w:shd w:fill="CCF2F8" w:val="clear"/>
            <w:vAlign w:val="center"/>
          </w:tcPr>
          <w:p>
            <w:pPr>
              <w:pStyle w:val="TableContents"/>
              <w:bidi w:val="0"/>
              <w:spacing w:before="0" w:after="283"/>
              <w:jc w:val="left"/>
              <w:rPr>
                <w:sz w:val="4"/>
                <w:szCs w:val="4"/>
              </w:rPr>
            </w:pPr>
            <w:r>
              <w:rPr>
                <w:sz w:val="4"/>
                <w:szCs w:val="4"/>
              </w:rPr>
            </w:r>
          </w:p>
        </w:tc>
        <w:tc>
          <w:tcPr>
            <w:tcW w:w="8831"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374"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Technology</w:t>
            </w:r>
          </w:p>
        </w:tc>
        <w:tc>
          <w:tcPr>
            <w:tcW w:w="60" w:type="dxa"/>
            <w:tcBorders/>
            <w:shd w:fill="CCF2F8" w:val="clear"/>
            <w:vAlign w:val="center"/>
          </w:tcPr>
          <w:p>
            <w:pPr>
              <w:pStyle w:val="TableContents"/>
              <w:bidi w:val="0"/>
              <w:spacing w:before="0" w:after="283"/>
              <w:jc w:val="left"/>
              <w:rPr/>
            </w:pPr>
            <w:r>
              <w:rPr/>
              <w:t> </w:t>
            </w:r>
          </w:p>
        </w:tc>
        <w:tc>
          <w:tcPr>
            <w:tcW w:w="8771" w:type="dxa"/>
            <w:tcBorders/>
            <w:shd w:fill="CCF2F8" w:val="clear"/>
            <w:vAlign w:val="center"/>
          </w:tcPr>
          <w:p>
            <w:pPr>
              <w:pStyle w:val="TableContents"/>
              <w:bidi w:val="0"/>
              <w:spacing w:before="0" w:after="20"/>
              <w:jc w:val="left"/>
              <w:rPr>
                <w:rFonts w:ascii="arial" w:hAnsi="arial"/>
                <w:color w:val="3E3935"/>
                <w:sz w:val="17"/>
              </w:rPr>
            </w:pPr>
            <w:r>
              <w:rPr>
                <w:rFonts w:ascii="arial" w:hAnsi="arial"/>
                <w:color w:val="3E3935"/>
                <w:sz w:val="17"/>
              </w:rPr>
              <w:t>Expertise in, or understanding of technology and innovation gained either though academia or industry experience.</w:t>
            </w:r>
          </w:p>
        </w:tc>
      </w:tr>
      <w:tr>
        <w:trPr/>
        <w:tc>
          <w:tcPr>
            <w:tcW w:w="1374" w:type="dxa"/>
            <w:tcBorders/>
            <w:vAlign w:val="center"/>
          </w:tcPr>
          <w:p>
            <w:pPr>
              <w:pStyle w:val="TableContents"/>
              <w:bidi w:val="0"/>
              <w:spacing w:before="0" w:after="283"/>
              <w:jc w:val="left"/>
              <w:rPr>
                <w:sz w:val="4"/>
                <w:szCs w:val="4"/>
              </w:rPr>
            </w:pPr>
            <w:r>
              <w:rPr>
                <w:sz w:val="4"/>
                <w:szCs w:val="4"/>
              </w:rPr>
            </w:r>
          </w:p>
        </w:tc>
        <w:tc>
          <w:tcPr>
            <w:tcW w:w="8831" w:type="dxa"/>
            <w:gridSpan w:val="2"/>
            <w:tcBorders/>
            <w:vAlign w:val="center"/>
          </w:tcPr>
          <w:p>
            <w:pPr>
              <w:pStyle w:val="TableContents"/>
              <w:bidi w:val="0"/>
              <w:spacing w:before="0" w:after="283"/>
              <w:jc w:val="left"/>
              <w:rPr>
                <w:sz w:val="4"/>
                <w:szCs w:val="4"/>
              </w:rPr>
            </w:pPr>
            <w:r>
              <w:rPr>
                <w:sz w:val="4"/>
                <w:szCs w:val="4"/>
              </w:rPr>
            </w:r>
          </w:p>
        </w:tc>
      </w:tr>
      <w:tr>
        <w:trPr/>
        <w:tc>
          <w:tcPr>
            <w:tcW w:w="1374"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Risk Management</w:t>
            </w:r>
          </w:p>
        </w:tc>
        <w:tc>
          <w:tcPr>
            <w:tcW w:w="60" w:type="dxa"/>
            <w:tcBorders/>
            <w:vAlign w:val="center"/>
          </w:tcPr>
          <w:p>
            <w:pPr>
              <w:pStyle w:val="TableContents"/>
              <w:bidi w:val="0"/>
              <w:spacing w:before="0" w:after="283"/>
              <w:jc w:val="left"/>
              <w:rPr/>
            </w:pPr>
            <w:r>
              <w:rPr/>
              <w:t> </w:t>
            </w:r>
          </w:p>
        </w:tc>
        <w:tc>
          <w:tcPr>
            <w:tcW w:w="877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3E3935"/>
                <w:sz w:val="17"/>
              </w:rPr>
            </w:pPr>
            <w:r>
              <w:rPr>
                <w:rFonts w:ascii="arial" w:hAnsi="arial"/>
                <w:color w:val="3E3935"/>
                <w:sz w:val="17"/>
              </w:rPr>
              <w:t>Relevant experience in risk management and oversight.</w:t>
            </w:r>
          </w:p>
        </w:tc>
      </w:tr>
      <w:tr>
        <w:trPr/>
        <w:tc>
          <w:tcPr>
            <w:tcW w:w="1374" w:type="dxa"/>
            <w:tcBorders/>
            <w:shd w:fill="CCF2F8" w:val="clear"/>
            <w:vAlign w:val="center"/>
          </w:tcPr>
          <w:p>
            <w:pPr>
              <w:pStyle w:val="TableContents"/>
              <w:bidi w:val="0"/>
              <w:spacing w:before="0" w:after="283"/>
              <w:jc w:val="left"/>
              <w:rPr>
                <w:sz w:val="4"/>
                <w:szCs w:val="4"/>
              </w:rPr>
            </w:pPr>
            <w:r>
              <w:rPr>
                <w:sz w:val="4"/>
                <w:szCs w:val="4"/>
              </w:rPr>
            </w:r>
          </w:p>
        </w:tc>
        <w:tc>
          <w:tcPr>
            <w:tcW w:w="8831"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374"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Finance</w:t>
            </w:r>
          </w:p>
        </w:tc>
        <w:tc>
          <w:tcPr>
            <w:tcW w:w="60" w:type="dxa"/>
            <w:tcBorders/>
            <w:shd w:fill="CCF2F8" w:val="clear"/>
            <w:vAlign w:val="center"/>
          </w:tcPr>
          <w:p>
            <w:pPr>
              <w:pStyle w:val="TableContents"/>
              <w:bidi w:val="0"/>
              <w:spacing w:before="0" w:after="283"/>
              <w:jc w:val="left"/>
              <w:rPr/>
            </w:pPr>
            <w:r>
              <w:rPr/>
              <w:t> </w:t>
            </w:r>
          </w:p>
        </w:tc>
        <w:tc>
          <w:tcPr>
            <w:tcW w:w="8771" w:type="dxa"/>
            <w:tcBorders/>
            <w:shd w:fill="CCF2F8" w:val="clear"/>
            <w:vAlign w:val="center"/>
          </w:tcPr>
          <w:p>
            <w:pPr>
              <w:pStyle w:val="TableContents"/>
              <w:bidi w:val="0"/>
              <w:spacing w:before="0" w:after="283"/>
              <w:jc w:val="left"/>
              <w:rPr>
                <w:color w:val="3E3935"/>
              </w:rPr>
            </w:pPr>
            <w:r>
              <w:rPr>
                <w:color w:val="3E3935"/>
              </w:rPr>
              <w:t>Expertise in complex financial and/or accounting matters to evaluate financial statements, capital structure and allocation, business plans, and qualify as audit committee financial experts.</w:t>
            </w:r>
          </w:p>
        </w:tc>
      </w:tr>
      <w:tr>
        <w:trPr/>
        <w:tc>
          <w:tcPr>
            <w:tcW w:w="1374" w:type="dxa"/>
            <w:tcBorders/>
            <w:vAlign w:val="center"/>
          </w:tcPr>
          <w:p>
            <w:pPr>
              <w:pStyle w:val="TableContents"/>
              <w:bidi w:val="0"/>
              <w:spacing w:before="0" w:after="283"/>
              <w:jc w:val="left"/>
              <w:rPr>
                <w:sz w:val="4"/>
                <w:szCs w:val="4"/>
              </w:rPr>
            </w:pPr>
            <w:r>
              <w:rPr>
                <w:sz w:val="4"/>
                <w:szCs w:val="4"/>
              </w:rPr>
            </w:r>
          </w:p>
        </w:tc>
        <w:tc>
          <w:tcPr>
            <w:tcW w:w="8831" w:type="dxa"/>
            <w:gridSpan w:val="2"/>
            <w:tcBorders/>
            <w:vAlign w:val="center"/>
          </w:tcPr>
          <w:p>
            <w:pPr>
              <w:pStyle w:val="TableContents"/>
              <w:bidi w:val="0"/>
              <w:spacing w:before="0" w:after="283"/>
              <w:jc w:val="left"/>
              <w:rPr>
                <w:sz w:val="4"/>
                <w:szCs w:val="4"/>
              </w:rPr>
            </w:pPr>
            <w:r>
              <w:rPr>
                <w:sz w:val="4"/>
                <w:szCs w:val="4"/>
              </w:rPr>
            </w:r>
          </w:p>
        </w:tc>
      </w:tr>
      <w:tr>
        <w:trPr/>
        <w:tc>
          <w:tcPr>
            <w:tcW w:w="1374"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Marketing</w:t>
            </w:r>
          </w:p>
        </w:tc>
        <w:tc>
          <w:tcPr>
            <w:tcW w:w="60" w:type="dxa"/>
            <w:tcBorders/>
            <w:vAlign w:val="center"/>
          </w:tcPr>
          <w:p>
            <w:pPr>
              <w:pStyle w:val="TableContents"/>
              <w:bidi w:val="0"/>
              <w:spacing w:before="0" w:after="283"/>
              <w:jc w:val="left"/>
              <w:rPr/>
            </w:pPr>
            <w:r>
              <w:rPr/>
              <w:t> </w:t>
            </w:r>
          </w:p>
        </w:tc>
        <w:tc>
          <w:tcPr>
            <w:tcW w:w="8771" w:type="dxa"/>
            <w:tcBorders/>
            <w:vAlign w:val="center"/>
          </w:tcPr>
          <w:p>
            <w:pPr>
              <w:pStyle w:val="TableContents"/>
              <w:bidi w:val="0"/>
              <w:spacing w:before="0" w:after="283"/>
              <w:jc w:val="left"/>
              <w:rPr>
                <w:color w:val="3E3935"/>
              </w:rPr>
            </w:pPr>
            <w:r>
              <w:rPr>
                <w:color w:val="3E3935"/>
              </w:rPr>
              <w:t>Expertise regarding brand maintenance and expansion, product awareness, customer engagement, digital marketing, and/or social media experience.</w:t>
            </w:r>
          </w:p>
        </w:tc>
      </w:tr>
      <w:tr>
        <w:trPr/>
        <w:tc>
          <w:tcPr>
            <w:tcW w:w="1374" w:type="dxa"/>
            <w:tcBorders/>
            <w:shd w:fill="CCF2F8" w:val="clear"/>
            <w:vAlign w:val="center"/>
          </w:tcPr>
          <w:p>
            <w:pPr>
              <w:pStyle w:val="TableContents"/>
              <w:bidi w:val="0"/>
              <w:spacing w:before="0" w:after="283"/>
              <w:jc w:val="left"/>
              <w:rPr>
                <w:sz w:val="4"/>
                <w:szCs w:val="4"/>
              </w:rPr>
            </w:pPr>
            <w:r>
              <w:rPr>
                <w:sz w:val="4"/>
                <w:szCs w:val="4"/>
              </w:rPr>
            </w:r>
          </w:p>
        </w:tc>
        <w:tc>
          <w:tcPr>
            <w:tcW w:w="8831"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374"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Cyber</w:t>
            </w:r>
          </w:p>
        </w:tc>
        <w:tc>
          <w:tcPr>
            <w:tcW w:w="60" w:type="dxa"/>
            <w:tcBorders/>
            <w:shd w:fill="CCF2F8" w:val="clear"/>
            <w:vAlign w:val="center"/>
          </w:tcPr>
          <w:p>
            <w:pPr>
              <w:pStyle w:val="TableContents"/>
              <w:bidi w:val="0"/>
              <w:spacing w:before="0" w:after="283"/>
              <w:jc w:val="left"/>
              <w:rPr/>
            </w:pPr>
            <w:r>
              <w:rPr/>
              <w:t> </w:t>
            </w:r>
          </w:p>
        </w:tc>
        <w:tc>
          <w:tcPr>
            <w:tcW w:w="8771" w:type="dxa"/>
            <w:tcBorders/>
            <w:shd w:fill="CCF2F8" w:val="clear"/>
            <w:vAlign w:val="center"/>
          </w:tcPr>
          <w:p>
            <w:pPr>
              <w:pStyle w:val="TableContents"/>
              <w:bidi w:val="0"/>
              <w:spacing w:before="0" w:after="283"/>
              <w:jc w:val="left"/>
              <w:rPr>
                <w:color w:val="3E3935"/>
              </w:rPr>
            </w:pPr>
            <w:r>
              <w:rPr>
                <w:color w:val="3E3935"/>
              </w:rPr>
              <w:t>Experience managing cybersecurity security risks or understanding the cybersecurity threat landscape which helps provide valuable knowledge, guidance, and oversight of the Company’s cybersecurity risks.</w:t>
            </w:r>
          </w:p>
        </w:tc>
      </w:tr>
      <w:tr>
        <w:trPr/>
        <w:tc>
          <w:tcPr>
            <w:tcW w:w="1374" w:type="dxa"/>
            <w:tcBorders/>
            <w:vAlign w:val="center"/>
          </w:tcPr>
          <w:p>
            <w:pPr>
              <w:pStyle w:val="TableContents"/>
              <w:bidi w:val="0"/>
              <w:spacing w:before="0" w:after="283"/>
              <w:jc w:val="left"/>
              <w:rPr>
                <w:sz w:val="4"/>
                <w:szCs w:val="4"/>
              </w:rPr>
            </w:pPr>
            <w:r>
              <w:rPr>
                <w:sz w:val="4"/>
                <w:szCs w:val="4"/>
              </w:rPr>
            </w:r>
          </w:p>
        </w:tc>
        <w:tc>
          <w:tcPr>
            <w:tcW w:w="8831" w:type="dxa"/>
            <w:gridSpan w:val="2"/>
            <w:tcBorders/>
            <w:vAlign w:val="center"/>
          </w:tcPr>
          <w:p>
            <w:pPr>
              <w:pStyle w:val="TableContents"/>
              <w:bidi w:val="0"/>
              <w:spacing w:before="0" w:after="283"/>
              <w:jc w:val="left"/>
              <w:rPr>
                <w:sz w:val="4"/>
                <w:szCs w:val="4"/>
              </w:rPr>
            </w:pPr>
            <w:r>
              <w:rPr>
                <w:sz w:val="4"/>
                <w:szCs w:val="4"/>
              </w:rPr>
            </w:r>
          </w:p>
        </w:tc>
      </w:tr>
      <w:tr>
        <w:trPr/>
        <w:tc>
          <w:tcPr>
            <w:tcW w:w="1374"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Environmental</w:t>
            </w:r>
          </w:p>
        </w:tc>
        <w:tc>
          <w:tcPr>
            <w:tcW w:w="60" w:type="dxa"/>
            <w:tcBorders/>
            <w:vAlign w:val="center"/>
          </w:tcPr>
          <w:p>
            <w:pPr>
              <w:pStyle w:val="TableContents"/>
              <w:bidi w:val="0"/>
              <w:spacing w:before="0" w:after="283"/>
              <w:jc w:val="left"/>
              <w:rPr/>
            </w:pPr>
            <w:r>
              <w:rPr/>
              <w:t> </w:t>
            </w:r>
          </w:p>
        </w:tc>
        <w:tc>
          <w:tcPr>
            <w:tcW w:w="8771" w:type="dxa"/>
            <w:tcBorders/>
            <w:vAlign w:val="center"/>
          </w:tcPr>
          <w:p>
            <w:pPr>
              <w:pStyle w:val="TableContents"/>
              <w:bidi w:val="0"/>
              <w:spacing w:before="0" w:after="283"/>
              <w:jc w:val="left"/>
              <w:rPr>
                <w:color w:val="3E3935"/>
              </w:rPr>
            </w:pPr>
            <w:r>
              <w:rPr>
                <w:color w:val="3E3935"/>
              </w:rPr>
              <w:t>Expertise with environmental matters, including GHG emissions; raw material sources; waste and hazardous materials management; product design and lifecycle management; water and wastewater management; and/or energy efficiency management.</w:t>
            </w:r>
          </w:p>
        </w:tc>
      </w:tr>
      <w:tr>
        <w:trPr/>
        <w:tc>
          <w:tcPr>
            <w:tcW w:w="1374" w:type="dxa"/>
            <w:tcBorders/>
            <w:shd w:fill="CCF2F8" w:val="clear"/>
            <w:vAlign w:val="center"/>
          </w:tcPr>
          <w:p>
            <w:pPr>
              <w:pStyle w:val="TableContents"/>
              <w:bidi w:val="0"/>
              <w:spacing w:before="0" w:after="283"/>
              <w:jc w:val="left"/>
              <w:rPr>
                <w:sz w:val="4"/>
                <w:szCs w:val="4"/>
              </w:rPr>
            </w:pPr>
            <w:r>
              <w:rPr>
                <w:sz w:val="4"/>
                <w:szCs w:val="4"/>
              </w:rPr>
            </w:r>
          </w:p>
        </w:tc>
        <w:tc>
          <w:tcPr>
            <w:tcW w:w="8831"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374"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Social</w:t>
            </w:r>
          </w:p>
        </w:tc>
        <w:tc>
          <w:tcPr>
            <w:tcW w:w="60" w:type="dxa"/>
            <w:tcBorders/>
            <w:shd w:fill="CCF2F8" w:val="clear"/>
            <w:vAlign w:val="center"/>
          </w:tcPr>
          <w:p>
            <w:pPr>
              <w:pStyle w:val="TableContents"/>
              <w:bidi w:val="0"/>
              <w:spacing w:before="0" w:after="283"/>
              <w:jc w:val="left"/>
              <w:rPr/>
            </w:pPr>
            <w:r>
              <w:rPr/>
              <w:t> </w:t>
            </w:r>
          </w:p>
        </w:tc>
        <w:tc>
          <w:tcPr>
            <w:tcW w:w="8771" w:type="dxa"/>
            <w:tcBorders/>
            <w:shd w:fill="CCF2F8" w:val="clear"/>
            <w:vAlign w:val="center"/>
          </w:tcPr>
          <w:p>
            <w:pPr>
              <w:pStyle w:val="TableContents"/>
              <w:bidi w:val="0"/>
              <w:spacing w:before="0" w:after="283"/>
              <w:jc w:val="left"/>
              <w:rPr>
                <w:color w:val="3E3935"/>
              </w:rPr>
            </w:pPr>
            <w:r>
              <w:rPr>
                <w:color w:val="3E3935"/>
              </w:rPr>
              <w:t>Expertise with DE&amp;I; data privacy; human rights; community relations; workplace health and safety; supply chain management; human capital management; consumer privacy; product quality and safety; and/or labor practices.</w:t>
            </w:r>
          </w:p>
        </w:tc>
      </w:tr>
      <w:tr>
        <w:trPr/>
        <w:tc>
          <w:tcPr>
            <w:tcW w:w="1374" w:type="dxa"/>
            <w:tcBorders/>
            <w:vAlign w:val="center"/>
          </w:tcPr>
          <w:p>
            <w:pPr>
              <w:pStyle w:val="TableContents"/>
              <w:bidi w:val="0"/>
              <w:spacing w:before="0" w:after="283"/>
              <w:jc w:val="left"/>
              <w:rPr>
                <w:sz w:val="4"/>
                <w:szCs w:val="4"/>
              </w:rPr>
            </w:pPr>
            <w:r>
              <w:rPr>
                <w:sz w:val="4"/>
                <w:szCs w:val="4"/>
              </w:rPr>
            </w:r>
          </w:p>
        </w:tc>
        <w:tc>
          <w:tcPr>
            <w:tcW w:w="8831" w:type="dxa"/>
            <w:gridSpan w:val="2"/>
            <w:tcBorders/>
            <w:vAlign w:val="center"/>
          </w:tcPr>
          <w:p>
            <w:pPr>
              <w:pStyle w:val="TableContents"/>
              <w:bidi w:val="0"/>
              <w:spacing w:before="0" w:after="283"/>
              <w:jc w:val="left"/>
              <w:rPr>
                <w:sz w:val="4"/>
                <w:szCs w:val="4"/>
              </w:rPr>
            </w:pPr>
            <w:r>
              <w:rPr>
                <w:sz w:val="4"/>
                <w:szCs w:val="4"/>
              </w:rPr>
            </w:r>
          </w:p>
        </w:tc>
      </w:tr>
      <w:tr>
        <w:trPr/>
        <w:tc>
          <w:tcPr>
            <w:tcW w:w="1374"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Governance</w:t>
            </w:r>
          </w:p>
        </w:tc>
        <w:tc>
          <w:tcPr>
            <w:tcW w:w="60" w:type="dxa"/>
            <w:tcBorders/>
            <w:vAlign w:val="center"/>
          </w:tcPr>
          <w:p>
            <w:pPr>
              <w:pStyle w:val="TableContents"/>
              <w:bidi w:val="0"/>
              <w:spacing w:before="0" w:after="283"/>
              <w:jc w:val="left"/>
              <w:rPr/>
            </w:pPr>
            <w:r>
              <w:rPr/>
              <w:t> </w:t>
            </w:r>
          </w:p>
        </w:tc>
        <w:tc>
          <w:tcPr>
            <w:tcW w:w="8771" w:type="dxa"/>
            <w:tcBorders/>
            <w:vAlign w:val="center"/>
          </w:tcPr>
          <w:p>
            <w:pPr>
              <w:pStyle w:val="TableContents"/>
              <w:bidi w:val="0"/>
              <w:spacing w:before="0" w:after="283"/>
              <w:jc w:val="left"/>
              <w:rPr>
                <w:color w:val="3E3935"/>
              </w:rPr>
            </w:pPr>
            <w:r>
              <w:rPr>
                <w:color w:val="3E3935"/>
              </w:rPr>
              <w:t>Experience with public company board governance; legal and regulatory matters; executive compensation; compliance and business ethics; anti-competitive practices; risk management; and/or ESG reporting principles and frameworks.</w:t>
            </w:r>
          </w:p>
        </w:tc>
      </w:tr>
    </w:tbl>
    <w:p>
      <w:pPr>
        <w:pStyle w:val="TextBody"/>
        <w:bidi w:val="0"/>
        <w:spacing w:before="0" w:after="0"/>
        <w:jc w:val="left"/>
        <w:rPr/>
      </w:pPr>
      <w:r>
        <w:rPr/>
        <w:t> </w:t>
      </w:r>
    </w:p>
    <w:tbl>
      <w:tblPr>
        <w:tblW w:w="6608" w:type="dxa"/>
        <w:jc w:val="left"/>
        <w:tblInd w:w="0" w:type="dxa"/>
        <w:tblLayout w:type="fixed"/>
        <w:tblCellMar>
          <w:top w:w="0" w:type="dxa"/>
          <w:left w:w="0" w:type="dxa"/>
          <w:bottom w:w="0" w:type="dxa"/>
          <w:right w:w="0" w:type="dxa"/>
        </w:tblCellMar>
      </w:tblPr>
      <w:tblGrid>
        <w:gridCol w:w="275"/>
        <w:gridCol w:w="60"/>
        <w:gridCol w:w="192"/>
        <w:gridCol w:w="60"/>
        <w:gridCol w:w="57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10</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5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8" descr=""/>
                          <pic:cNvPicPr>
                            <a:picLocks noChangeAspect="1" noChangeArrowheads="1"/>
                          </pic:cNvPicPr>
                        </pic:nvPicPr>
                        <pic:blipFill>
                          <a:blip r:embed="rId54"/>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bookmarkStart w:id="7" w:name="toc648661_5"/>
      <w:bookmarkEnd w:id="7"/>
      <w:r>
        <w:rPr>
          <w:rFonts w:ascii="arial" w:hAnsi="arial"/>
          <w:b/>
          <w:color w:val="3E3935"/>
          <w:sz w:val="26"/>
        </w:rPr>
        <w:t xml:space="preserve">Director Nominee Biographies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29"/>
        <w:gridCol w:w="120"/>
        <w:gridCol w:w="23"/>
        <w:gridCol w:w="23"/>
        <w:gridCol w:w="23"/>
        <w:gridCol w:w="60"/>
        <w:gridCol w:w="674"/>
        <w:gridCol w:w="124"/>
        <w:gridCol w:w="7729"/>
      </w:tblGrid>
      <w:tr>
        <w:trPr/>
        <w:tc>
          <w:tcPr>
            <w:tcW w:w="14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7729" w:type="dxa"/>
            <w:tcBorders/>
            <w:vAlign w:val="center"/>
          </w:tcPr>
          <w:p>
            <w:pPr>
              <w:pStyle w:val="TableContents"/>
              <w:bidi w:val="0"/>
              <w:spacing w:before="0" w:after="283"/>
              <w:jc w:val="left"/>
              <w:rPr>
                <w:sz w:val="4"/>
                <w:szCs w:val="4"/>
              </w:rPr>
            </w:pPr>
            <w:r>
              <w:rPr>
                <w:sz w:val="4"/>
                <w:szCs w:val="4"/>
              </w:rPr>
            </w:r>
          </w:p>
        </w:tc>
      </w:tr>
      <w:tr>
        <w:trPr/>
        <w:tc>
          <w:tcPr>
            <w:tcW w:w="1429" w:type="dxa"/>
            <w:tcBorders/>
            <w:vAlign w:val="center"/>
          </w:tcPr>
          <w:p>
            <w:pPr>
              <w:pStyle w:val="TableContents"/>
              <w:bidi w:val="0"/>
              <w:spacing w:before="0" w:after="283"/>
              <w:jc w:val="left"/>
              <w:rPr>
                <w:sz w:val="4"/>
                <w:szCs w:val="4"/>
              </w:rPr>
            </w:pPr>
            <w:r>
              <w:rPr>
                <w:sz w:val="4"/>
                <w:szCs w:val="4"/>
              </w:rPr>
            </w:r>
          </w:p>
        </w:tc>
        <w:tc>
          <w:tcPr>
            <w:tcW w:w="189" w:type="dxa"/>
            <w:gridSpan w:val="4"/>
            <w:tcBorders/>
            <w:vAlign w:val="center"/>
          </w:tcPr>
          <w:p>
            <w:pPr>
              <w:pStyle w:val="TableContents"/>
              <w:bidi w:val="0"/>
              <w:spacing w:before="0" w:after="283"/>
              <w:jc w:val="left"/>
              <w:rPr>
                <w:sz w:val="4"/>
                <w:szCs w:val="4"/>
              </w:rPr>
            </w:pPr>
            <w:r>
              <w:rPr>
                <w:sz w:val="4"/>
                <w:szCs w:val="4"/>
              </w:rPr>
            </w:r>
          </w:p>
        </w:tc>
        <w:tc>
          <w:tcPr>
            <w:tcW w:w="8587" w:type="dxa"/>
            <w:gridSpan w:val="4"/>
            <w:tcBorders/>
            <w:vAlign w:val="center"/>
          </w:tcPr>
          <w:p>
            <w:pPr>
              <w:pStyle w:val="TableContents"/>
              <w:bidi w:val="0"/>
              <w:spacing w:before="0" w:after="283"/>
              <w:jc w:val="left"/>
              <w:rPr>
                <w:sz w:val="4"/>
                <w:szCs w:val="4"/>
              </w:rPr>
            </w:pPr>
            <w:r>
              <w:rPr>
                <w:sz w:val="4"/>
                <w:szCs w:val="4"/>
              </w:rPr>
            </w:r>
          </w:p>
        </w:tc>
      </w:tr>
      <w:tr>
        <w:trPr/>
        <w:tc>
          <w:tcPr>
            <w:tcW w:w="1429" w:type="dxa"/>
            <w:vMerge w:val="restart"/>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21285" cy="121285"/>
                  <wp:effectExtent l="0" t="0" r="0" b="0"/>
                  <wp:docPr id="5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9" descr=""/>
                          <pic:cNvPicPr>
                            <a:picLocks noChangeAspect="1" noChangeArrowheads="1"/>
                          </pic:cNvPicPr>
                        </pic:nvPicPr>
                        <pic:blipFill>
                          <a:blip r:embed="rId55"/>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rFonts w:ascii="arial" w:hAnsi="arial"/>
                <w:color w:val="3E3935"/>
                <w:sz w:val="18"/>
              </w:rPr>
            </w:pPr>
            <w:r>
              <w:rPr>
                <w:rFonts w:ascii="arial" w:hAnsi="arial"/>
                <w:color w:val="3E3935"/>
                <w:sz w:val="18"/>
              </w:rPr>
              <w:t>Chair and CEO, General Motors Company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62</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2014</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Female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Executive (Chair)</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Vehicle:</w:t>
            </w:r>
          </w:p>
          <w:p>
            <w:pPr>
              <w:pStyle w:val="TableContents"/>
              <w:bidi w:val="0"/>
              <w:spacing w:before="0" w:after="20"/>
              <w:jc w:val="left"/>
              <w:rPr>
                <w:rFonts w:ascii="arial" w:hAnsi="arial"/>
                <w:color w:val="3E3935"/>
                <w:sz w:val="18"/>
              </w:rPr>
            </w:pPr>
            <w:r>
              <w:rPr>
                <w:rFonts w:ascii="arial" w:hAnsi="arial"/>
                <w:color w:val="3E3935"/>
                <w:sz w:val="18"/>
              </w:rPr>
              <w:t>GMC Hummer EV Pickup</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27" w:type="dxa"/>
            <w:gridSpan w:val="3"/>
            <w:tcBorders/>
            <w:vAlign w:val="center"/>
          </w:tcPr>
          <w:p>
            <w:pPr>
              <w:pStyle w:val="TableContents"/>
              <w:bidi w:val="0"/>
              <w:spacing w:before="0" w:after="0"/>
              <w:jc w:val="both"/>
              <w:rPr>
                <w:rFonts w:ascii="arial" w:hAnsi="arial"/>
                <w:b/>
                <w:color w:val="3E3935"/>
                <w:sz w:val="32"/>
              </w:rPr>
            </w:pPr>
            <w:r>
              <w:rPr>
                <w:rFonts w:ascii="arial" w:hAnsi="arial"/>
                <w:b/>
                <w:color w:val="3E3935"/>
                <w:sz w:val="32"/>
              </w:rPr>
              <w:t xml:space="preserve">Mary T. Barra </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Ms. Barra is Chair and CEO of General Motors. She has served as Chair of the Board of Directors since January 2016 and has served as CEO since January 2014. Prior to becoming CEO, Ms. Barra served as GM’s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 Ms. Barra began her career with GM in 1980.</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Ms. Barra has in-depth knowledge of the Company and the global automotive industry; extensive senior leadership, strategic planning, operational, and business experience; and a strong engineering background with experience in global product development. She has spearheaded many initiatives to align the Company’s culture with its transformation efforts and holds herself and the leadership team accountable for driving a culture of safety for customers, employees, and communities.</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The Walt Disney Company</w:t>
            </w:r>
          </w:p>
          <w:p>
            <w:pPr>
              <w:pStyle w:val="TableContents"/>
              <w:bidi w:val="0"/>
              <w:spacing w:before="0" w:after="0"/>
              <w:jc w:val="left"/>
              <w:rPr/>
            </w:pPr>
            <w:r>
              <w:rPr/>
              <w:t> </w:t>
            </w:r>
          </w:p>
          <w:p>
            <w:pPr>
              <w:pStyle w:val="TableContents"/>
              <w:bidi w:val="0"/>
              <w:spacing w:before="0" w:after="2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None</w:t>
            </w:r>
          </w:p>
        </w:tc>
      </w:tr>
      <w:tr>
        <w:trPr/>
        <w:tc>
          <w:tcPr>
            <w:tcW w:w="142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124" w:type="dxa"/>
            <w:tcBorders/>
            <w:vAlign w:val="center"/>
          </w:tcPr>
          <w:p>
            <w:pPr>
              <w:pStyle w:val="TableContents"/>
              <w:bidi w:val="0"/>
              <w:spacing w:before="0" w:after="283"/>
              <w:jc w:val="left"/>
              <w:rPr/>
            </w:pPr>
            <w:r>
              <w:rPr/>
              <w:t>  </w:t>
            </w:r>
          </w:p>
        </w:tc>
        <w:tc>
          <w:tcPr>
            <w:tcW w:w="7729" w:type="dxa"/>
            <w:tcBorders/>
            <w:vAlign w:val="center"/>
          </w:tcPr>
          <w:p>
            <w:pPr>
              <w:pStyle w:val="TableContents"/>
              <w:bidi w:val="0"/>
              <w:spacing w:before="0" w:after="0"/>
              <w:jc w:val="both"/>
              <w:rPr/>
            </w:pPr>
            <w:r>
              <w:rPr/>
              <w:drawing>
                <wp:inline distT="0" distB="0" distL="0" distR="0">
                  <wp:extent cx="26670" cy="28575"/>
                  <wp:effectExtent l="0" t="0" r="0" b="0"/>
                  <wp:docPr id="5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0" descr=""/>
                          <pic:cNvPicPr>
                            <a:picLocks noChangeAspect="1" noChangeArrowheads="1"/>
                          </pic:cNvPicPr>
                        </pic:nvPicPr>
                        <pic:blipFill>
                          <a:blip r:embed="rId56"/>
                          <a:stretch>
                            <a:fillRect/>
                          </a:stretch>
                        </pic:blipFill>
                        <pic:spPr bwMode="auto">
                          <a:xfrm>
                            <a:off x="0" y="0"/>
                            <a:ext cx="26670" cy="28575"/>
                          </a:xfrm>
                          <a:prstGeom prst="rect">
                            <a:avLst/>
                          </a:prstGeom>
                        </pic:spPr>
                      </pic:pic>
                    </a:graphicData>
                  </a:graphic>
                </wp:inline>
              </w:drawing>
            </w:r>
            <w:r>
              <w:rPr/>
              <w:t xml:space="preserve">    </w:t>
            </w:r>
            <w:r>
              <w:rPr/>
              <w:drawing>
                <wp:inline distT="0" distB="0" distL="0" distR="0">
                  <wp:extent cx="29210" cy="28575"/>
                  <wp:effectExtent l="0" t="0" r="0" b="0"/>
                  <wp:docPr id="6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1" descr=""/>
                          <pic:cNvPicPr>
                            <a:picLocks noChangeAspect="1" noChangeArrowheads="1"/>
                          </pic:cNvPicPr>
                        </pic:nvPicPr>
                        <pic:blipFill>
                          <a:blip r:embed="rId57"/>
                          <a:stretch>
                            <a:fillRect/>
                          </a:stretch>
                        </pic:blipFill>
                        <pic:spPr bwMode="auto">
                          <a:xfrm>
                            <a:off x="0" y="0"/>
                            <a:ext cx="29210" cy="28575"/>
                          </a:xfrm>
                          <a:prstGeom prst="rect">
                            <a:avLst/>
                          </a:prstGeom>
                        </pic:spPr>
                      </pic:pic>
                    </a:graphicData>
                  </a:graphic>
                </wp:inline>
              </w:drawing>
            </w:r>
            <w:r>
              <w:rPr/>
              <w:t xml:space="preserve">    </w:t>
            </w:r>
            <w:r>
              <w:rPr/>
              <w:drawing>
                <wp:inline distT="0" distB="0" distL="0" distR="0">
                  <wp:extent cx="36195" cy="26670"/>
                  <wp:effectExtent l="0" t="0" r="0" b="0"/>
                  <wp:docPr id="6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2" descr=""/>
                          <pic:cNvPicPr>
                            <a:picLocks noChangeAspect="1" noChangeArrowheads="1"/>
                          </pic:cNvPicPr>
                        </pic:nvPicPr>
                        <pic:blipFill>
                          <a:blip r:embed="rId58"/>
                          <a:stretch>
                            <a:fillRect/>
                          </a:stretch>
                        </pic:blipFill>
                        <pic:spPr bwMode="auto">
                          <a:xfrm>
                            <a:off x="0" y="0"/>
                            <a:ext cx="36195" cy="26670"/>
                          </a:xfrm>
                          <a:prstGeom prst="rect">
                            <a:avLst/>
                          </a:prstGeom>
                        </pic:spPr>
                      </pic:pic>
                    </a:graphicData>
                  </a:graphic>
                </wp:inline>
              </w:drawing>
            </w:r>
            <w:r>
              <w:rPr/>
              <w:t xml:space="preserve">    </w:t>
            </w:r>
            <w:r>
              <w:rPr/>
              <w:drawing>
                <wp:inline distT="0" distB="0" distL="0" distR="0">
                  <wp:extent cx="32385" cy="24765"/>
                  <wp:effectExtent l="0" t="0" r="0" b="0"/>
                  <wp:docPr id="6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3" descr=""/>
                          <pic:cNvPicPr>
                            <a:picLocks noChangeAspect="1" noChangeArrowheads="1"/>
                          </pic:cNvPicPr>
                        </pic:nvPicPr>
                        <pic:blipFill>
                          <a:blip r:embed="rId59"/>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6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4" descr=""/>
                          <pic:cNvPicPr>
                            <a:picLocks noChangeAspect="1" noChangeArrowheads="1"/>
                          </pic:cNvPicPr>
                        </pic:nvPicPr>
                        <pic:blipFill>
                          <a:blip r:embed="rId60"/>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5" descr=""/>
                          <pic:cNvPicPr>
                            <a:picLocks noChangeAspect="1" noChangeArrowheads="1"/>
                          </pic:cNvPicPr>
                        </pic:nvPicPr>
                        <pic:blipFill>
                          <a:blip r:embed="rId61"/>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22860" cy="27940"/>
                  <wp:effectExtent l="0" t="0" r="0" b="0"/>
                  <wp:docPr id="6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6" descr=""/>
                          <pic:cNvPicPr>
                            <a:picLocks noChangeAspect="1" noChangeArrowheads="1"/>
                          </pic:cNvPicPr>
                        </pic:nvPicPr>
                        <pic:blipFill>
                          <a:blip r:embed="rId62"/>
                          <a:stretch>
                            <a:fillRect/>
                          </a:stretch>
                        </pic:blipFill>
                        <pic:spPr bwMode="auto">
                          <a:xfrm>
                            <a:off x="0" y="0"/>
                            <a:ext cx="22860" cy="27940"/>
                          </a:xfrm>
                          <a:prstGeom prst="rect">
                            <a:avLst/>
                          </a:prstGeom>
                        </pic:spPr>
                      </pic:pic>
                    </a:graphicData>
                  </a:graphic>
                </wp:inline>
              </w:drawing>
            </w:r>
            <w:r>
              <w:rPr/>
              <w:t xml:space="preserve"> </w:t>
            </w:r>
          </w:p>
        </w:tc>
      </w:tr>
      <w:tr>
        <w:trPr/>
        <w:tc>
          <w:tcPr>
            <w:tcW w:w="142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74"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124" w:type="dxa"/>
            <w:tcBorders/>
            <w:shd w:fill="CCF2F8" w:val="clear"/>
            <w:vAlign w:val="center"/>
          </w:tcPr>
          <w:p>
            <w:pPr>
              <w:pStyle w:val="TableContents"/>
              <w:bidi w:val="0"/>
              <w:spacing w:before="0" w:after="283"/>
              <w:jc w:val="left"/>
              <w:rPr/>
            </w:pPr>
            <w:r>
              <w:rPr/>
              <w:t>  </w:t>
            </w:r>
          </w:p>
        </w:tc>
        <w:tc>
          <w:tcPr>
            <w:tcW w:w="7729" w:type="dxa"/>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both"/>
              <w:rPr>
                <w:rFonts w:ascii="arial" w:hAnsi="arial"/>
                <w:b/>
                <w:color w:val="0071CE"/>
                <w:sz w:val="18"/>
              </w:rPr>
            </w:pPr>
            <w:r>
              <w:rPr>
                <w:rFonts w:ascii="arial" w:hAnsi="arial"/>
                <w:b/>
                <w:color w:val="0071CE"/>
                <w:sz w:val="18"/>
              </w:rPr>
              <w:t>What actions is the Company taking to increase shareholder value?</w:t>
            </w:r>
          </w:p>
        </w:tc>
      </w:tr>
      <w:tr>
        <w:trPr/>
        <w:tc>
          <w:tcPr>
            <w:tcW w:w="142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74" w:type="dxa"/>
            <w:tcBorders/>
            <w:shd w:fill="CCF2F8" w:val="clear"/>
            <w:vAlign w:val="center"/>
          </w:tcPr>
          <w:p>
            <w:pPr>
              <w:pStyle w:val="TableContents"/>
              <w:bidi w:val="0"/>
              <w:spacing w:before="0" w:after="283"/>
              <w:jc w:val="center"/>
              <w:rPr>
                <w:b/>
                <w:color w:val="3E3935"/>
              </w:rPr>
            </w:pPr>
            <w:r>
              <w:rPr>
                <w:b/>
                <w:color w:val="3E3935"/>
              </w:rPr>
              <w:t>A:</w:t>
            </w:r>
          </w:p>
        </w:tc>
        <w:tc>
          <w:tcPr>
            <w:tcW w:w="124" w:type="dxa"/>
            <w:tcBorders/>
            <w:shd w:fill="CCF2F8" w:val="clear"/>
            <w:vAlign w:val="center"/>
          </w:tcPr>
          <w:p>
            <w:pPr>
              <w:pStyle w:val="TableContents"/>
              <w:bidi w:val="0"/>
              <w:spacing w:before="0" w:after="283"/>
              <w:jc w:val="left"/>
              <w:rPr/>
            </w:pPr>
            <w:r>
              <w:rPr/>
              <w:t>  </w:t>
            </w:r>
          </w:p>
        </w:tc>
        <w:tc>
          <w:tcPr>
            <w:tcW w:w="7729" w:type="dxa"/>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Building on what we learned last year, 2024 will be a year focused on our four strategic pillars as laid out in the Board’s letter to shareholders at the beginning of this Proxy Statement. I believe our execution will drive strong near-term financial results and long-term shareholder value while executing against our capital allocation framework by investing smartly in our future, maintaining a strong balance sheet, and continuing to return capital to shareholders.</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84"/>
        <w:gridCol w:w="120"/>
        <w:gridCol w:w="23"/>
        <w:gridCol w:w="23"/>
        <w:gridCol w:w="23"/>
        <w:gridCol w:w="60"/>
        <w:gridCol w:w="3027"/>
        <w:gridCol w:w="557"/>
        <w:gridCol w:w="172"/>
        <w:gridCol w:w="356"/>
        <w:gridCol w:w="4360"/>
      </w:tblGrid>
      <w:tr>
        <w:trPr/>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60" w:type="dxa"/>
            <w:tcBorders/>
            <w:vAlign w:val="center"/>
          </w:tcPr>
          <w:p>
            <w:pPr>
              <w:pStyle w:val="TableContents"/>
              <w:bidi w:val="0"/>
              <w:spacing w:before="0" w:after="283"/>
              <w:jc w:val="left"/>
              <w:rPr>
                <w:sz w:val="4"/>
                <w:szCs w:val="4"/>
              </w:rPr>
            </w:pPr>
            <w:r>
              <w:rPr>
                <w:sz w:val="4"/>
                <w:szCs w:val="4"/>
              </w:rPr>
            </w:r>
          </w:p>
        </w:tc>
      </w:tr>
      <w:tr>
        <w:trPr/>
        <w:tc>
          <w:tcPr>
            <w:tcW w:w="1484" w:type="dxa"/>
            <w:vMerge w:val="restart"/>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21285" cy="121285"/>
                  <wp:effectExtent l="0" t="0" r="0" b="0"/>
                  <wp:docPr id="6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7" descr=""/>
                          <pic:cNvPicPr>
                            <a:picLocks noChangeAspect="1" noChangeArrowheads="1"/>
                          </pic:cNvPicPr>
                        </pic:nvPicPr>
                        <pic:blipFill>
                          <a:blip r:embed="rId63"/>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Chair, Hewlett Packard Enterprise Company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71</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2009</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Female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Compensation</w:t>
            </w:r>
          </w:p>
          <w:p>
            <w:pPr>
              <w:pStyle w:val="TableContents"/>
              <w:bidi w:val="0"/>
              <w:spacing w:before="0" w:after="0"/>
              <w:jc w:val="left"/>
              <w:rPr>
                <w:rFonts w:ascii="arial" w:hAnsi="arial"/>
                <w:color w:val="3E3935"/>
                <w:sz w:val="18"/>
              </w:rPr>
            </w:pPr>
            <w:r>
              <w:rPr>
                <w:rFonts w:ascii="arial" w:hAnsi="arial"/>
                <w:color w:val="3E3935"/>
                <w:sz w:val="18"/>
              </w:rPr>
              <w:t>Executive</w:t>
            </w:r>
          </w:p>
          <w:p>
            <w:pPr>
              <w:pStyle w:val="TableContents"/>
              <w:bidi w:val="0"/>
              <w:spacing w:before="0" w:after="0"/>
              <w:jc w:val="left"/>
              <w:rPr>
                <w:rFonts w:ascii="arial" w:hAnsi="arial"/>
                <w:color w:val="3E3935"/>
                <w:sz w:val="18"/>
              </w:rPr>
            </w:pPr>
            <w:r>
              <w:rPr>
                <w:rFonts w:ascii="arial" w:hAnsi="arial"/>
                <w:color w:val="3E3935"/>
                <w:sz w:val="18"/>
              </w:rPr>
              <w:t>Finance</w:t>
            </w:r>
          </w:p>
          <w:p>
            <w:pPr>
              <w:pStyle w:val="TableContents"/>
              <w:bidi w:val="0"/>
              <w:spacing w:before="0" w:after="0"/>
              <w:jc w:val="left"/>
              <w:rPr>
                <w:rFonts w:ascii="arial" w:hAnsi="arial"/>
                <w:color w:val="3E3935"/>
                <w:sz w:val="18"/>
              </w:rPr>
            </w:pPr>
            <w:r>
              <w:rPr>
                <w:rFonts w:ascii="arial" w:hAnsi="arial"/>
                <w:color w:val="3E3935"/>
                <w:sz w:val="18"/>
              </w:rPr>
              <w:t>Governance (Chair)</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Vehicle:</w:t>
            </w:r>
          </w:p>
          <w:p>
            <w:pPr>
              <w:pStyle w:val="TableContents"/>
              <w:bidi w:val="0"/>
              <w:spacing w:before="0" w:after="20"/>
              <w:jc w:val="left"/>
              <w:rPr>
                <w:rFonts w:ascii="arial" w:hAnsi="arial"/>
                <w:color w:val="3E3935"/>
                <w:sz w:val="18"/>
              </w:rPr>
            </w:pPr>
            <w:r>
              <w:rPr>
                <w:rFonts w:ascii="arial" w:hAnsi="arial"/>
                <w:color w:val="3E3935"/>
                <w:sz w:val="18"/>
              </w:rPr>
              <w:t>Cadillac Lyriq</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6" w:type="dxa"/>
            <w:gridSpan w:val="3"/>
            <w:tcBorders/>
            <w:vAlign w:val="center"/>
          </w:tcPr>
          <w:p>
            <w:pPr>
              <w:pStyle w:val="TableContents"/>
              <w:bidi w:val="0"/>
              <w:spacing w:before="0" w:after="283"/>
              <w:jc w:val="left"/>
              <w:rPr>
                <w:b/>
                <w:color w:val="3E3935"/>
                <w:sz w:val="32"/>
              </w:rPr>
            </w:pPr>
            <w:r>
              <w:rPr>
                <w:b/>
                <w:color w:val="3E3935"/>
                <w:sz w:val="32"/>
              </w:rPr>
              <w:t>Patricia F. Russo</w:t>
            </w:r>
          </w:p>
        </w:tc>
        <w:tc>
          <w:tcPr>
            <w:tcW w:w="35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6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8" descr=""/>
                          <pic:cNvPicPr>
                            <a:picLocks noChangeAspect="1" noChangeArrowheads="1"/>
                          </pic:cNvPicPr>
                        </pic:nvPicPr>
                        <pic:blipFill>
                          <a:blip r:embed="rId64"/>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72"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Ms. Russo has served as the Chair of the Hewlett-Packard Enterprise Company’s (“HPE”) board of directors since her appointment in 2015. She also served as Lead Director of HPE from 2014 to 2015. Ms. Russo was GM’s Independent Lead Director from March 2010 to January 2014, and in 2021, she was re-appointed to that role. Ms. Russo served as CEO of Alcatel-Lucent S.A. from 2006 to 2008; Chairman and CEO of Lucent Technologies, Inc. from 2003 to 2006; and President and CEO of Lucent Technologies from 2002 to 2006.</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Ms. Russo has extensive senior leadership experience in corporate strategy, finance, sales and marketing, technology, and leadership development, as well as experience managing business-critical technology disruptions. Through her deep governance expertise – in particular, board governance – she works with management to develop enhanced disclosures and incorporate shareholder feedback.</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Hewlett Packard Enterprise Company (Chair), KKR Management LLC, and Merck &amp; Co. Inc.</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None</w:t>
            </w:r>
          </w:p>
          <w:p>
            <w:pPr>
              <w:pStyle w:val="TableContents"/>
              <w:bidi w:val="0"/>
              <w:spacing w:before="0" w:after="20"/>
              <w:jc w:val="left"/>
              <w:rPr/>
            </w:pPr>
            <w:r>
              <w:rPr/>
              <w:t> </w:t>
            </w:r>
          </w:p>
        </w:tc>
      </w:tr>
      <w:tr>
        <w:trPr/>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557" w:type="dxa"/>
            <w:tcBorders/>
            <w:vAlign w:val="center"/>
          </w:tcPr>
          <w:p>
            <w:pPr>
              <w:pStyle w:val="TableContents"/>
              <w:bidi w:val="0"/>
              <w:spacing w:before="0" w:after="283"/>
              <w:jc w:val="left"/>
              <w:rPr/>
            </w:pPr>
            <w:r>
              <w:rPr/>
              <w:t>  </w:t>
            </w:r>
          </w:p>
        </w:tc>
        <w:tc>
          <w:tcPr>
            <w:tcW w:w="4888" w:type="dxa"/>
            <w:gridSpan w:val="3"/>
            <w:tcBorders/>
            <w:vAlign w:val="center"/>
          </w:tcPr>
          <w:p>
            <w:pPr>
              <w:pStyle w:val="TableContents"/>
              <w:bidi w:val="0"/>
              <w:spacing w:before="0" w:after="0"/>
              <w:jc w:val="both"/>
              <w:rPr/>
            </w:pPr>
            <w:r>
              <w:rPr/>
              <w:drawing>
                <wp:inline distT="0" distB="0" distL="0" distR="0">
                  <wp:extent cx="26670" cy="28575"/>
                  <wp:effectExtent l="0" t="0" r="0" b="0"/>
                  <wp:docPr id="6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9" descr=""/>
                          <pic:cNvPicPr>
                            <a:picLocks noChangeAspect="1" noChangeArrowheads="1"/>
                          </pic:cNvPicPr>
                        </pic:nvPicPr>
                        <pic:blipFill>
                          <a:blip r:embed="rId65"/>
                          <a:stretch>
                            <a:fillRect/>
                          </a:stretch>
                        </pic:blipFill>
                        <pic:spPr bwMode="auto">
                          <a:xfrm>
                            <a:off x="0" y="0"/>
                            <a:ext cx="26670" cy="28575"/>
                          </a:xfrm>
                          <a:prstGeom prst="rect">
                            <a:avLst/>
                          </a:prstGeom>
                        </pic:spPr>
                      </pic:pic>
                    </a:graphicData>
                  </a:graphic>
                </wp:inline>
              </w:drawing>
            </w:r>
            <w:r>
              <w:rPr/>
              <w:t xml:space="preserve">    </w:t>
            </w:r>
            <w:r>
              <w:rPr/>
              <w:drawing>
                <wp:inline distT="0" distB="0" distL="0" distR="0">
                  <wp:extent cx="36195" cy="26670"/>
                  <wp:effectExtent l="0" t="0" r="0" b="0"/>
                  <wp:docPr id="6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0" descr=""/>
                          <pic:cNvPicPr>
                            <a:picLocks noChangeAspect="1" noChangeArrowheads="1"/>
                          </pic:cNvPicPr>
                        </pic:nvPicPr>
                        <pic:blipFill>
                          <a:blip r:embed="rId66"/>
                          <a:stretch>
                            <a:fillRect/>
                          </a:stretch>
                        </pic:blipFill>
                        <pic:spPr bwMode="auto">
                          <a:xfrm>
                            <a:off x="0" y="0"/>
                            <a:ext cx="36195" cy="26670"/>
                          </a:xfrm>
                          <a:prstGeom prst="rect">
                            <a:avLst/>
                          </a:prstGeom>
                        </pic:spPr>
                      </pic:pic>
                    </a:graphicData>
                  </a:graphic>
                </wp:inline>
              </w:drawing>
            </w:r>
            <w:r>
              <w:rPr/>
              <w:t xml:space="preserve">    </w:t>
            </w:r>
            <w:r>
              <w:rPr/>
              <w:drawing>
                <wp:inline distT="0" distB="0" distL="0" distR="0">
                  <wp:extent cx="32385" cy="24765"/>
                  <wp:effectExtent l="0" t="0" r="0" b="0"/>
                  <wp:docPr id="7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1" descr=""/>
                          <pic:cNvPicPr>
                            <a:picLocks noChangeAspect="1" noChangeArrowheads="1"/>
                          </pic:cNvPicPr>
                        </pic:nvPicPr>
                        <pic:blipFill>
                          <a:blip r:embed="rId67"/>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7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2" descr=""/>
                          <pic:cNvPicPr>
                            <a:picLocks noChangeAspect="1" noChangeArrowheads="1"/>
                          </pic:cNvPicPr>
                        </pic:nvPicPr>
                        <pic:blipFill>
                          <a:blip r:embed="rId68"/>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7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3" descr=""/>
                          <pic:cNvPicPr>
                            <a:picLocks noChangeAspect="1" noChangeArrowheads="1"/>
                          </pic:cNvPicPr>
                        </pic:nvPicPr>
                        <pic:blipFill>
                          <a:blip r:embed="rId69"/>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30480" cy="24765"/>
                  <wp:effectExtent l="0" t="0" r="0" b="0"/>
                  <wp:docPr id="7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4" descr=""/>
                          <pic:cNvPicPr>
                            <a:picLocks noChangeAspect="1" noChangeArrowheads="1"/>
                          </pic:cNvPicPr>
                        </pic:nvPicPr>
                        <pic:blipFill>
                          <a:blip r:embed="rId70"/>
                          <a:stretch>
                            <a:fillRect/>
                          </a:stretch>
                        </pic:blipFill>
                        <pic:spPr bwMode="auto">
                          <a:xfrm>
                            <a:off x="0" y="0"/>
                            <a:ext cx="30480" cy="24765"/>
                          </a:xfrm>
                          <a:prstGeom prst="rect">
                            <a:avLst/>
                          </a:prstGeom>
                        </pic:spPr>
                      </pic:pic>
                    </a:graphicData>
                  </a:graphic>
                </wp:inline>
              </w:drawing>
            </w:r>
            <w:r>
              <w:rPr/>
              <w:t xml:space="preserve">    </w:t>
            </w:r>
            <w:r>
              <w:rPr/>
              <w:drawing>
                <wp:inline distT="0" distB="0" distL="0" distR="0">
                  <wp:extent cx="22860" cy="27940"/>
                  <wp:effectExtent l="0" t="0" r="0" b="0"/>
                  <wp:docPr id="7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5" descr=""/>
                          <pic:cNvPicPr>
                            <a:picLocks noChangeAspect="1" noChangeArrowheads="1"/>
                          </pic:cNvPicPr>
                        </pic:nvPicPr>
                        <pic:blipFill>
                          <a:blip r:embed="rId71"/>
                          <a:stretch>
                            <a:fillRect/>
                          </a:stretch>
                        </pic:blipFill>
                        <pic:spPr bwMode="auto">
                          <a:xfrm>
                            <a:off x="0" y="0"/>
                            <a:ext cx="22860" cy="27940"/>
                          </a:xfrm>
                          <a:prstGeom prst="rect">
                            <a:avLst/>
                          </a:prstGeom>
                        </pic:spPr>
                      </pic:pic>
                    </a:graphicData>
                  </a:graphic>
                </wp:inline>
              </w:drawing>
            </w:r>
            <w:r>
              <w:rPr/>
              <w:t xml:space="preserve"> </w:t>
            </w:r>
          </w:p>
        </w:tc>
      </w:tr>
      <w:tr>
        <w:trPr/>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027"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557" w:type="dxa"/>
            <w:tcBorders/>
            <w:shd w:fill="CCF2F8" w:val="clear"/>
            <w:vAlign w:val="center"/>
          </w:tcPr>
          <w:p>
            <w:pPr>
              <w:pStyle w:val="TableContents"/>
              <w:bidi w:val="0"/>
              <w:spacing w:before="0" w:after="283"/>
              <w:jc w:val="left"/>
              <w:rPr/>
            </w:pPr>
            <w:r>
              <w:rPr/>
              <w:t>  </w:t>
            </w:r>
          </w:p>
        </w:tc>
        <w:tc>
          <w:tcPr>
            <w:tcW w:w="4888" w:type="dxa"/>
            <w:gridSpan w:val="3"/>
            <w:tcBorders/>
            <w:shd w:fill="CCF2F8" w:val="clear"/>
            <w:vAlign w:val="center"/>
          </w:tcPr>
          <w:p>
            <w:pPr>
              <w:pStyle w:val="TableContents"/>
              <w:bidi w:val="0"/>
              <w:spacing w:before="0" w:after="0"/>
              <w:jc w:val="left"/>
              <w:rPr/>
            </w:pPr>
            <w:r>
              <w:rPr/>
              <w:t> </w:t>
            </w:r>
          </w:p>
          <w:p>
            <w:pPr>
              <w:pStyle w:val="TableContents"/>
              <w:bidi w:val="0"/>
              <w:spacing w:before="0" w:after="20"/>
              <w:jc w:val="both"/>
              <w:rPr>
                <w:rFonts w:ascii="arial" w:hAnsi="arial"/>
                <w:b/>
                <w:color w:val="0071CE"/>
                <w:sz w:val="18"/>
              </w:rPr>
            </w:pPr>
            <w:r>
              <w:rPr>
                <w:rFonts w:ascii="arial" w:hAnsi="arial"/>
                <w:b/>
                <w:color w:val="0071CE"/>
                <w:sz w:val="18"/>
              </w:rPr>
              <w:t>GM has added three new directors since 2022, what does the Board look for in its searches?</w:t>
            </w:r>
          </w:p>
        </w:tc>
      </w:tr>
      <w:tr>
        <w:trPr/>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027" w:type="dxa"/>
            <w:tcBorders/>
            <w:shd w:fill="CCF2F8" w:val="clear"/>
            <w:vAlign w:val="center"/>
          </w:tcPr>
          <w:p>
            <w:pPr>
              <w:pStyle w:val="TableContents"/>
              <w:bidi w:val="0"/>
              <w:spacing w:before="0" w:after="283"/>
              <w:jc w:val="center"/>
              <w:rPr>
                <w:b/>
                <w:color w:val="3E3935"/>
              </w:rPr>
            </w:pPr>
            <w:r>
              <w:rPr>
                <w:b/>
                <w:color w:val="3E3935"/>
              </w:rPr>
              <w:t>A:</w:t>
            </w:r>
          </w:p>
        </w:tc>
        <w:tc>
          <w:tcPr>
            <w:tcW w:w="557" w:type="dxa"/>
            <w:tcBorders/>
            <w:shd w:fill="CCF2F8" w:val="clear"/>
            <w:vAlign w:val="center"/>
          </w:tcPr>
          <w:p>
            <w:pPr>
              <w:pStyle w:val="TableContents"/>
              <w:bidi w:val="0"/>
              <w:spacing w:before="0" w:after="283"/>
              <w:jc w:val="left"/>
              <w:rPr/>
            </w:pPr>
            <w:r>
              <w:rPr/>
              <w:t>  </w:t>
            </w:r>
          </w:p>
        </w:tc>
        <w:tc>
          <w:tcPr>
            <w:tcW w:w="4888"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More diverse perspectives in the boardroom leads to more robust dialogue and drives better decisions. The Governance Committee has been focused on building the right mix of skills and perspectives on things like industry disruption, technology, artificial intelligence, and global competition. The key is to make sure our director recruitment criteria evolve alongside the business strategy and responds to market challenges.</w:t>
            </w:r>
          </w:p>
        </w:tc>
      </w:tr>
    </w:tbl>
    <w:p>
      <w:pPr>
        <w:pStyle w:val="TextBody"/>
        <w:bidi w:val="0"/>
        <w:spacing w:before="0" w:after="0"/>
        <w:jc w:val="left"/>
        <w:rPr/>
      </w:pPr>
      <w:r>
        <w:rPr/>
        <w:t> </w:t>
      </w:r>
    </w:p>
    <w:tbl>
      <w:tblPr>
        <w:tblW w:w="8791" w:type="dxa"/>
        <w:jc w:val="left"/>
        <w:tblInd w:w="0" w:type="dxa"/>
        <w:tblLayout w:type="fixed"/>
        <w:tblCellMar>
          <w:top w:w="0" w:type="dxa"/>
          <w:left w:w="0" w:type="dxa"/>
          <w:bottom w:w="0" w:type="dxa"/>
          <w:right w:w="0" w:type="dxa"/>
        </w:tblCellMar>
      </w:tblPr>
      <w:tblGrid>
        <w:gridCol w:w="38"/>
        <w:gridCol w:w="60"/>
        <w:gridCol w:w="23"/>
        <w:gridCol w:w="60"/>
        <w:gridCol w:w="57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11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583"/>
        <w:gridCol w:w="120"/>
        <w:gridCol w:w="23"/>
        <w:gridCol w:w="23"/>
        <w:gridCol w:w="23"/>
        <w:gridCol w:w="60"/>
        <w:gridCol w:w="2434"/>
        <w:gridCol w:w="448"/>
        <w:gridCol w:w="179"/>
        <w:gridCol w:w="399"/>
        <w:gridCol w:w="4913"/>
      </w:tblGrid>
      <w:tr>
        <w:trPr/>
        <w:tc>
          <w:tcPr>
            <w:tcW w:w="15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913" w:type="dxa"/>
            <w:tcBorders/>
            <w:vAlign w:val="center"/>
          </w:tcPr>
          <w:p>
            <w:pPr>
              <w:pStyle w:val="TableContents"/>
              <w:bidi w:val="0"/>
              <w:spacing w:before="0" w:after="283"/>
              <w:jc w:val="left"/>
              <w:rPr>
                <w:sz w:val="4"/>
                <w:szCs w:val="4"/>
              </w:rPr>
            </w:pPr>
            <w:r>
              <w:rPr>
                <w:sz w:val="4"/>
                <w:szCs w:val="4"/>
              </w:rPr>
            </w:r>
          </w:p>
        </w:tc>
      </w:tr>
      <w:tr>
        <w:trPr/>
        <w:tc>
          <w:tcPr>
            <w:tcW w:w="1583" w:type="dxa"/>
            <w:vMerge w:val="restart"/>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21285" cy="121285"/>
                  <wp:effectExtent l="0" t="0" r="0" b="0"/>
                  <wp:docPr id="7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6" descr=""/>
                          <pic:cNvPicPr>
                            <a:picLocks noChangeAspect="1" noChangeArrowheads="1"/>
                          </pic:cNvPicPr>
                        </pic:nvPicPr>
                        <pic:blipFill>
                          <a:blip r:embed="rId72"/>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rFonts w:ascii="arial" w:hAnsi="arial"/>
                <w:color w:val="3E3935"/>
                <w:sz w:val="18"/>
              </w:rPr>
            </w:pPr>
            <w:r>
              <w:rPr>
                <w:rFonts w:ascii="arial" w:hAnsi="arial"/>
                <w:color w:val="3E3935"/>
                <w:sz w:val="18"/>
              </w:rPr>
              <w:t>Retired Chairman and CEO, Northrop Grumman Corporation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63</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2019</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Audit</w:t>
            </w:r>
          </w:p>
          <w:p>
            <w:pPr>
              <w:pStyle w:val="TableContents"/>
              <w:bidi w:val="0"/>
              <w:spacing w:before="0" w:after="0"/>
              <w:jc w:val="left"/>
              <w:rPr>
                <w:rFonts w:ascii="arial" w:hAnsi="arial"/>
                <w:color w:val="3E3935"/>
                <w:sz w:val="18"/>
              </w:rPr>
            </w:pPr>
            <w:r>
              <w:rPr>
                <w:rFonts w:ascii="arial" w:hAnsi="arial"/>
                <w:color w:val="3E3935"/>
                <w:sz w:val="18"/>
              </w:rPr>
              <w:t>Compensation (Chair)</w:t>
            </w:r>
          </w:p>
          <w:p>
            <w:pPr>
              <w:pStyle w:val="TableContents"/>
              <w:bidi w:val="0"/>
              <w:spacing w:before="0" w:after="0"/>
              <w:jc w:val="left"/>
              <w:rPr>
                <w:rFonts w:ascii="arial" w:hAnsi="arial"/>
                <w:color w:val="3E3935"/>
                <w:sz w:val="18"/>
              </w:rPr>
            </w:pPr>
            <w:r>
              <w:rPr>
                <w:rFonts w:ascii="arial" w:hAnsi="arial"/>
                <w:color w:val="3E3935"/>
                <w:sz w:val="18"/>
              </w:rPr>
              <w:t>Executive</w:t>
            </w:r>
          </w:p>
          <w:p>
            <w:pPr>
              <w:pStyle w:val="TableContents"/>
              <w:bidi w:val="0"/>
              <w:spacing w:before="0" w:after="0"/>
              <w:jc w:val="left"/>
              <w:rPr>
                <w:rFonts w:ascii="arial" w:hAnsi="arial"/>
                <w:color w:val="3E3935"/>
                <w:sz w:val="18"/>
              </w:rPr>
            </w:pPr>
            <w:r>
              <w:rPr>
                <w:rFonts w:ascii="arial" w:hAnsi="arial"/>
                <w:color w:val="3E3935"/>
                <w:sz w:val="18"/>
              </w:rPr>
              <w:t>Finance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Vehicle:</w:t>
            </w:r>
          </w:p>
          <w:p>
            <w:pPr>
              <w:pStyle w:val="TableContents"/>
              <w:bidi w:val="0"/>
              <w:spacing w:before="0" w:after="20"/>
              <w:jc w:val="left"/>
              <w:rPr>
                <w:rFonts w:ascii="arial" w:hAnsi="arial"/>
                <w:color w:val="3E3935"/>
                <w:sz w:val="18"/>
              </w:rPr>
            </w:pPr>
            <w:r>
              <w:rPr>
                <w:rFonts w:ascii="arial" w:hAnsi="arial"/>
                <w:color w:val="3E3935"/>
                <w:sz w:val="18"/>
              </w:rPr>
              <w:t>Chevrolet Silverado</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61" w:type="dxa"/>
            <w:gridSpan w:val="3"/>
            <w:tcBorders/>
            <w:vAlign w:val="center"/>
          </w:tcPr>
          <w:p>
            <w:pPr>
              <w:pStyle w:val="TableContents"/>
              <w:bidi w:val="0"/>
              <w:spacing w:before="0" w:after="283"/>
              <w:jc w:val="left"/>
              <w:rPr>
                <w:b/>
                <w:color w:val="3E3935"/>
                <w:sz w:val="32"/>
              </w:rPr>
            </w:pPr>
            <w:r>
              <w:rPr>
                <w:b/>
                <w:color w:val="3E3935"/>
                <w:sz w:val="32"/>
              </w:rPr>
              <w:t>Wesley G. Bush</w:t>
            </w:r>
          </w:p>
        </w:tc>
        <w:tc>
          <w:tcPr>
            <w:tcW w:w="399" w:type="dxa"/>
            <w:tcBorders/>
            <w:vAlign w:val="center"/>
          </w:tcPr>
          <w:p>
            <w:pPr>
              <w:pStyle w:val="TableContents"/>
              <w:bidi w:val="0"/>
              <w:spacing w:before="0" w:after="283"/>
              <w:jc w:val="left"/>
              <w:rPr/>
            </w:pPr>
            <w:r>
              <w:rPr/>
              <w:t>  </w:t>
            </w:r>
          </w:p>
        </w:tc>
        <w:tc>
          <w:tcPr>
            <w:tcW w:w="4913"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7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7" descr=""/>
                          <pic:cNvPicPr>
                            <a:picLocks noChangeAspect="1" noChangeArrowheads="1"/>
                          </pic:cNvPicPr>
                        </pic:nvPicPr>
                        <pic:blipFill>
                          <a:blip r:embed="rId73"/>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58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73"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xml:space="preserve"> Mr. Bush served as Chairman of Northrop Grumman’s board of directors from 2011 to 2019. He also served as the CEO of Northrop Grumman from 2010 to 2018. Prior to that, Mr. Bush served in numerous leadership roles at Northrop Grumman, including President and Chief Operating Officer, CFO, and President of the company’s Space Technology sector. He also served in a variety of leadership positions at TRW, Inc., before it was acquired by Northrop Grumman in 2002.</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xml:space="preserve"> Mr. Bush has valuable experience in leading a manufacturing enterprise known for its advanced engineering and technology. He also has strong financial acumen gained through his finance leadership roles and has knowledge of key governance issues, including risk management and executive compensation plan design. Mr. Bush has also developed environmental experience as a member of the board of Conservation International.</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Dow Inc. and Cisco Systems Inc.</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Norfolk Southern Corporation and Northrop Grumman Corporation</w:t>
            </w:r>
          </w:p>
          <w:p>
            <w:pPr>
              <w:pStyle w:val="TableContents"/>
              <w:bidi w:val="0"/>
              <w:spacing w:before="0" w:after="20"/>
              <w:jc w:val="left"/>
              <w:rPr/>
            </w:pPr>
            <w:r>
              <w:rPr/>
              <w:t> </w:t>
            </w:r>
          </w:p>
        </w:tc>
      </w:tr>
      <w:tr>
        <w:trPr/>
        <w:tc>
          <w:tcPr>
            <w:tcW w:w="158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4"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448" w:type="dxa"/>
            <w:tcBorders/>
            <w:vAlign w:val="center"/>
          </w:tcPr>
          <w:p>
            <w:pPr>
              <w:pStyle w:val="TableContents"/>
              <w:bidi w:val="0"/>
              <w:spacing w:before="0" w:after="283"/>
              <w:jc w:val="left"/>
              <w:rPr/>
            </w:pPr>
            <w:r>
              <w:rPr/>
              <w:t>  </w:t>
            </w:r>
          </w:p>
        </w:tc>
        <w:tc>
          <w:tcPr>
            <w:tcW w:w="5491" w:type="dxa"/>
            <w:gridSpan w:val="3"/>
            <w:tcBorders/>
            <w:vAlign w:val="center"/>
          </w:tcPr>
          <w:p>
            <w:pPr>
              <w:pStyle w:val="TableContents"/>
              <w:bidi w:val="0"/>
              <w:spacing w:before="0" w:after="0"/>
              <w:jc w:val="both"/>
              <w:rPr/>
            </w:pPr>
            <w:r>
              <w:rPr/>
              <w:drawing>
                <wp:inline distT="0" distB="0" distL="0" distR="0">
                  <wp:extent cx="26670" cy="28575"/>
                  <wp:effectExtent l="0" t="0" r="0" b="0"/>
                  <wp:docPr id="7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8" descr=""/>
                          <pic:cNvPicPr>
                            <a:picLocks noChangeAspect="1" noChangeArrowheads="1"/>
                          </pic:cNvPicPr>
                        </pic:nvPicPr>
                        <pic:blipFill>
                          <a:blip r:embed="rId74"/>
                          <a:stretch>
                            <a:fillRect/>
                          </a:stretch>
                        </pic:blipFill>
                        <pic:spPr bwMode="auto">
                          <a:xfrm>
                            <a:off x="0" y="0"/>
                            <a:ext cx="26670" cy="28575"/>
                          </a:xfrm>
                          <a:prstGeom prst="rect">
                            <a:avLst/>
                          </a:prstGeom>
                        </pic:spPr>
                      </pic:pic>
                    </a:graphicData>
                  </a:graphic>
                </wp:inline>
              </w:drawing>
            </w:r>
            <w:r>
              <w:rPr/>
              <w:t xml:space="preserve">    </w:t>
            </w:r>
            <w:r>
              <w:rPr/>
              <w:drawing>
                <wp:inline distT="0" distB="0" distL="0" distR="0">
                  <wp:extent cx="36195" cy="26670"/>
                  <wp:effectExtent l="0" t="0" r="0" b="0"/>
                  <wp:docPr id="7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9" descr=""/>
                          <pic:cNvPicPr>
                            <a:picLocks noChangeAspect="1" noChangeArrowheads="1"/>
                          </pic:cNvPicPr>
                        </pic:nvPicPr>
                        <pic:blipFill>
                          <a:blip r:embed="rId75"/>
                          <a:stretch>
                            <a:fillRect/>
                          </a:stretch>
                        </pic:blipFill>
                        <pic:spPr bwMode="auto">
                          <a:xfrm>
                            <a:off x="0" y="0"/>
                            <a:ext cx="36195" cy="26670"/>
                          </a:xfrm>
                          <a:prstGeom prst="rect">
                            <a:avLst/>
                          </a:prstGeom>
                        </pic:spPr>
                      </pic:pic>
                    </a:graphicData>
                  </a:graphic>
                </wp:inline>
              </w:drawing>
            </w:r>
            <w:r>
              <w:rPr/>
              <w:t xml:space="preserve">    </w:t>
            </w:r>
            <w:r>
              <w:rPr/>
              <w:drawing>
                <wp:inline distT="0" distB="0" distL="0" distR="0">
                  <wp:extent cx="32385" cy="24765"/>
                  <wp:effectExtent l="0" t="0" r="0" b="0"/>
                  <wp:docPr id="7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0" descr=""/>
                          <pic:cNvPicPr>
                            <a:picLocks noChangeAspect="1" noChangeArrowheads="1"/>
                          </pic:cNvPicPr>
                        </pic:nvPicPr>
                        <pic:blipFill>
                          <a:blip r:embed="rId76"/>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8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1" descr=""/>
                          <pic:cNvPicPr>
                            <a:picLocks noChangeAspect="1" noChangeArrowheads="1"/>
                          </pic:cNvPicPr>
                        </pic:nvPicPr>
                        <pic:blipFill>
                          <a:blip r:embed="rId77"/>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8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2" descr=""/>
                          <pic:cNvPicPr>
                            <a:picLocks noChangeAspect="1" noChangeArrowheads="1"/>
                          </pic:cNvPicPr>
                        </pic:nvPicPr>
                        <pic:blipFill>
                          <a:blip r:embed="rId78"/>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34290" cy="24765"/>
                  <wp:effectExtent l="0" t="0" r="0" b="0"/>
                  <wp:docPr id="8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3" descr=""/>
                          <pic:cNvPicPr>
                            <a:picLocks noChangeAspect="1" noChangeArrowheads="1"/>
                          </pic:cNvPicPr>
                        </pic:nvPicPr>
                        <pic:blipFill>
                          <a:blip r:embed="rId79"/>
                          <a:stretch>
                            <a:fillRect/>
                          </a:stretch>
                        </pic:blipFill>
                        <pic:spPr bwMode="auto">
                          <a:xfrm>
                            <a:off x="0" y="0"/>
                            <a:ext cx="34290" cy="24765"/>
                          </a:xfrm>
                          <a:prstGeom prst="rect">
                            <a:avLst/>
                          </a:prstGeom>
                        </pic:spPr>
                      </pic:pic>
                    </a:graphicData>
                  </a:graphic>
                </wp:inline>
              </w:drawing>
            </w:r>
            <w:r>
              <w:rPr/>
              <w:t xml:space="preserve">    </w:t>
            </w:r>
            <w:r>
              <w:rPr/>
              <w:drawing>
                <wp:inline distT="0" distB="0" distL="0" distR="0">
                  <wp:extent cx="22860" cy="27940"/>
                  <wp:effectExtent l="0" t="0" r="0" b="0"/>
                  <wp:docPr id="8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4" descr=""/>
                          <pic:cNvPicPr>
                            <a:picLocks noChangeAspect="1" noChangeArrowheads="1"/>
                          </pic:cNvPicPr>
                        </pic:nvPicPr>
                        <pic:blipFill>
                          <a:blip r:embed="rId80"/>
                          <a:stretch>
                            <a:fillRect/>
                          </a:stretch>
                        </pic:blipFill>
                        <pic:spPr bwMode="auto">
                          <a:xfrm>
                            <a:off x="0" y="0"/>
                            <a:ext cx="22860" cy="27940"/>
                          </a:xfrm>
                          <a:prstGeom prst="rect">
                            <a:avLst/>
                          </a:prstGeom>
                        </pic:spPr>
                      </pic:pic>
                    </a:graphicData>
                  </a:graphic>
                </wp:inline>
              </w:drawing>
            </w:r>
            <w:r>
              <w:rPr/>
              <w:t xml:space="preserve"> </w:t>
            </w:r>
          </w:p>
        </w:tc>
      </w:tr>
      <w:tr>
        <w:trPr/>
        <w:tc>
          <w:tcPr>
            <w:tcW w:w="158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434"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448" w:type="dxa"/>
            <w:tcBorders/>
            <w:shd w:fill="CCF2F8" w:val="clear"/>
            <w:vAlign w:val="center"/>
          </w:tcPr>
          <w:p>
            <w:pPr>
              <w:pStyle w:val="TableContents"/>
              <w:bidi w:val="0"/>
              <w:spacing w:before="0" w:after="283"/>
              <w:jc w:val="left"/>
              <w:rPr/>
            </w:pPr>
            <w:r>
              <w:rPr/>
              <w:t>  </w:t>
            </w:r>
          </w:p>
        </w:tc>
        <w:tc>
          <w:tcPr>
            <w:tcW w:w="5491" w:type="dxa"/>
            <w:gridSpan w:val="3"/>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both"/>
              <w:rPr>
                <w:rFonts w:ascii="arial" w:hAnsi="arial"/>
                <w:b/>
                <w:color w:val="0071CE"/>
                <w:sz w:val="18"/>
              </w:rPr>
            </w:pPr>
            <w:r>
              <w:rPr>
                <w:rFonts w:ascii="arial" w:hAnsi="arial"/>
                <w:b/>
                <w:color w:val="0071CE"/>
                <w:sz w:val="18"/>
              </w:rPr>
              <w:t>How has the Board helped management attract new executive talent?</w:t>
            </w:r>
          </w:p>
        </w:tc>
      </w:tr>
      <w:tr>
        <w:trPr/>
        <w:tc>
          <w:tcPr>
            <w:tcW w:w="158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434" w:type="dxa"/>
            <w:tcBorders/>
            <w:shd w:fill="CCF2F8" w:val="clear"/>
            <w:vAlign w:val="center"/>
          </w:tcPr>
          <w:p>
            <w:pPr>
              <w:pStyle w:val="TableContents"/>
              <w:bidi w:val="0"/>
              <w:spacing w:before="0" w:after="283"/>
              <w:jc w:val="center"/>
              <w:rPr>
                <w:b/>
                <w:color w:val="3E3935"/>
              </w:rPr>
            </w:pPr>
            <w:r>
              <w:rPr>
                <w:b/>
                <w:color w:val="3E3935"/>
              </w:rPr>
              <w:t>A:</w:t>
            </w:r>
          </w:p>
        </w:tc>
        <w:tc>
          <w:tcPr>
            <w:tcW w:w="448" w:type="dxa"/>
            <w:tcBorders/>
            <w:shd w:fill="CCF2F8" w:val="clear"/>
            <w:vAlign w:val="center"/>
          </w:tcPr>
          <w:p>
            <w:pPr>
              <w:pStyle w:val="TableContents"/>
              <w:bidi w:val="0"/>
              <w:spacing w:before="0" w:after="283"/>
              <w:jc w:val="left"/>
              <w:rPr/>
            </w:pPr>
            <w:r>
              <w:rPr/>
              <w:t>  </w:t>
            </w:r>
          </w:p>
        </w:tc>
        <w:tc>
          <w:tcPr>
            <w:tcW w:w="5491"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When designing our executive compensation plans, the Board balances the need to develop existing executive bench strength with a recognition that fresh external perspectives can help support the Company’s transformation efforts. We believe the enhancements to GM’s short term and long-term compensations plans (described further in the CD&amp;A starting on page 42 of this proxy statement) will help the Company offer attractive compensation plans to attract and retain the best talent in the world, and aligning that talent on executing our strategy.</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53"/>
        <w:gridCol w:w="120"/>
        <w:gridCol w:w="23"/>
        <w:gridCol w:w="23"/>
        <w:gridCol w:w="23"/>
        <w:gridCol w:w="60"/>
        <w:gridCol w:w="3451"/>
        <w:gridCol w:w="635"/>
        <w:gridCol w:w="214"/>
        <w:gridCol w:w="341"/>
        <w:gridCol w:w="4162"/>
      </w:tblGrid>
      <w:tr>
        <w:trPr/>
        <w:tc>
          <w:tcPr>
            <w:tcW w:w="1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62" w:type="dxa"/>
            <w:tcBorders/>
            <w:vAlign w:val="center"/>
          </w:tcPr>
          <w:p>
            <w:pPr>
              <w:pStyle w:val="TableContents"/>
              <w:bidi w:val="0"/>
              <w:spacing w:before="0" w:after="283"/>
              <w:jc w:val="left"/>
              <w:rPr>
                <w:sz w:val="4"/>
                <w:szCs w:val="4"/>
              </w:rPr>
            </w:pPr>
            <w:r>
              <w:rPr>
                <w:sz w:val="4"/>
                <w:szCs w:val="4"/>
              </w:rPr>
            </w:r>
          </w:p>
        </w:tc>
      </w:tr>
      <w:tr>
        <w:trPr/>
        <w:tc>
          <w:tcPr>
            <w:tcW w:w="1153" w:type="dxa"/>
            <w:vMerge w:val="restart"/>
            <w:tcBorders/>
            <w:vAlign w:val="center"/>
          </w:tcPr>
          <w:p>
            <w:pPr>
              <w:pStyle w:val="TableContents"/>
              <w:bidi w:val="0"/>
              <w:spacing w:before="0" w:after="0"/>
              <w:jc w:val="both"/>
              <w:rPr/>
            </w:pPr>
            <w:r>
              <w:rPr/>
              <w:drawing>
                <wp:inline distT="0" distB="0" distL="0" distR="0">
                  <wp:extent cx="121285" cy="121285"/>
                  <wp:effectExtent l="0" t="0" r="0" b="0"/>
                  <wp:docPr id="8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5" descr=""/>
                          <pic:cNvPicPr>
                            <a:picLocks noChangeAspect="1" noChangeArrowheads="1"/>
                          </pic:cNvPicPr>
                        </pic:nvPicPr>
                        <pic:blipFill>
                          <a:blip r:embed="rId81"/>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CEO, Tapestry, Inc.</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60</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2022</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Female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Audit</w:t>
            </w:r>
          </w:p>
          <w:p>
            <w:pPr>
              <w:pStyle w:val="TableContents"/>
              <w:bidi w:val="0"/>
              <w:spacing w:before="0" w:after="0"/>
              <w:jc w:val="left"/>
              <w:rPr>
                <w:rFonts w:ascii="arial" w:hAnsi="arial"/>
                <w:color w:val="3E3935"/>
                <w:sz w:val="18"/>
              </w:rPr>
            </w:pPr>
            <w:r>
              <w:rPr>
                <w:rFonts w:ascii="arial" w:hAnsi="arial"/>
                <w:color w:val="3E3935"/>
                <w:sz w:val="18"/>
              </w:rPr>
              <w:t>Finance</w:t>
            </w:r>
          </w:p>
          <w:p>
            <w:pPr>
              <w:pStyle w:val="TableContents"/>
              <w:bidi w:val="0"/>
              <w:spacing w:before="0" w:after="0"/>
              <w:jc w:val="left"/>
              <w:rPr>
                <w:rFonts w:ascii="arial" w:hAnsi="arial"/>
                <w:color w:val="3E3935"/>
                <w:sz w:val="18"/>
              </w:rPr>
            </w:pPr>
            <w:r>
              <w:rPr>
                <w:rFonts w:ascii="arial" w:hAnsi="arial"/>
                <w:color w:val="3E3935"/>
                <w:sz w:val="18"/>
              </w:rPr>
              <w:t>Governance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Vehicle:</w:t>
            </w:r>
          </w:p>
          <w:p>
            <w:pPr>
              <w:pStyle w:val="TableContents"/>
              <w:bidi w:val="0"/>
              <w:spacing w:before="0" w:after="20"/>
              <w:jc w:val="left"/>
              <w:rPr>
                <w:rFonts w:ascii="arial" w:hAnsi="arial"/>
                <w:color w:val="3E3935"/>
                <w:sz w:val="18"/>
              </w:rPr>
            </w:pPr>
            <w:r>
              <w:rPr>
                <w:rFonts w:ascii="arial" w:hAnsi="arial"/>
                <w:color w:val="3E3935"/>
                <w:sz w:val="18"/>
              </w:rPr>
              <w:t>Cadillac Escalade</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00" w:type="dxa"/>
            <w:gridSpan w:val="3"/>
            <w:tcBorders/>
            <w:vAlign w:val="center"/>
          </w:tcPr>
          <w:p>
            <w:pPr>
              <w:pStyle w:val="TableContents"/>
              <w:bidi w:val="0"/>
              <w:spacing w:before="0" w:after="283"/>
              <w:jc w:val="left"/>
              <w:rPr>
                <w:b/>
                <w:color w:val="3E3935"/>
                <w:sz w:val="32"/>
              </w:rPr>
            </w:pPr>
            <w:r>
              <w:rPr>
                <w:b/>
                <w:color w:val="3E3935"/>
                <w:sz w:val="32"/>
              </w:rPr>
              <w:t>Joanne C. Crevoiserat</w:t>
            </w:r>
          </w:p>
        </w:tc>
        <w:tc>
          <w:tcPr>
            <w:tcW w:w="341" w:type="dxa"/>
            <w:tcBorders/>
            <w:vAlign w:val="center"/>
          </w:tcPr>
          <w:p>
            <w:pPr>
              <w:pStyle w:val="TableContents"/>
              <w:bidi w:val="0"/>
              <w:spacing w:before="0" w:after="283"/>
              <w:jc w:val="left"/>
              <w:rPr/>
            </w:pPr>
            <w:r>
              <w:rPr/>
              <w:t>  </w:t>
            </w:r>
          </w:p>
        </w:tc>
        <w:tc>
          <w:tcPr>
            <w:tcW w:w="4162"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8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6" descr=""/>
                          <pic:cNvPicPr>
                            <a:picLocks noChangeAspect="1" noChangeArrowheads="1"/>
                          </pic:cNvPicPr>
                        </pic:nvPicPr>
                        <pic:blipFill>
                          <a:blip r:embed="rId82"/>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15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03"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Since October 2020, Ms. Crevoiserat has been CEO and a member of the board of Tapestry, Inc. Prior to her appointment as interim CEO in July 2020, she served as the CFO. She also previously served in senior roles at Abercrombie &amp; Fitch Co., Kohl’s Inc., Wal-Mart Stores, Inc., and May Department Stores.</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xml:space="preserve"> Ms. Crevoiserat has cultivated an extensive background in financial expertise and brand development. Her leadership capabilities demonstrated through her various senior leadership retail positions help the Company as it grows its global consumer brands through consumer-centric, digital, and data-driven initiatives. Ms. Crevoiserat also has social and environmental proficiency which she has gained through her experience in the retail industry and which allows her to provide unique oversight of supply chain governance and sustainable material sourcing.</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Tapestry, Inc.</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At Home Group Inc.</w:t>
            </w:r>
          </w:p>
          <w:p>
            <w:pPr>
              <w:pStyle w:val="TableContents"/>
              <w:bidi w:val="0"/>
              <w:spacing w:before="0" w:after="20"/>
              <w:jc w:val="left"/>
              <w:rPr/>
            </w:pPr>
            <w:r>
              <w:rPr/>
              <w:t> </w:t>
            </w:r>
          </w:p>
        </w:tc>
      </w:tr>
      <w:tr>
        <w:trPr/>
        <w:tc>
          <w:tcPr>
            <w:tcW w:w="115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51"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635" w:type="dxa"/>
            <w:tcBorders/>
            <w:vAlign w:val="center"/>
          </w:tcPr>
          <w:p>
            <w:pPr>
              <w:pStyle w:val="TableContents"/>
              <w:bidi w:val="0"/>
              <w:spacing w:before="0" w:after="283"/>
              <w:jc w:val="left"/>
              <w:rPr/>
            </w:pPr>
            <w:r>
              <w:rPr/>
              <w:t>  </w:t>
            </w:r>
          </w:p>
        </w:tc>
        <w:tc>
          <w:tcPr>
            <w:tcW w:w="4717" w:type="dxa"/>
            <w:gridSpan w:val="3"/>
            <w:tcBorders/>
            <w:vAlign w:val="center"/>
          </w:tcPr>
          <w:p>
            <w:pPr>
              <w:pStyle w:val="TableContents"/>
              <w:bidi w:val="0"/>
              <w:spacing w:before="0" w:after="0"/>
              <w:jc w:val="both"/>
              <w:rPr/>
            </w:pPr>
            <w:r>
              <w:rPr/>
              <w:drawing>
                <wp:inline distT="0" distB="0" distL="0" distR="0">
                  <wp:extent cx="26670" cy="28575"/>
                  <wp:effectExtent l="0" t="0" r="0" b="0"/>
                  <wp:docPr id="8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7" descr=""/>
                          <pic:cNvPicPr>
                            <a:picLocks noChangeAspect="1" noChangeArrowheads="1"/>
                          </pic:cNvPicPr>
                        </pic:nvPicPr>
                        <pic:blipFill>
                          <a:blip r:embed="rId83"/>
                          <a:stretch>
                            <a:fillRect/>
                          </a:stretch>
                        </pic:blipFill>
                        <pic:spPr bwMode="auto">
                          <a:xfrm>
                            <a:off x="0" y="0"/>
                            <a:ext cx="26670" cy="28575"/>
                          </a:xfrm>
                          <a:prstGeom prst="rect">
                            <a:avLst/>
                          </a:prstGeom>
                        </pic:spPr>
                      </pic:pic>
                    </a:graphicData>
                  </a:graphic>
                </wp:inline>
              </w:drawing>
            </w:r>
            <w:r>
              <w:rPr/>
              <w:t xml:space="preserve">    </w:t>
            </w:r>
            <w:r>
              <w:rPr/>
              <w:drawing>
                <wp:inline distT="0" distB="0" distL="0" distR="0">
                  <wp:extent cx="36195" cy="26670"/>
                  <wp:effectExtent l="0" t="0" r="0" b="0"/>
                  <wp:docPr id="8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8" descr=""/>
                          <pic:cNvPicPr>
                            <a:picLocks noChangeAspect="1" noChangeArrowheads="1"/>
                          </pic:cNvPicPr>
                        </pic:nvPicPr>
                        <pic:blipFill>
                          <a:blip r:embed="rId84"/>
                          <a:stretch>
                            <a:fillRect/>
                          </a:stretch>
                        </pic:blipFill>
                        <pic:spPr bwMode="auto">
                          <a:xfrm>
                            <a:off x="0" y="0"/>
                            <a:ext cx="36195" cy="26670"/>
                          </a:xfrm>
                          <a:prstGeom prst="rect">
                            <a:avLst/>
                          </a:prstGeom>
                        </pic:spPr>
                      </pic:pic>
                    </a:graphicData>
                  </a:graphic>
                </wp:inline>
              </w:drawing>
            </w:r>
            <w:r>
              <w:rPr/>
              <w:t xml:space="preserve">    </w:t>
            </w:r>
            <w:r>
              <w:rPr/>
              <w:drawing>
                <wp:inline distT="0" distB="0" distL="0" distR="0">
                  <wp:extent cx="28575" cy="28575"/>
                  <wp:effectExtent l="0" t="0" r="0" b="0"/>
                  <wp:docPr id="8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9" descr=""/>
                          <pic:cNvPicPr>
                            <a:picLocks noChangeAspect="1" noChangeArrowheads="1"/>
                          </pic:cNvPicPr>
                        </pic:nvPicPr>
                        <pic:blipFill>
                          <a:blip r:embed="rId85"/>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8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0" descr=""/>
                          <pic:cNvPicPr>
                            <a:picLocks noChangeAspect="1" noChangeArrowheads="1"/>
                          </pic:cNvPicPr>
                        </pic:nvPicPr>
                        <pic:blipFill>
                          <a:blip r:embed="rId86"/>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30480" cy="24765"/>
                  <wp:effectExtent l="0" t="0" r="0" b="0"/>
                  <wp:docPr id="9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1" descr=""/>
                          <pic:cNvPicPr>
                            <a:picLocks noChangeAspect="1" noChangeArrowheads="1"/>
                          </pic:cNvPicPr>
                        </pic:nvPicPr>
                        <pic:blipFill>
                          <a:blip r:embed="rId87"/>
                          <a:stretch>
                            <a:fillRect/>
                          </a:stretch>
                        </pic:blipFill>
                        <pic:spPr bwMode="auto">
                          <a:xfrm>
                            <a:off x="0" y="0"/>
                            <a:ext cx="30480" cy="24765"/>
                          </a:xfrm>
                          <a:prstGeom prst="rect">
                            <a:avLst/>
                          </a:prstGeom>
                        </pic:spPr>
                      </pic:pic>
                    </a:graphicData>
                  </a:graphic>
                </wp:inline>
              </w:drawing>
            </w:r>
            <w:r>
              <w:rPr/>
              <w:t xml:space="preserve">    </w:t>
            </w:r>
            <w:r>
              <w:rPr/>
              <w:drawing>
                <wp:inline distT="0" distB="0" distL="0" distR="0">
                  <wp:extent cx="22860" cy="27940"/>
                  <wp:effectExtent l="0" t="0" r="0" b="0"/>
                  <wp:docPr id="9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2" descr=""/>
                          <pic:cNvPicPr>
                            <a:picLocks noChangeAspect="1" noChangeArrowheads="1"/>
                          </pic:cNvPicPr>
                        </pic:nvPicPr>
                        <pic:blipFill>
                          <a:blip r:embed="rId88"/>
                          <a:stretch>
                            <a:fillRect/>
                          </a:stretch>
                        </pic:blipFill>
                        <pic:spPr bwMode="auto">
                          <a:xfrm>
                            <a:off x="0" y="0"/>
                            <a:ext cx="22860" cy="27940"/>
                          </a:xfrm>
                          <a:prstGeom prst="rect">
                            <a:avLst/>
                          </a:prstGeom>
                        </pic:spPr>
                      </pic:pic>
                    </a:graphicData>
                  </a:graphic>
                </wp:inline>
              </w:drawing>
            </w:r>
            <w:r>
              <w:rPr/>
              <w:t xml:space="preserve"> </w:t>
            </w:r>
          </w:p>
        </w:tc>
      </w:tr>
      <w:tr>
        <w:trPr/>
        <w:tc>
          <w:tcPr>
            <w:tcW w:w="115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451"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635" w:type="dxa"/>
            <w:tcBorders/>
            <w:shd w:fill="CCF2F8" w:val="clear"/>
            <w:vAlign w:val="center"/>
          </w:tcPr>
          <w:p>
            <w:pPr>
              <w:pStyle w:val="TableContents"/>
              <w:bidi w:val="0"/>
              <w:spacing w:before="0" w:after="283"/>
              <w:jc w:val="left"/>
              <w:rPr/>
            </w:pPr>
            <w:r>
              <w:rPr/>
              <w:t>  </w:t>
            </w:r>
          </w:p>
        </w:tc>
        <w:tc>
          <w:tcPr>
            <w:tcW w:w="4717" w:type="dxa"/>
            <w:gridSpan w:val="3"/>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both"/>
              <w:rPr>
                <w:rFonts w:ascii="arial" w:hAnsi="arial"/>
                <w:b/>
                <w:color w:val="0071CE"/>
                <w:sz w:val="18"/>
              </w:rPr>
            </w:pPr>
            <w:r>
              <w:rPr>
                <w:rFonts w:ascii="arial" w:hAnsi="arial"/>
                <w:b/>
                <w:color w:val="0071CE"/>
                <w:sz w:val="18"/>
              </w:rPr>
              <w:t>What have you learned about the auto industry since joining the Board?</w:t>
            </w:r>
          </w:p>
        </w:tc>
      </w:tr>
      <w:tr>
        <w:trPr/>
        <w:tc>
          <w:tcPr>
            <w:tcW w:w="115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451" w:type="dxa"/>
            <w:tcBorders/>
            <w:shd w:fill="CCF2F8" w:val="clear"/>
            <w:vAlign w:val="center"/>
          </w:tcPr>
          <w:p>
            <w:pPr>
              <w:pStyle w:val="TableContents"/>
              <w:bidi w:val="0"/>
              <w:spacing w:before="0" w:after="283"/>
              <w:jc w:val="center"/>
              <w:rPr>
                <w:b/>
                <w:color w:val="3E3935"/>
              </w:rPr>
            </w:pPr>
            <w:r>
              <w:rPr>
                <w:b/>
                <w:color w:val="3E3935"/>
              </w:rPr>
              <w:t>A:</w:t>
            </w:r>
          </w:p>
        </w:tc>
        <w:tc>
          <w:tcPr>
            <w:tcW w:w="635" w:type="dxa"/>
            <w:tcBorders/>
            <w:shd w:fill="CCF2F8" w:val="clear"/>
            <w:vAlign w:val="center"/>
          </w:tcPr>
          <w:p>
            <w:pPr>
              <w:pStyle w:val="TableContents"/>
              <w:bidi w:val="0"/>
              <w:spacing w:before="0" w:after="283"/>
              <w:jc w:val="left"/>
              <w:rPr/>
            </w:pPr>
            <w:r>
              <w:rPr/>
              <w:t>  </w:t>
            </w:r>
          </w:p>
        </w:tc>
        <w:tc>
          <w:tcPr>
            <w:tcW w:w="4717"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There are many similarities between the automotive industry and the clothes, accessory, and lifestyle brand space where I have spent most of my career. I’ve enjoyed the opportunity to be part of a Board that can help the Company pursue data-driven strategies to forge strong customer connections as it works to deepen the relationship between its customers and its historically strong brands during the transition to EVs and the adoption of other new technologies.</w:t>
            </w:r>
          </w:p>
        </w:tc>
      </w:tr>
    </w:tbl>
    <w:p>
      <w:pPr>
        <w:pStyle w:val="TextBody"/>
        <w:bidi w:val="0"/>
        <w:spacing w:before="0" w:after="0"/>
        <w:jc w:val="left"/>
        <w:rPr/>
      </w:pPr>
      <w:r>
        <w:rPr/>
        <w:t> </w:t>
      </w:r>
    </w:p>
    <w:tbl>
      <w:tblPr>
        <w:tblW w:w="6608" w:type="dxa"/>
        <w:jc w:val="left"/>
        <w:tblInd w:w="0" w:type="dxa"/>
        <w:tblLayout w:type="fixed"/>
        <w:tblCellMar>
          <w:top w:w="0" w:type="dxa"/>
          <w:left w:w="0" w:type="dxa"/>
          <w:bottom w:w="0" w:type="dxa"/>
          <w:right w:w="0" w:type="dxa"/>
        </w:tblCellMar>
      </w:tblPr>
      <w:tblGrid>
        <w:gridCol w:w="275"/>
        <w:gridCol w:w="60"/>
        <w:gridCol w:w="192"/>
        <w:gridCol w:w="60"/>
        <w:gridCol w:w="57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12</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9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3" descr=""/>
                          <pic:cNvPicPr>
                            <a:picLocks noChangeAspect="1" noChangeArrowheads="1"/>
                          </pic:cNvPicPr>
                        </pic:nvPicPr>
                        <pic:blipFill>
                          <a:blip r:embed="rId89"/>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838"/>
        <w:gridCol w:w="120"/>
        <w:gridCol w:w="23"/>
        <w:gridCol w:w="23"/>
        <w:gridCol w:w="23"/>
        <w:gridCol w:w="60"/>
        <w:gridCol w:w="2403"/>
        <w:gridCol w:w="442"/>
        <w:gridCol w:w="186"/>
        <w:gridCol w:w="383"/>
        <w:gridCol w:w="4704"/>
      </w:tblGrid>
      <w:tr>
        <w:trPr/>
        <w:tc>
          <w:tcPr>
            <w:tcW w:w="18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704" w:type="dxa"/>
            <w:tcBorders/>
            <w:vAlign w:val="center"/>
          </w:tcPr>
          <w:p>
            <w:pPr>
              <w:pStyle w:val="TableContents"/>
              <w:bidi w:val="0"/>
              <w:spacing w:before="0" w:after="283"/>
              <w:jc w:val="left"/>
              <w:rPr>
                <w:sz w:val="4"/>
                <w:szCs w:val="4"/>
              </w:rPr>
            </w:pPr>
            <w:r>
              <w:rPr>
                <w:sz w:val="4"/>
                <w:szCs w:val="4"/>
              </w:rPr>
            </w:r>
          </w:p>
        </w:tc>
      </w:tr>
      <w:tr>
        <w:trPr/>
        <w:tc>
          <w:tcPr>
            <w:tcW w:w="1838" w:type="dxa"/>
            <w:vMerge w:val="restart"/>
            <w:tcBorders/>
            <w:vAlign w:val="center"/>
          </w:tcPr>
          <w:p>
            <w:pPr>
              <w:pStyle w:val="TableContents"/>
              <w:bidi w:val="0"/>
              <w:spacing w:before="0" w:after="0"/>
              <w:jc w:val="both"/>
              <w:rPr/>
            </w:pPr>
            <w:r>
              <w:rPr/>
              <w:drawing>
                <wp:inline distT="0" distB="0" distL="0" distR="0">
                  <wp:extent cx="121285" cy="121285"/>
                  <wp:effectExtent l="0" t="0" r="0" b="0"/>
                  <wp:docPr id="9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4" descr=""/>
                          <pic:cNvPicPr>
                            <a:picLocks noChangeAspect="1" noChangeArrowheads="1"/>
                          </pic:cNvPicPr>
                        </pic:nvPicPr>
                        <pic:blipFill>
                          <a:blip r:embed="rId90"/>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Retired Executive Vice President, Information Systems and Global Solutions, Lockheed Martin Corporation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71</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2015</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Female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Race/Ethnicity:</w:t>
            </w:r>
          </w:p>
          <w:p>
            <w:pPr>
              <w:pStyle w:val="TableContents"/>
              <w:bidi w:val="0"/>
              <w:spacing w:before="0" w:after="0"/>
              <w:jc w:val="both"/>
              <w:rPr>
                <w:rFonts w:ascii="arial" w:hAnsi="arial"/>
                <w:color w:val="3E3935"/>
                <w:sz w:val="18"/>
              </w:rPr>
            </w:pPr>
            <w:r>
              <w:rPr>
                <w:rFonts w:ascii="arial" w:hAnsi="arial"/>
                <w:color w:val="3E3935"/>
                <w:sz w:val="18"/>
              </w:rPr>
              <w:t>African American</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Audit</w:t>
            </w:r>
          </w:p>
          <w:p>
            <w:pPr>
              <w:pStyle w:val="TableContents"/>
              <w:bidi w:val="0"/>
              <w:spacing w:before="0" w:after="0"/>
              <w:jc w:val="left"/>
              <w:rPr>
                <w:rFonts w:ascii="arial" w:hAnsi="arial"/>
                <w:color w:val="3E3935"/>
                <w:sz w:val="18"/>
              </w:rPr>
            </w:pPr>
            <w:r>
              <w:rPr>
                <w:rFonts w:ascii="arial" w:hAnsi="arial"/>
                <w:color w:val="3E3935"/>
                <w:sz w:val="18"/>
              </w:rPr>
              <w:t>Executive</w:t>
            </w:r>
          </w:p>
          <w:p>
            <w:pPr>
              <w:pStyle w:val="TableContents"/>
              <w:bidi w:val="0"/>
              <w:spacing w:before="0" w:after="0"/>
              <w:jc w:val="left"/>
              <w:rPr>
                <w:rFonts w:ascii="arial" w:hAnsi="arial"/>
                <w:color w:val="3E3935"/>
                <w:sz w:val="18"/>
              </w:rPr>
            </w:pPr>
            <w:r>
              <w:rPr>
                <w:rFonts w:ascii="arial" w:hAnsi="arial"/>
                <w:color w:val="3E3935"/>
                <w:sz w:val="18"/>
              </w:rPr>
              <w:t>Risk and Cybersecurity (Chair)</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Vehicle:</w:t>
            </w:r>
          </w:p>
          <w:p>
            <w:pPr>
              <w:pStyle w:val="TableContents"/>
              <w:bidi w:val="0"/>
              <w:spacing w:before="0" w:after="20"/>
              <w:jc w:val="left"/>
              <w:rPr>
                <w:rFonts w:ascii="arial" w:hAnsi="arial"/>
                <w:color w:val="3E3935"/>
                <w:sz w:val="18"/>
              </w:rPr>
            </w:pPr>
            <w:r>
              <w:rPr>
                <w:rFonts w:ascii="arial" w:hAnsi="arial"/>
                <w:color w:val="3E3935"/>
                <w:sz w:val="18"/>
              </w:rPr>
              <w:t>Cadillac CT5</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1" w:type="dxa"/>
            <w:gridSpan w:val="3"/>
            <w:tcBorders/>
            <w:vAlign w:val="center"/>
          </w:tcPr>
          <w:p>
            <w:pPr>
              <w:pStyle w:val="TableContents"/>
              <w:bidi w:val="0"/>
              <w:spacing w:before="0" w:after="283"/>
              <w:jc w:val="left"/>
              <w:rPr>
                <w:b/>
                <w:color w:val="3E3935"/>
                <w:sz w:val="32"/>
              </w:rPr>
            </w:pPr>
            <w:r>
              <w:rPr>
                <w:b/>
                <w:color w:val="3E3935"/>
                <w:sz w:val="32"/>
              </w:rPr>
              <w:t>Linda R. Gooden</w:t>
            </w:r>
          </w:p>
        </w:tc>
        <w:tc>
          <w:tcPr>
            <w:tcW w:w="383" w:type="dxa"/>
            <w:tcBorders/>
            <w:vAlign w:val="center"/>
          </w:tcPr>
          <w:p>
            <w:pPr>
              <w:pStyle w:val="TableContents"/>
              <w:bidi w:val="0"/>
              <w:spacing w:before="0" w:after="283"/>
              <w:jc w:val="left"/>
              <w:rPr/>
            </w:pPr>
            <w:r>
              <w:rPr/>
              <w:t>  </w:t>
            </w:r>
          </w:p>
        </w:tc>
        <w:tc>
          <w:tcPr>
            <w:tcW w:w="4704"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9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5" descr=""/>
                          <pic:cNvPicPr>
                            <a:picLocks noChangeAspect="1" noChangeArrowheads="1"/>
                          </pic:cNvPicPr>
                        </pic:nvPicPr>
                        <pic:blipFill>
                          <a:blip r:embed="rId91"/>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8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18"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Ms. Gooden served as Executive Vice President, Information Systems and Global Solutions of Lockheed Martin Corporation from 2007 to 2013. She also served as Lockheed Martin’s Deputy Executive Vice President, Information and Technology Services from October to December 2006, and as its President, Information Technology from 1997 to December 2006.</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xml:space="preserve"> Ms. Gooden has strong leadership capabilities demonstrated through her various senior leadership positions at Lockheed Martin. She also has significant expertise in operations and strategic planning, as well as an extensive background in information technology and cybersecurity. Ms. Gooden serves as an effective advocate through the development of innovative software and oversight of software-defined transportation.</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NeueHealth, Inc. (formerly Bright Health Group Inc.)</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The Home Depot, Inc. and Automatic Data Processing, Inc.</w:t>
            </w:r>
          </w:p>
          <w:p>
            <w:pPr>
              <w:pStyle w:val="TableContents"/>
              <w:bidi w:val="0"/>
              <w:spacing w:before="0" w:after="20"/>
              <w:jc w:val="left"/>
              <w:rPr/>
            </w:pPr>
            <w:r>
              <w:rPr/>
              <w:t> </w:t>
            </w:r>
          </w:p>
        </w:tc>
      </w:tr>
      <w:tr>
        <w:trPr/>
        <w:tc>
          <w:tcPr>
            <w:tcW w:w="18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442" w:type="dxa"/>
            <w:tcBorders/>
            <w:vAlign w:val="center"/>
          </w:tcPr>
          <w:p>
            <w:pPr>
              <w:pStyle w:val="TableContents"/>
              <w:bidi w:val="0"/>
              <w:spacing w:before="0" w:after="283"/>
              <w:jc w:val="left"/>
              <w:rPr/>
            </w:pPr>
            <w:r>
              <w:rPr/>
              <w:t>  </w:t>
            </w:r>
          </w:p>
        </w:tc>
        <w:tc>
          <w:tcPr>
            <w:tcW w:w="5273" w:type="dxa"/>
            <w:gridSpan w:val="3"/>
            <w:tcBorders/>
            <w:vAlign w:val="center"/>
          </w:tcPr>
          <w:p>
            <w:pPr>
              <w:pStyle w:val="TableContents"/>
              <w:bidi w:val="0"/>
              <w:spacing w:before="0" w:after="0"/>
              <w:jc w:val="both"/>
              <w:rPr/>
            </w:pPr>
            <w:r>
              <w:rPr/>
              <w:drawing>
                <wp:inline distT="0" distB="0" distL="0" distR="0">
                  <wp:extent cx="36195" cy="26670"/>
                  <wp:effectExtent l="0" t="0" r="0" b="0"/>
                  <wp:docPr id="9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6" descr=""/>
                          <pic:cNvPicPr>
                            <a:picLocks noChangeAspect="1" noChangeArrowheads="1"/>
                          </pic:cNvPicPr>
                        </pic:nvPicPr>
                        <pic:blipFill>
                          <a:blip r:embed="rId92"/>
                          <a:stretch>
                            <a:fillRect/>
                          </a:stretch>
                        </pic:blipFill>
                        <pic:spPr bwMode="auto">
                          <a:xfrm>
                            <a:off x="0" y="0"/>
                            <a:ext cx="36195" cy="26670"/>
                          </a:xfrm>
                          <a:prstGeom prst="rect">
                            <a:avLst/>
                          </a:prstGeom>
                        </pic:spPr>
                      </pic:pic>
                    </a:graphicData>
                  </a:graphic>
                </wp:inline>
              </w:drawing>
            </w:r>
            <w:r>
              <w:rPr/>
              <w:t xml:space="preserve">    </w:t>
            </w:r>
            <w:r>
              <w:rPr/>
              <w:drawing>
                <wp:inline distT="0" distB="0" distL="0" distR="0">
                  <wp:extent cx="32385" cy="24765"/>
                  <wp:effectExtent l="0" t="0" r="0" b="0"/>
                  <wp:docPr id="9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7" descr=""/>
                          <pic:cNvPicPr>
                            <a:picLocks noChangeAspect="1" noChangeArrowheads="1"/>
                          </pic:cNvPicPr>
                        </pic:nvPicPr>
                        <pic:blipFill>
                          <a:blip r:embed="rId93"/>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9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8" descr=""/>
                          <pic:cNvPicPr>
                            <a:picLocks noChangeAspect="1" noChangeArrowheads="1"/>
                          </pic:cNvPicPr>
                        </pic:nvPicPr>
                        <pic:blipFill>
                          <a:blip r:embed="rId94"/>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9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9" descr=""/>
                          <pic:cNvPicPr>
                            <a:picLocks noChangeAspect="1" noChangeArrowheads="1"/>
                          </pic:cNvPicPr>
                        </pic:nvPicPr>
                        <pic:blipFill>
                          <a:blip r:embed="rId95"/>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34290" cy="24765"/>
                  <wp:effectExtent l="0" t="0" r="0" b="0"/>
                  <wp:docPr id="9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0" descr=""/>
                          <pic:cNvPicPr>
                            <a:picLocks noChangeAspect="1" noChangeArrowheads="1"/>
                          </pic:cNvPicPr>
                        </pic:nvPicPr>
                        <pic:blipFill>
                          <a:blip r:embed="rId96"/>
                          <a:stretch>
                            <a:fillRect/>
                          </a:stretch>
                        </pic:blipFill>
                        <pic:spPr bwMode="auto">
                          <a:xfrm>
                            <a:off x="0" y="0"/>
                            <a:ext cx="34290" cy="24765"/>
                          </a:xfrm>
                          <a:prstGeom prst="rect">
                            <a:avLst/>
                          </a:prstGeom>
                        </pic:spPr>
                      </pic:pic>
                    </a:graphicData>
                  </a:graphic>
                </wp:inline>
              </w:drawing>
            </w:r>
            <w:r>
              <w:rPr/>
              <w:t xml:space="preserve">    </w:t>
            </w:r>
            <w:r>
              <w:rPr/>
              <w:drawing>
                <wp:inline distT="0" distB="0" distL="0" distR="0">
                  <wp:extent cx="22860" cy="27940"/>
                  <wp:effectExtent l="0" t="0" r="0" b="0"/>
                  <wp:docPr id="10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1" descr=""/>
                          <pic:cNvPicPr>
                            <a:picLocks noChangeAspect="1" noChangeArrowheads="1"/>
                          </pic:cNvPicPr>
                        </pic:nvPicPr>
                        <pic:blipFill>
                          <a:blip r:embed="rId97"/>
                          <a:stretch>
                            <a:fillRect/>
                          </a:stretch>
                        </pic:blipFill>
                        <pic:spPr bwMode="auto">
                          <a:xfrm>
                            <a:off x="0" y="0"/>
                            <a:ext cx="22860" cy="27940"/>
                          </a:xfrm>
                          <a:prstGeom prst="rect">
                            <a:avLst/>
                          </a:prstGeom>
                        </pic:spPr>
                      </pic:pic>
                    </a:graphicData>
                  </a:graphic>
                </wp:inline>
              </w:drawing>
            </w:r>
            <w:r>
              <w:rPr/>
              <w:t xml:space="preserve"> </w:t>
            </w:r>
          </w:p>
        </w:tc>
      </w:tr>
      <w:tr>
        <w:trPr/>
        <w:tc>
          <w:tcPr>
            <w:tcW w:w="18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403"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442" w:type="dxa"/>
            <w:tcBorders/>
            <w:shd w:fill="CCF2F8" w:val="clear"/>
            <w:vAlign w:val="center"/>
          </w:tcPr>
          <w:p>
            <w:pPr>
              <w:pStyle w:val="TableContents"/>
              <w:bidi w:val="0"/>
              <w:spacing w:before="0" w:after="283"/>
              <w:jc w:val="left"/>
              <w:rPr/>
            </w:pPr>
            <w:r>
              <w:rPr/>
              <w:t>  </w:t>
            </w:r>
          </w:p>
        </w:tc>
        <w:tc>
          <w:tcPr>
            <w:tcW w:w="5273" w:type="dxa"/>
            <w:gridSpan w:val="3"/>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both"/>
              <w:rPr>
                <w:rFonts w:ascii="arial" w:hAnsi="arial"/>
                <w:b/>
                <w:color w:val="0071CE"/>
                <w:sz w:val="18"/>
              </w:rPr>
            </w:pPr>
            <w:r>
              <w:rPr>
                <w:rFonts w:ascii="arial" w:hAnsi="arial"/>
                <w:b/>
                <w:color w:val="0071CE"/>
                <w:sz w:val="18"/>
              </w:rPr>
              <w:t>What do you think is a key emerging risk for the Company?</w:t>
            </w:r>
          </w:p>
        </w:tc>
      </w:tr>
      <w:tr>
        <w:trPr/>
        <w:tc>
          <w:tcPr>
            <w:tcW w:w="18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403" w:type="dxa"/>
            <w:tcBorders/>
            <w:shd w:fill="CCF2F8" w:val="clear"/>
            <w:vAlign w:val="center"/>
          </w:tcPr>
          <w:p>
            <w:pPr>
              <w:pStyle w:val="TableContents"/>
              <w:bidi w:val="0"/>
              <w:spacing w:before="0" w:after="283"/>
              <w:jc w:val="center"/>
              <w:rPr>
                <w:b/>
                <w:color w:val="3E3935"/>
              </w:rPr>
            </w:pPr>
            <w:r>
              <w:rPr>
                <w:b/>
                <w:color w:val="3E3935"/>
              </w:rPr>
              <w:t>A:</w:t>
            </w:r>
          </w:p>
        </w:tc>
        <w:tc>
          <w:tcPr>
            <w:tcW w:w="442" w:type="dxa"/>
            <w:tcBorders/>
            <w:shd w:fill="CCF2F8" w:val="clear"/>
            <w:vAlign w:val="center"/>
          </w:tcPr>
          <w:p>
            <w:pPr>
              <w:pStyle w:val="TableContents"/>
              <w:bidi w:val="0"/>
              <w:spacing w:before="0" w:after="283"/>
              <w:jc w:val="left"/>
              <w:rPr/>
            </w:pPr>
            <w:r>
              <w:rPr/>
              <w:t>  </w:t>
            </w:r>
          </w:p>
        </w:tc>
        <w:tc>
          <w:tcPr>
            <w:tcW w:w="5273"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My career in the aerospace and the defense industries has helped me deeply appreciate the risks posed by new technologies. As Chair of the Risk and Cybersecurity Committee, I’ve helped the Board assess the key risks and opportunities posed by new key technologies. Recently, I’ve helped drive focus on artificial intelligence, which has the potential to provide companies with huge operational efficiencies, but also presents risks like enabling competitors and the need to comply with complex regulations emerging around the globe.</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05"/>
        <w:gridCol w:w="120"/>
        <w:gridCol w:w="23"/>
        <w:gridCol w:w="23"/>
        <w:gridCol w:w="23"/>
        <w:gridCol w:w="60"/>
        <w:gridCol w:w="3143"/>
        <w:gridCol w:w="577"/>
        <w:gridCol w:w="159"/>
        <w:gridCol w:w="346"/>
        <w:gridCol w:w="4226"/>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26" w:type="dxa"/>
            <w:tcBorders/>
            <w:vAlign w:val="center"/>
          </w:tcPr>
          <w:p>
            <w:pPr>
              <w:pStyle w:val="TableContents"/>
              <w:bidi w:val="0"/>
              <w:spacing w:before="0" w:after="283"/>
              <w:jc w:val="left"/>
              <w:rPr>
                <w:sz w:val="4"/>
                <w:szCs w:val="4"/>
              </w:rPr>
            </w:pPr>
            <w:r>
              <w:rPr>
                <w:sz w:val="4"/>
                <w:szCs w:val="4"/>
              </w:rPr>
            </w:r>
          </w:p>
        </w:tc>
      </w:tr>
      <w:tr>
        <w:trPr/>
        <w:tc>
          <w:tcPr>
            <w:tcW w:w="1505" w:type="dxa"/>
            <w:vMerge w:val="restart"/>
            <w:tcBorders/>
            <w:vAlign w:val="center"/>
          </w:tcPr>
          <w:p>
            <w:pPr>
              <w:pStyle w:val="TableContents"/>
              <w:bidi w:val="0"/>
              <w:spacing w:before="0" w:after="0"/>
              <w:jc w:val="both"/>
              <w:rPr/>
            </w:pPr>
            <w:r>
              <w:rPr/>
              <w:drawing>
                <wp:inline distT="0" distB="0" distL="0" distR="0">
                  <wp:extent cx="121285" cy="121285"/>
                  <wp:effectExtent l="0" t="0" r="0" b="0"/>
                  <wp:docPr id="10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2" descr=""/>
                          <pic:cNvPicPr>
                            <a:picLocks noChangeAspect="1" noChangeArrowheads="1"/>
                          </pic:cNvPicPr>
                        </pic:nvPicPr>
                        <pic:blipFill>
                          <a:blip r:embed="rId98"/>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Co-Founder and Managing Director, Aditum Bio</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64</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2015</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Hispanic</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Compensation</w:t>
            </w:r>
          </w:p>
          <w:p>
            <w:pPr>
              <w:pStyle w:val="TableContents"/>
              <w:bidi w:val="0"/>
              <w:spacing w:before="0" w:after="0"/>
              <w:jc w:val="left"/>
              <w:rPr>
                <w:rFonts w:ascii="arial" w:hAnsi="arial"/>
                <w:color w:val="3E3935"/>
                <w:sz w:val="18"/>
              </w:rPr>
            </w:pPr>
            <w:r>
              <w:rPr>
                <w:rFonts w:ascii="arial" w:hAnsi="arial"/>
                <w:color w:val="3E3935"/>
                <w:sz w:val="18"/>
              </w:rPr>
              <w:t>Executive</w:t>
            </w:r>
          </w:p>
          <w:p>
            <w:pPr>
              <w:pStyle w:val="TableContents"/>
              <w:bidi w:val="0"/>
              <w:spacing w:before="0" w:after="0"/>
              <w:jc w:val="left"/>
              <w:rPr>
                <w:rFonts w:ascii="arial" w:hAnsi="arial"/>
                <w:color w:val="3E3935"/>
                <w:sz w:val="18"/>
              </w:rPr>
            </w:pPr>
            <w:r>
              <w:rPr>
                <w:rFonts w:ascii="arial" w:hAnsi="arial"/>
                <w:color w:val="3E3935"/>
                <w:sz w:val="18"/>
              </w:rPr>
              <w:t>Finance (Chair)</w:t>
            </w:r>
          </w:p>
          <w:p>
            <w:pPr>
              <w:pStyle w:val="TableContents"/>
              <w:bidi w:val="0"/>
              <w:spacing w:before="0" w:after="0"/>
              <w:jc w:val="left"/>
              <w:rPr>
                <w:rFonts w:ascii="arial" w:hAnsi="arial"/>
                <w:color w:val="3E3935"/>
                <w:sz w:val="18"/>
              </w:rPr>
            </w:pPr>
            <w:r>
              <w:rPr>
                <w:rFonts w:ascii="arial" w:hAnsi="arial"/>
                <w:color w:val="3E3935"/>
                <w:sz w:val="18"/>
              </w:rPr>
              <w:t>Risk and Cybersecurity</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Model:</w:t>
            </w:r>
          </w:p>
          <w:p>
            <w:pPr>
              <w:pStyle w:val="TableContents"/>
              <w:bidi w:val="0"/>
              <w:spacing w:before="0" w:after="20"/>
              <w:jc w:val="left"/>
              <w:rPr>
                <w:rFonts w:ascii="arial" w:hAnsi="arial"/>
                <w:color w:val="3E3935"/>
                <w:sz w:val="18"/>
              </w:rPr>
            </w:pPr>
            <w:r>
              <w:rPr>
                <w:rFonts w:ascii="arial" w:hAnsi="arial"/>
                <w:color w:val="3E3935"/>
                <w:sz w:val="18"/>
              </w:rPr>
              <w:t>GMC Hummer EV SUV</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9" w:type="dxa"/>
            <w:gridSpan w:val="3"/>
            <w:tcBorders/>
            <w:vAlign w:val="center"/>
          </w:tcPr>
          <w:p>
            <w:pPr>
              <w:pStyle w:val="TableContents"/>
              <w:bidi w:val="0"/>
              <w:spacing w:before="0" w:after="283"/>
              <w:jc w:val="left"/>
              <w:rPr>
                <w:b/>
                <w:color w:val="3E3935"/>
                <w:sz w:val="32"/>
              </w:rPr>
            </w:pPr>
            <w:r>
              <w:rPr>
                <w:b/>
                <w:color w:val="3E3935"/>
                <w:sz w:val="32"/>
              </w:rPr>
              <w:t>Joseph Jimenez</w:t>
            </w:r>
          </w:p>
        </w:tc>
        <w:tc>
          <w:tcPr>
            <w:tcW w:w="346"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10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3" descr=""/>
                          <pic:cNvPicPr>
                            <a:picLocks noChangeAspect="1" noChangeArrowheads="1"/>
                          </pic:cNvPicPr>
                        </pic:nvPicPr>
                        <pic:blipFill>
                          <a:blip r:embed="rId99"/>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50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51"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Since 2019, Mr. Jimenez has served as Co-Founder and Managing Partner of Aditum Bio, a biotechnology-focused venture capital firm. Prior to that, he served as CEO of Novartis AG from 2010 until his retirement in 2018. Mr. Jimenez led Novartis’ Pharmaceuticals Division from October 2007 to 2010 and its Consumer Health Division in 2007. From 2006 to 2007, he served as Advisor to the Blackstone Group L.P. Mr. Jimenez was also Executive Vice President, President, and CEO of Heinz Europe from 2002 to 2006; and President and CEO of H.J. Heinz Company North America from 1999 to 2002.</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xml:space="preserve"> Mr. Jimenez has served as the CEO of a global company with significant research and development and capital spending in a highly regulated environment. He also has significant experience in finance, strategic planning, and consumer branding and marketing.</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The Procter &amp; Gamble Co. and Century Therapeutics, Inc.</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 xml:space="preserve">Prior Public Company Directorships (2019-2024): </w:t>
            </w:r>
            <w:r>
              <w:rPr>
                <w:rFonts w:ascii="arial" w:hAnsi="arial"/>
                <w:color w:val="3E3935"/>
                <w:sz w:val="18"/>
              </w:rPr>
              <w:t>Graphite Bio, Inc.</w:t>
            </w:r>
          </w:p>
          <w:p>
            <w:pPr>
              <w:pStyle w:val="TableContents"/>
              <w:bidi w:val="0"/>
              <w:spacing w:before="0" w:after="20"/>
              <w:jc w:val="left"/>
              <w:rPr/>
            </w:pPr>
            <w:r>
              <w:rPr/>
              <w:t> </w:t>
            </w:r>
          </w:p>
        </w:tc>
      </w:tr>
      <w:tr>
        <w:trPr/>
        <w:tc>
          <w:tcPr>
            <w:tcW w:w="150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43"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577" w:type="dxa"/>
            <w:tcBorders/>
            <w:vAlign w:val="center"/>
          </w:tcPr>
          <w:p>
            <w:pPr>
              <w:pStyle w:val="TableContents"/>
              <w:bidi w:val="0"/>
              <w:spacing w:before="0" w:after="283"/>
              <w:jc w:val="left"/>
              <w:rPr/>
            </w:pPr>
            <w:r>
              <w:rPr/>
              <w:t>  </w:t>
            </w:r>
          </w:p>
        </w:tc>
        <w:tc>
          <w:tcPr>
            <w:tcW w:w="4731" w:type="dxa"/>
            <w:gridSpan w:val="3"/>
            <w:tcBorders/>
            <w:vAlign w:val="center"/>
          </w:tcPr>
          <w:p>
            <w:pPr>
              <w:pStyle w:val="TableContents"/>
              <w:bidi w:val="0"/>
              <w:spacing w:before="0" w:after="0"/>
              <w:jc w:val="both"/>
              <w:rPr/>
            </w:pPr>
            <w:r>
              <w:rPr/>
              <w:drawing>
                <wp:inline distT="0" distB="0" distL="0" distR="0">
                  <wp:extent cx="26670" cy="28575"/>
                  <wp:effectExtent l="0" t="0" r="0" b="0"/>
                  <wp:docPr id="10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4" descr=""/>
                          <pic:cNvPicPr>
                            <a:picLocks noChangeAspect="1" noChangeArrowheads="1"/>
                          </pic:cNvPicPr>
                        </pic:nvPicPr>
                        <pic:blipFill>
                          <a:blip r:embed="rId100"/>
                          <a:stretch>
                            <a:fillRect/>
                          </a:stretch>
                        </pic:blipFill>
                        <pic:spPr bwMode="auto">
                          <a:xfrm>
                            <a:off x="0" y="0"/>
                            <a:ext cx="26670" cy="28575"/>
                          </a:xfrm>
                          <a:prstGeom prst="rect">
                            <a:avLst/>
                          </a:prstGeom>
                        </pic:spPr>
                      </pic:pic>
                    </a:graphicData>
                  </a:graphic>
                </wp:inline>
              </w:drawing>
            </w:r>
            <w:r>
              <w:rPr/>
              <w:t xml:space="preserve">    </w:t>
            </w:r>
            <w:r>
              <w:rPr/>
              <w:drawing>
                <wp:inline distT="0" distB="0" distL="0" distR="0">
                  <wp:extent cx="36195" cy="26670"/>
                  <wp:effectExtent l="0" t="0" r="0" b="0"/>
                  <wp:docPr id="10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5" descr=""/>
                          <pic:cNvPicPr>
                            <a:picLocks noChangeAspect="1" noChangeArrowheads="1"/>
                          </pic:cNvPicPr>
                        </pic:nvPicPr>
                        <pic:blipFill>
                          <a:blip r:embed="rId101"/>
                          <a:stretch>
                            <a:fillRect/>
                          </a:stretch>
                        </pic:blipFill>
                        <pic:spPr bwMode="auto">
                          <a:xfrm>
                            <a:off x="0" y="0"/>
                            <a:ext cx="36195" cy="26670"/>
                          </a:xfrm>
                          <a:prstGeom prst="rect">
                            <a:avLst/>
                          </a:prstGeom>
                        </pic:spPr>
                      </pic:pic>
                    </a:graphicData>
                  </a:graphic>
                </wp:inline>
              </w:drawing>
            </w:r>
            <w:r>
              <w:rPr/>
              <w:t xml:space="preserve">    </w:t>
            </w:r>
            <w:r>
              <w:rPr/>
              <w:drawing>
                <wp:inline distT="0" distB="0" distL="0" distR="0">
                  <wp:extent cx="28575" cy="28575"/>
                  <wp:effectExtent l="0" t="0" r="0" b="0"/>
                  <wp:docPr id="10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6" descr=""/>
                          <pic:cNvPicPr>
                            <a:picLocks noChangeAspect="1" noChangeArrowheads="1"/>
                          </pic:cNvPicPr>
                        </pic:nvPicPr>
                        <pic:blipFill>
                          <a:blip r:embed="rId102"/>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10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7" descr=""/>
                          <pic:cNvPicPr>
                            <a:picLocks noChangeAspect="1" noChangeArrowheads="1"/>
                          </pic:cNvPicPr>
                        </pic:nvPicPr>
                        <pic:blipFill>
                          <a:blip r:embed="rId103"/>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30480" cy="24765"/>
                  <wp:effectExtent l="0" t="0" r="0" b="0"/>
                  <wp:docPr id="10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8" descr=""/>
                          <pic:cNvPicPr>
                            <a:picLocks noChangeAspect="1" noChangeArrowheads="1"/>
                          </pic:cNvPicPr>
                        </pic:nvPicPr>
                        <pic:blipFill>
                          <a:blip r:embed="rId104"/>
                          <a:stretch>
                            <a:fillRect/>
                          </a:stretch>
                        </pic:blipFill>
                        <pic:spPr bwMode="auto">
                          <a:xfrm>
                            <a:off x="0" y="0"/>
                            <a:ext cx="30480" cy="24765"/>
                          </a:xfrm>
                          <a:prstGeom prst="rect">
                            <a:avLst/>
                          </a:prstGeom>
                        </pic:spPr>
                      </pic:pic>
                    </a:graphicData>
                  </a:graphic>
                </wp:inline>
              </w:drawing>
            </w:r>
            <w:r>
              <w:rPr/>
              <w:t xml:space="preserve">    </w:t>
            </w:r>
            <w:r>
              <w:rPr/>
              <w:drawing>
                <wp:inline distT="0" distB="0" distL="0" distR="0">
                  <wp:extent cx="22860" cy="27940"/>
                  <wp:effectExtent l="0" t="0" r="0" b="0"/>
                  <wp:docPr id="10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9" descr=""/>
                          <pic:cNvPicPr>
                            <a:picLocks noChangeAspect="1" noChangeArrowheads="1"/>
                          </pic:cNvPicPr>
                        </pic:nvPicPr>
                        <pic:blipFill>
                          <a:blip r:embed="rId105"/>
                          <a:stretch>
                            <a:fillRect/>
                          </a:stretch>
                        </pic:blipFill>
                        <pic:spPr bwMode="auto">
                          <a:xfrm>
                            <a:off x="0" y="0"/>
                            <a:ext cx="22860" cy="27940"/>
                          </a:xfrm>
                          <a:prstGeom prst="rect">
                            <a:avLst/>
                          </a:prstGeom>
                        </pic:spPr>
                      </pic:pic>
                    </a:graphicData>
                  </a:graphic>
                </wp:inline>
              </w:drawing>
            </w:r>
            <w:r>
              <w:rPr/>
              <w:t xml:space="preserve"> </w:t>
            </w:r>
          </w:p>
        </w:tc>
      </w:tr>
      <w:tr>
        <w:trPr/>
        <w:tc>
          <w:tcPr>
            <w:tcW w:w="150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143"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577" w:type="dxa"/>
            <w:tcBorders/>
            <w:shd w:fill="CCF2F8" w:val="clear"/>
            <w:vAlign w:val="center"/>
          </w:tcPr>
          <w:p>
            <w:pPr>
              <w:pStyle w:val="TableContents"/>
              <w:bidi w:val="0"/>
              <w:spacing w:before="0" w:after="283"/>
              <w:jc w:val="left"/>
              <w:rPr/>
            </w:pPr>
            <w:r>
              <w:rPr/>
              <w:t>  </w:t>
            </w:r>
          </w:p>
        </w:tc>
        <w:tc>
          <w:tcPr>
            <w:tcW w:w="4731" w:type="dxa"/>
            <w:gridSpan w:val="3"/>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left"/>
              <w:rPr>
                <w:rFonts w:ascii="arial" w:hAnsi="arial"/>
                <w:b/>
                <w:color w:val="0071CE"/>
                <w:sz w:val="18"/>
              </w:rPr>
            </w:pPr>
            <w:r>
              <w:rPr>
                <w:rFonts w:ascii="arial" w:hAnsi="arial"/>
                <w:b/>
                <w:color w:val="0071CE"/>
                <w:sz w:val="18"/>
              </w:rPr>
              <w:t>How does the Finance Committee help shape the Company’s Capital Expenditure strategy?</w:t>
            </w:r>
          </w:p>
        </w:tc>
      </w:tr>
      <w:tr>
        <w:trPr/>
        <w:tc>
          <w:tcPr>
            <w:tcW w:w="150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143" w:type="dxa"/>
            <w:tcBorders/>
            <w:shd w:fill="CCF2F8" w:val="clear"/>
            <w:vAlign w:val="center"/>
          </w:tcPr>
          <w:p>
            <w:pPr>
              <w:pStyle w:val="TableContents"/>
              <w:bidi w:val="0"/>
              <w:spacing w:before="0" w:after="283"/>
              <w:jc w:val="center"/>
              <w:rPr>
                <w:b/>
                <w:color w:val="3E3935"/>
              </w:rPr>
            </w:pPr>
            <w:r>
              <w:rPr>
                <w:b/>
                <w:color w:val="3E3935"/>
              </w:rPr>
              <w:t>A:</w:t>
            </w:r>
          </w:p>
        </w:tc>
        <w:tc>
          <w:tcPr>
            <w:tcW w:w="577" w:type="dxa"/>
            <w:tcBorders/>
            <w:shd w:fill="CCF2F8" w:val="clear"/>
            <w:vAlign w:val="center"/>
          </w:tcPr>
          <w:p>
            <w:pPr>
              <w:pStyle w:val="TableContents"/>
              <w:bidi w:val="0"/>
              <w:spacing w:before="0" w:after="283"/>
              <w:jc w:val="left"/>
              <w:rPr/>
            </w:pPr>
            <w:r>
              <w:rPr/>
              <w:t>  </w:t>
            </w:r>
          </w:p>
        </w:tc>
        <w:tc>
          <w:tcPr>
            <w:tcW w:w="4731"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We regularly review GM’s key vehicle programs to ensure they continue to yield strong financial returns. We also oversee the Company’s Capital Allocation Framework to make sure we are delivering on our commitment to return excess cash to shareholders after we make smart investments in our business and balance sheet. This work led to the Company’s recent $10 billion accelerated share repurchase program.</w:t>
            </w:r>
          </w:p>
        </w:tc>
      </w:tr>
    </w:tbl>
    <w:p>
      <w:pPr>
        <w:pStyle w:val="TextBody"/>
        <w:bidi w:val="0"/>
        <w:spacing w:before="0" w:after="0"/>
        <w:jc w:val="left"/>
        <w:rPr/>
      </w:pPr>
      <w:r>
        <w:rPr/>
        <w:t> </w:t>
      </w:r>
    </w:p>
    <w:tbl>
      <w:tblPr>
        <w:tblW w:w="8791" w:type="dxa"/>
        <w:jc w:val="left"/>
        <w:tblInd w:w="0" w:type="dxa"/>
        <w:tblLayout w:type="fixed"/>
        <w:tblCellMar>
          <w:top w:w="0" w:type="dxa"/>
          <w:left w:w="0" w:type="dxa"/>
          <w:bottom w:w="0" w:type="dxa"/>
          <w:right w:w="0" w:type="dxa"/>
        </w:tblCellMar>
      </w:tblPr>
      <w:tblGrid>
        <w:gridCol w:w="38"/>
        <w:gridCol w:w="60"/>
        <w:gridCol w:w="23"/>
        <w:gridCol w:w="60"/>
        <w:gridCol w:w="57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13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175"/>
        <w:gridCol w:w="120"/>
        <w:gridCol w:w="23"/>
        <w:gridCol w:w="23"/>
        <w:gridCol w:w="23"/>
        <w:gridCol w:w="60"/>
        <w:gridCol w:w="3260"/>
        <w:gridCol w:w="600"/>
        <w:gridCol w:w="185"/>
        <w:gridCol w:w="357"/>
        <w:gridCol w:w="4379"/>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379" w:type="dxa"/>
            <w:tcBorders/>
            <w:vAlign w:val="center"/>
          </w:tcPr>
          <w:p>
            <w:pPr>
              <w:pStyle w:val="TableContents"/>
              <w:bidi w:val="0"/>
              <w:spacing w:before="0" w:after="283"/>
              <w:jc w:val="left"/>
              <w:rPr>
                <w:sz w:val="4"/>
                <w:szCs w:val="4"/>
              </w:rPr>
            </w:pPr>
            <w:r>
              <w:rPr>
                <w:sz w:val="4"/>
                <w:szCs w:val="4"/>
              </w:rPr>
            </w:r>
          </w:p>
        </w:tc>
      </w:tr>
      <w:tr>
        <w:trPr/>
        <w:tc>
          <w:tcPr>
            <w:tcW w:w="1175" w:type="dxa"/>
            <w:vMerge w:val="restart"/>
            <w:tcBorders/>
            <w:vAlign w:val="center"/>
          </w:tcPr>
          <w:p>
            <w:pPr>
              <w:pStyle w:val="TableContents"/>
              <w:bidi w:val="0"/>
              <w:spacing w:before="0" w:after="0"/>
              <w:jc w:val="both"/>
              <w:rPr/>
            </w:pPr>
            <w:r>
              <w:rPr/>
              <w:drawing>
                <wp:inline distT="0" distB="0" distL="0" distR="0">
                  <wp:extent cx="121285" cy="121285"/>
                  <wp:effectExtent l="0" t="0" r="0" b="0"/>
                  <wp:docPr id="10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0" descr=""/>
                          <pic:cNvPicPr>
                            <a:picLocks noChangeAspect="1" noChangeArrowheads="1"/>
                          </pic:cNvPicPr>
                        </pic:nvPicPr>
                        <pic:blipFill>
                          <a:blip r:embed="rId106"/>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Co-Founder and CEO,</w:t>
            </w:r>
          </w:p>
          <w:p>
            <w:pPr>
              <w:pStyle w:val="TableContents"/>
              <w:bidi w:val="0"/>
              <w:spacing w:before="0" w:after="0"/>
              <w:jc w:val="left"/>
              <w:rPr>
                <w:rFonts w:ascii="arial" w:hAnsi="arial"/>
                <w:color w:val="3E3935"/>
                <w:sz w:val="18"/>
              </w:rPr>
            </w:pPr>
            <w:r>
              <w:rPr>
                <w:rFonts w:ascii="arial" w:hAnsi="arial"/>
                <w:color w:val="3E3935"/>
                <w:sz w:val="18"/>
              </w:rPr>
              <w:t>DVx Ventures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56</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2022</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Governance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Model:</w:t>
            </w:r>
          </w:p>
          <w:p>
            <w:pPr>
              <w:pStyle w:val="TableContents"/>
              <w:bidi w:val="0"/>
              <w:spacing w:before="0" w:after="20"/>
              <w:jc w:val="left"/>
              <w:rPr>
                <w:rFonts w:ascii="arial" w:hAnsi="arial"/>
                <w:color w:val="3E3935"/>
                <w:sz w:val="18"/>
              </w:rPr>
            </w:pPr>
            <w:r>
              <w:rPr>
                <w:rFonts w:ascii="arial" w:hAnsi="arial"/>
                <w:color w:val="3E3935"/>
                <w:sz w:val="18"/>
              </w:rPr>
              <w:t>Chevrolet Silverado EV</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5" w:type="dxa"/>
            <w:gridSpan w:val="3"/>
            <w:tcBorders/>
            <w:vAlign w:val="center"/>
          </w:tcPr>
          <w:p>
            <w:pPr>
              <w:pStyle w:val="TableContents"/>
              <w:bidi w:val="0"/>
              <w:spacing w:before="0" w:after="283"/>
              <w:jc w:val="left"/>
              <w:rPr>
                <w:b/>
                <w:color w:val="3E3935"/>
                <w:sz w:val="32"/>
              </w:rPr>
            </w:pPr>
            <w:r>
              <w:rPr>
                <w:b/>
                <w:color w:val="3E3935"/>
                <w:sz w:val="32"/>
              </w:rPr>
              <w:t>Jonathan McNeill</w:t>
            </w:r>
          </w:p>
        </w:tc>
        <w:tc>
          <w:tcPr>
            <w:tcW w:w="357" w:type="dxa"/>
            <w:tcBorders/>
            <w:vAlign w:val="center"/>
          </w:tcPr>
          <w:p>
            <w:pPr>
              <w:pStyle w:val="TableContents"/>
              <w:bidi w:val="0"/>
              <w:spacing w:before="0" w:after="283"/>
              <w:jc w:val="left"/>
              <w:rPr/>
            </w:pPr>
            <w:r>
              <w:rPr/>
              <w:t>  </w:t>
            </w:r>
          </w:p>
        </w:tc>
        <w:tc>
          <w:tcPr>
            <w:tcW w:w="4379"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11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1" descr=""/>
                          <pic:cNvPicPr>
                            <a:picLocks noChangeAspect="1" noChangeArrowheads="1"/>
                          </pic:cNvPicPr>
                        </pic:nvPicPr>
                        <pic:blipFill>
                          <a:blip r:embed="rId107"/>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17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81"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Since 2020, Mr. McNeill has served as CEO of DVx Ventures, a venture company focused on early-stage startups. Prior to founding DVx Ventures, he served as Chief Operating Officer of Lyft, Inc. from 2018 to 2019. From 2015 to 2018, he also served as President, global sales, delivery and service of Tesla, Inc., and led the team growing revenues from $2 billion to over $20 billion annually across 33 countries. In addition, in 2023, Mr. McNeill was appointed as Vice Chair of the Cruise Board.</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xml:space="preserve"> Mr. McNeill has deep experience as both an entrepreneur and as an executive at companies of significant scale. He is a demonstrated leader in the EV space with expertise in business models, software architecture, and cyber. Through his experience in positions of senior leadership, he has founded and scaled multiple technology and retail companies. In addition Mr. McNeill has GHG emissions, air quality, and product design and lifecycle management experience, which he has gained through driving EV adoption.</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Lululemon Athletica</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None</w:t>
            </w:r>
          </w:p>
          <w:p>
            <w:pPr>
              <w:pStyle w:val="TableContents"/>
              <w:bidi w:val="0"/>
              <w:spacing w:before="0" w:after="20"/>
              <w:jc w:val="left"/>
              <w:rPr/>
            </w:pPr>
            <w:r>
              <w:rPr/>
              <w:t> </w:t>
            </w:r>
          </w:p>
        </w:tc>
      </w:tr>
      <w:tr>
        <w:trPr/>
        <w:tc>
          <w:tcPr>
            <w:tcW w:w="117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600" w:type="dxa"/>
            <w:tcBorders/>
            <w:vAlign w:val="center"/>
          </w:tcPr>
          <w:p>
            <w:pPr>
              <w:pStyle w:val="TableContents"/>
              <w:bidi w:val="0"/>
              <w:spacing w:before="0" w:after="283"/>
              <w:jc w:val="left"/>
              <w:rPr/>
            </w:pPr>
            <w:r>
              <w:rPr/>
              <w:t>  </w:t>
            </w:r>
          </w:p>
        </w:tc>
        <w:tc>
          <w:tcPr>
            <w:tcW w:w="4921" w:type="dxa"/>
            <w:gridSpan w:val="3"/>
            <w:tcBorders/>
            <w:vAlign w:val="center"/>
          </w:tcPr>
          <w:p>
            <w:pPr>
              <w:pStyle w:val="TableContents"/>
              <w:bidi w:val="0"/>
              <w:spacing w:before="0" w:after="0"/>
              <w:jc w:val="both"/>
              <w:rPr/>
            </w:pPr>
            <w:r>
              <w:rPr/>
              <w:drawing>
                <wp:inline distT="0" distB="0" distL="0" distR="0">
                  <wp:extent cx="29210" cy="28575"/>
                  <wp:effectExtent l="0" t="0" r="0" b="0"/>
                  <wp:docPr id="11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2" descr=""/>
                          <pic:cNvPicPr>
                            <a:picLocks noChangeAspect="1" noChangeArrowheads="1"/>
                          </pic:cNvPicPr>
                        </pic:nvPicPr>
                        <pic:blipFill>
                          <a:blip r:embed="rId108"/>
                          <a:stretch>
                            <a:fillRect/>
                          </a:stretch>
                        </pic:blipFill>
                        <pic:spPr bwMode="auto">
                          <a:xfrm>
                            <a:off x="0" y="0"/>
                            <a:ext cx="29210" cy="28575"/>
                          </a:xfrm>
                          <a:prstGeom prst="rect">
                            <a:avLst/>
                          </a:prstGeom>
                        </pic:spPr>
                      </pic:pic>
                    </a:graphicData>
                  </a:graphic>
                </wp:inline>
              </w:drawing>
            </w:r>
            <w:r>
              <w:rPr/>
              <w:t xml:space="preserve">    </w:t>
            </w:r>
            <w:r>
              <w:rPr/>
              <w:drawing>
                <wp:inline distT="0" distB="0" distL="0" distR="0">
                  <wp:extent cx="36195" cy="26670"/>
                  <wp:effectExtent l="0" t="0" r="0" b="0"/>
                  <wp:docPr id="11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3" descr=""/>
                          <pic:cNvPicPr>
                            <a:picLocks noChangeAspect="1" noChangeArrowheads="1"/>
                          </pic:cNvPicPr>
                        </pic:nvPicPr>
                        <pic:blipFill>
                          <a:blip r:embed="rId109"/>
                          <a:stretch>
                            <a:fillRect/>
                          </a:stretch>
                        </pic:blipFill>
                        <pic:spPr bwMode="auto">
                          <a:xfrm>
                            <a:off x="0" y="0"/>
                            <a:ext cx="36195" cy="26670"/>
                          </a:xfrm>
                          <a:prstGeom prst="rect">
                            <a:avLst/>
                          </a:prstGeom>
                        </pic:spPr>
                      </pic:pic>
                    </a:graphicData>
                  </a:graphic>
                </wp:inline>
              </w:drawing>
            </w:r>
            <w:r>
              <w:rPr/>
              <w:t xml:space="preserve">    </w:t>
            </w:r>
            <w:r>
              <w:rPr/>
              <w:drawing>
                <wp:inline distT="0" distB="0" distL="0" distR="0">
                  <wp:extent cx="32385" cy="24765"/>
                  <wp:effectExtent l="0" t="0" r="0" b="0"/>
                  <wp:docPr id="11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4" descr=""/>
                          <pic:cNvPicPr>
                            <a:picLocks noChangeAspect="1" noChangeArrowheads="1"/>
                          </pic:cNvPicPr>
                        </pic:nvPicPr>
                        <pic:blipFill>
                          <a:blip r:embed="rId110"/>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11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5" descr=""/>
                          <pic:cNvPicPr>
                            <a:picLocks noChangeAspect="1" noChangeArrowheads="1"/>
                          </pic:cNvPicPr>
                        </pic:nvPicPr>
                        <pic:blipFill>
                          <a:blip r:embed="rId111"/>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11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6" descr=""/>
                          <pic:cNvPicPr>
                            <a:picLocks noChangeAspect="1" noChangeArrowheads="1"/>
                          </pic:cNvPicPr>
                        </pic:nvPicPr>
                        <pic:blipFill>
                          <a:blip r:embed="rId112"/>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30480" cy="24765"/>
                  <wp:effectExtent l="0" t="0" r="0" b="0"/>
                  <wp:docPr id="11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7" descr=""/>
                          <pic:cNvPicPr>
                            <a:picLocks noChangeAspect="1" noChangeArrowheads="1"/>
                          </pic:cNvPicPr>
                        </pic:nvPicPr>
                        <pic:blipFill>
                          <a:blip r:embed="rId113"/>
                          <a:stretch>
                            <a:fillRect/>
                          </a:stretch>
                        </pic:blipFill>
                        <pic:spPr bwMode="auto">
                          <a:xfrm>
                            <a:off x="0" y="0"/>
                            <a:ext cx="30480" cy="24765"/>
                          </a:xfrm>
                          <a:prstGeom prst="rect">
                            <a:avLst/>
                          </a:prstGeom>
                        </pic:spPr>
                      </pic:pic>
                    </a:graphicData>
                  </a:graphic>
                </wp:inline>
              </w:drawing>
            </w:r>
            <w:r>
              <w:rPr/>
              <w:t xml:space="preserve">    </w:t>
            </w:r>
            <w:r>
              <w:rPr/>
              <w:drawing>
                <wp:inline distT="0" distB="0" distL="0" distR="0">
                  <wp:extent cx="34290" cy="24765"/>
                  <wp:effectExtent l="0" t="0" r="0" b="0"/>
                  <wp:docPr id="11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8" descr=""/>
                          <pic:cNvPicPr>
                            <a:picLocks noChangeAspect="1" noChangeArrowheads="1"/>
                          </pic:cNvPicPr>
                        </pic:nvPicPr>
                        <pic:blipFill>
                          <a:blip r:embed="rId114"/>
                          <a:stretch>
                            <a:fillRect/>
                          </a:stretch>
                        </pic:blipFill>
                        <pic:spPr bwMode="auto">
                          <a:xfrm>
                            <a:off x="0" y="0"/>
                            <a:ext cx="34290" cy="24765"/>
                          </a:xfrm>
                          <a:prstGeom prst="rect">
                            <a:avLst/>
                          </a:prstGeom>
                        </pic:spPr>
                      </pic:pic>
                    </a:graphicData>
                  </a:graphic>
                </wp:inline>
              </w:drawing>
            </w:r>
            <w:r>
              <w:rPr/>
              <w:t xml:space="preserve">    </w:t>
            </w:r>
            <w:r>
              <w:rPr/>
              <w:drawing>
                <wp:inline distT="0" distB="0" distL="0" distR="0">
                  <wp:extent cx="22860" cy="27940"/>
                  <wp:effectExtent l="0" t="0" r="0" b="0"/>
                  <wp:docPr id="11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9" descr=""/>
                          <pic:cNvPicPr>
                            <a:picLocks noChangeAspect="1" noChangeArrowheads="1"/>
                          </pic:cNvPicPr>
                        </pic:nvPicPr>
                        <pic:blipFill>
                          <a:blip r:embed="rId115"/>
                          <a:stretch>
                            <a:fillRect/>
                          </a:stretch>
                        </pic:blipFill>
                        <pic:spPr bwMode="auto">
                          <a:xfrm>
                            <a:off x="0" y="0"/>
                            <a:ext cx="22860" cy="27940"/>
                          </a:xfrm>
                          <a:prstGeom prst="rect">
                            <a:avLst/>
                          </a:prstGeom>
                        </pic:spPr>
                      </pic:pic>
                    </a:graphicData>
                  </a:graphic>
                </wp:inline>
              </w:drawing>
            </w:r>
            <w:r>
              <w:rPr/>
              <w:t xml:space="preserve"> </w:t>
            </w:r>
          </w:p>
        </w:tc>
      </w:tr>
      <w:tr>
        <w:trPr/>
        <w:tc>
          <w:tcPr>
            <w:tcW w:w="117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260"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600" w:type="dxa"/>
            <w:tcBorders/>
            <w:shd w:fill="CCF2F8" w:val="clear"/>
            <w:vAlign w:val="center"/>
          </w:tcPr>
          <w:p>
            <w:pPr>
              <w:pStyle w:val="TableContents"/>
              <w:bidi w:val="0"/>
              <w:spacing w:before="0" w:after="283"/>
              <w:jc w:val="left"/>
              <w:rPr/>
            </w:pPr>
            <w:r>
              <w:rPr/>
              <w:t>  </w:t>
            </w:r>
          </w:p>
        </w:tc>
        <w:tc>
          <w:tcPr>
            <w:tcW w:w="4921" w:type="dxa"/>
            <w:gridSpan w:val="3"/>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both"/>
              <w:rPr>
                <w:rFonts w:ascii="arial" w:hAnsi="arial"/>
                <w:b/>
                <w:color w:val="0071CE"/>
                <w:sz w:val="18"/>
              </w:rPr>
            </w:pPr>
            <w:r>
              <w:rPr>
                <w:rFonts w:ascii="arial" w:hAnsi="arial"/>
                <w:b/>
                <w:color w:val="0071CE"/>
                <w:sz w:val="18"/>
              </w:rPr>
              <w:t>What do you think is the most important opportunity for GM?</w:t>
            </w:r>
          </w:p>
        </w:tc>
      </w:tr>
      <w:tr>
        <w:trPr/>
        <w:tc>
          <w:tcPr>
            <w:tcW w:w="117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260" w:type="dxa"/>
            <w:tcBorders/>
            <w:shd w:fill="CCF2F8" w:val="clear"/>
            <w:vAlign w:val="center"/>
          </w:tcPr>
          <w:p>
            <w:pPr>
              <w:pStyle w:val="TableContents"/>
              <w:bidi w:val="0"/>
              <w:spacing w:before="0" w:after="283"/>
              <w:jc w:val="center"/>
              <w:rPr>
                <w:b/>
                <w:color w:val="3E3935"/>
              </w:rPr>
            </w:pPr>
            <w:r>
              <w:rPr>
                <w:b/>
                <w:color w:val="3E3935"/>
              </w:rPr>
              <w:t>A:</w:t>
            </w:r>
          </w:p>
        </w:tc>
        <w:tc>
          <w:tcPr>
            <w:tcW w:w="600" w:type="dxa"/>
            <w:tcBorders/>
            <w:shd w:fill="CCF2F8" w:val="clear"/>
            <w:vAlign w:val="center"/>
          </w:tcPr>
          <w:p>
            <w:pPr>
              <w:pStyle w:val="TableContents"/>
              <w:bidi w:val="0"/>
              <w:spacing w:before="0" w:after="283"/>
              <w:jc w:val="left"/>
              <w:rPr/>
            </w:pPr>
            <w:r>
              <w:rPr/>
              <w:t>  </w:t>
            </w:r>
          </w:p>
        </w:tc>
        <w:tc>
          <w:tcPr>
            <w:tcW w:w="4921"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GM is positioned to lead in autonomous and software-defined vehicles. The Board is supporting these efforts by working closely with Cruise, GM’s AV subsidiary, where I serve as the Vice Chair of its board. The GM Board has deep experience scaling new technologies, start-ups, and we have shared it with the Cruise team as it works to enhance transparency and community engagement and rebuild trust with regulators.</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1"/>
        <w:gridCol w:w="120"/>
        <w:gridCol w:w="23"/>
        <w:gridCol w:w="23"/>
        <w:gridCol w:w="23"/>
        <w:gridCol w:w="60"/>
        <w:gridCol w:w="2623"/>
        <w:gridCol w:w="482"/>
        <w:gridCol w:w="333"/>
        <w:gridCol w:w="385"/>
        <w:gridCol w:w="4732"/>
      </w:tblGrid>
      <w:tr>
        <w:trPr/>
        <w:tc>
          <w:tcPr>
            <w:tcW w:w="14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732" w:type="dxa"/>
            <w:tcBorders/>
            <w:vAlign w:val="center"/>
          </w:tcPr>
          <w:p>
            <w:pPr>
              <w:pStyle w:val="TableContents"/>
              <w:bidi w:val="0"/>
              <w:spacing w:before="0" w:after="283"/>
              <w:jc w:val="left"/>
              <w:rPr>
                <w:sz w:val="4"/>
                <w:szCs w:val="4"/>
              </w:rPr>
            </w:pPr>
            <w:r>
              <w:rPr>
                <w:sz w:val="4"/>
                <w:szCs w:val="4"/>
              </w:rPr>
            </w:r>
          </w:p>
        </w:tc>
      </w:tr>
      <w:tr>
        <w:trPr/>
        <w:tc>
          <w:tcPr>
            <w:tcW w:w="1401" w:type="dxa"/>
            <w:vMerge w:val="restart"/>
            <w:tcBorders/>
            <w:vAlign w:val="center"/>
          </w:tcPr>
          <w:p>
            <w:pPr>
              <w:pStyle w:val="TableContents"/>
              <w:bidi w:val="0"/>
              <w:spacing w:before="0" w:after="0"/>
              <w:jc w:val="both"/>
              <w:rPr/>
            </w:pPr>
            <w:r>
              <w:rPr/>
              <w:drawing>
                <wp:inline distT="0" distB="0" distL="0" distR="0">
                  <wp:extent cx="121285" cy="121285"/>
                  <wp:effectExtent l="0" t="0" r="0" b="0"/>
                  <wp:docPr id="11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0" descr=""/>
                          <pic:cNvPicPr>
                            <a:picLocks noChangeAspect="1" noChangeArrowheads="1"/>
                          </pic:cNvPicPr>
                        </pic:nvPicPr>
                        <pic:blipFill>
                          <a:blip r:embed="rId116"/>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Senior Advisor, Lazard Geopolitical Advisory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65</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2018</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Female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Finance</w:t>
            </w:r>
          </w:p>
          <w:p>
            <w:pPr>
              <w:pStyle w:val="TableContents"/>
              <w:bidi w:val="0"/>
              <w:spacing w:before="0" w:after="0"/>
              <w:jc w:val="left"/>
              <w:rPr>
                <w:rFonts w:ascii="arial" w:hAnsi="arial"/>
                <w:color w:val="3E3935"/>
                <w:sz w:val="18"/>
              </w:rPr>
            </w:pPr>
            <w:r>
              <w:rPr>
                <w:rFonts w:ascii="arial" w:hAnsi="arial"/>
                <w:color w:val="3E3935"/>
                <w:sz w:val="18"/>
              </w:rPr>
              <w:t>Risk and Cybersecurity</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Model:</w:t>
            </w:r>
          </w:p>
          <w:p>
            <w:pPr>
              <w:pStyle w:val="TableContents"/>
              <w:bidi w:val="0"/>
              <w:spacing w:before="0" w:after="20"/>
              <w:jc w:val="left"/>
              <w:rPr>
                <w:rFonts w:ascii="arial" w:hAnsi="arial"/>
                <w:color w:val="3E3935"/>
                <w:sz w:val="18"/>
              </w:rPr>
            </w:pPr>
            <w:r>
              <w:rPr>
                <w:rFonts w:ascii="arial" w:hAnsi="arial"/>
                <w:color w:val="3E3935"/>
                <w:sz w:val="18"/>
              </w:rPr>
              <w:t>Chevrolet Blazer EV</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38" w:type="dxa"/>
            <w:gridSpan w:val="3"/>
            <w:tcBorders/>
            <w:vAlign w:val="center"/>
          </w:tcPr>
          <w:p>
            <w:pPr>
              <w:pStyle w:val="TableContents"/>
              <w:bidi w:val="0"/>
              <w:spacing w:before="0" w:after="283"/>
              <w:jc w:val="left"/>
              <w:rPr>
                <w:b/>
                <w:color w:val="3E3935"/>
                <w:sz w:val="32"/>
              </w:rPr>
            </w:pPr>
            <w:r>
              <w:rPr>
                <w:b/>
                <w:color w:val="3E3935"/>
                <w:sz w:val="32"/>
              </w:rPr>
              <w:t>Judith A. Miscik</w:t>
            </w:r>
          </w:p>
        </w:tc>
        <w:tc>
          <w:tcPr>
            <w:tcW w:w="385" w:type="dxa"/>
            <w:tcBorders/>
            <w:vAlign w:val="center"/>
          </w:tcPr>
          <w:p>
            <w:pPr>
              <w:pStyle w:val="TableContents"/>
              <w:bidi w:val="0"/>
              <w:spacing w:before="0" w:after="283"/>
              <w:jc w:val="left"/>
              <w:rPr/>
            </w:pPr>
            <w:r>
              <w:rPr/>
              <w:t>  </w:t>
            </w:r>
          </w:p>
        </w:tc>
        <w:tc>
          <w:tcPr>
            <w:tcW w:w="4732"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12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1" descr=""/>
                          <pic:cNvPicPr>
                            <a:picLocks noChangeAspect="1" noChangeArrowheads="1"/>
                          </pic:cNvPicPr>
                        </pic:nvPicPr>
                        <pic:blipFill>
                          <a:blip r:embed="rId117"/>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40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55"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Ms. Miscik is a Senior Advisor at Lazard Geopolitical Advisory. Previous to her current role, she served as CEO and Vice Chairman of Kissinger Associates, Inc. from 2017 to 2022 and before that in other senior leadership positions. Prior to joining Kissinger Associates, Ms. Miscik was the Global Head of Sovereign Risk at Lehman Brothers from 2005 to 2008; and from 2002 to 2005, she served as Deputy Director for Intelligence at the U.S. Central Intelligence Agency, where she worked from 1983 to 2005.</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 xml:space="preserve">Reasons for Nomination: </w:t>
            </w:r>
            <w:r>
              <w:rPr>
                <w:rFonts w:ascii="arial" w:hAnsi="arial"/>
                <w:color w:val="3E3935"/>
                <w:sz w:val="18"/>
              </w:rPr>
              <w:t>Ms. Miscik has a unique and extensive background in intelligence, security, government affairs, and risk analysis, bringing valuable experience in assessing and mitigating geopolitical and macroeconomic risks in both the public and the private sectors.</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Morgan Stanley and HP, Inc.</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None</w:t>
            </w:r>
          </w:p>
          <w:p>
            <w:pPr>
              <w:pStyle w:val="TableContents"/>
              <w:bidi w:val="0"/>
              <w:spacing w:before="0" w:after="20"/>
              <w:jc w:val="left"/>
              <w:rPr/>
            </w:pPr>
            <w:r>
              <w:rPr/>
              <w:t> </w:t>
            </w:r>
          </w:p>
        </w:tc>
      </w:tr>
      <w:tr>
        <w:trPr/>
        <w:tc>
          <w:tcPr>
            <w:tcW w:w="140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23"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482" w:type="dxa"/>
            <w:tcBorders/>
            <w:vAlign w:val="center"/>
          </w:tcPr>
          <w:p>
            <w:pPr>
              <w:pStyle w:val="TableContents"/>
              <w:bidi w:val="0"/>
              <w:spacing w:before="0" w:after="283"/>
              <w:jc w:val="left"/>
              <w:rPr/>
            </w:pPr>
            <w:r>
              <w:rPr/>
              <w:t>  </w:t>
            </w:r>
          </w:p>
        </w:tc>
        <w:tc>
          <w:tcPr>
            <w:tcW w:w="5450" w:type="dxa"/>
            <w:gridSpan w:val="3"/>
            <w:tcBorders/>
            <w:vAlign w:val="center"/>
          </w:tcPr>
          <w:p>
            <w:pPr>
              <w:pStyle w:val="TableContents"/>
              <w:bidi w:val="0"/>
              <w:spacing w:before="0" w:after="0"/>
              <w:jc w:val="both"/>
              <w:rPr/>
            </w:pPr>
            <w:r>
              <w:rPr/>
              <w:drawing>
                <wp:inline distT="0" distB="0" distL="0" distR="0">
                  <wp:extent cx="32385" cy="24765"/>
                  <wp:effectExtent l="0" t="0" r="0" b="0"/>
                  <wp:docPr id="12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2" descr=""/>
                          <pic:cNvPicPr>
                            <a:picLocks noChangeAspect="1" noChangeArrowheads="1"/>
                          </pic:cNvPicPr>
                        </pic:nvPicPr>
                        <pic:blipFill>
                          <a:blip r:embed="rId118"/>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12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3" descr=""/>
                          <pic:cNvPicPr>
                            <a:picLocks noChangeAspect="1" noChangeArrowheads="1"/>
                          </pic:cNvPicPr>
                        </pic:nvPicPr>
                        <pic:blipFill>
                          <a:blip r:embed="rId119"/>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12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4" descr=""/>
                          <pic:cNvPicPr>
                            <a:picLocks noChangeAspect="1" noChangeArrowheads="1"/>
                          </pic:cNvPicPr>
                        </pic:nvPicPr>
                        <pic:blipFill>
                          <a:blip r:embed="rId120"/>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22860" cy="27940"/>
                  <wp:effectExtent l="0" t="0" r="0" b="0"/>
                  <wp:docPr id="12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5" descr=""/>
                          <pic:cNvPicPr>
                            <a:picLocks noChangeAspect="1" noChangeArrowheads="1"/>
                          </pic:cNvPicPr>
                        </pic:nvPicPr>
                        <pic:blipFill>
                          <a:blip r:embed="rId121"/>
                          <a:stretch>
                            <a:fillRect/>
                          </a:stretch>
                        </pic:blipFill>
                        <pic:spPr bwMode="auto">
                          <a:xfrm>
                            <a:off x="0" y="0"/>
                            <a:ext cx="22860" cy="27940"/>
                          </a:xfrm>
                          <a:prstGeom prst="rect">
                            <a:avLst/>
                          </a:prstGeom>
                        </pic:spPr>
                      </pic:pic>
                    </a:graphicData>
                  </a:graphic>
                </wp:inline>
              </w:drawing>
            </w:r>
            <w:r>
              <w:rPr/>
              <w:t xml:space="preserve"> </w:t>
            </w:r>
          </w:p>
        </w:tc>
      </w:tr>
      <w:tr>
        <w:trPr/>
        <w:tc>
          <w:tcPr>
            <w:tcW w:w="140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623"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482" w:type="dxa"/>
            <w:tcBorders/>
            <w:shd w:fill="CCF2F8" w:val="clear"/>
            <w:vAlign w:val="center"/>
          </w:tcPr>
          <w:p>
            <w:pPr>
              <w:pStyle w:val="TableContents"/>
              <w:bidi w:val="0"/>
              <w:spacing w:before="0" w:after="283"/>
              <w:jc w:val="left"/>
              <w:rPr/>
            </w:pPr>
            <w:r>
              <w:rPr/>
              <w:t>  </w:t>
            </w:r>
          </w:p>
        </w:tc>
        <w:tc>
          <w:tcPr>
            <w:tcW w:w="5450" w:type="dxa"/>
            <w:gridSpan w:val="3"/>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8"/>
              </w:rPr>
            </w:pPr>
            <w:r>
              <w:rPr>
                <w:rFonts w:ascii="arial" w:hAnsi="arial"/>
                <w:b/>
                <w:color w:val="0071CE"/>
                <w:sz w:val="18"/>
              </w:rPr>
              <w:t>How does the Board stay current with respect to the geopolitical risks faced by the company?</w:t>
            </w:r>
          </w:p>
        </w:tc>
      </w:tr>
      <w:tr>
        <w:trPr/>
        <w:tc>
          <w:tcPr>
            <w:tcW w:w="140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623" w:type="dxa"/>
            <w:tcBorders/>
            <w:shd w:fill="CCF2F8" w:val="clear"/>
            <w:vAlign w:val="center"/>
          </w:tcPr>
          <w:p>
            <w:pPr>
              <w:pStyle w:val="TableContents"/>
              <w:bidi w:val="0"/>
              <w:spacing w:before="0" w:after="283"/>
              <w:jc w:val="center"/>
              <w:rPr>
                <w:b/>
                <w:color w:val="3E3935"/>
              </w:rPr>
            </w:pPr>
            <w:r>
              <w:rPr>
                <w:b/>
                <w:color w:val="3E3935"/>
              </w:rPr>
              <w:t>A:</w:t>
            </w:r>
          </w:p>
        </w:tc>
        <w:tc>
          <w:tcPr>
            <w:tcW w:w="482" w:type="dxa"/>
            <w:tcBorders/>
            <w:shd w:fill="CCF2F8" w:val="clear"/>
            <w:vAlign w:val="center"/>
          </w:tcPr>
          <w:p>
            <w:pPr>
              <w:pStyle w:val="TableContents"/>
              <w:bidi w:val="0"/>
              <w:spacing w:before="0" w:after="283"/>
              <w:jc w:val="left"/>
              <w:rPr/>
            </w:pPr>
            <w:r>
              <w:rPr/>
              <w:t>  </w:t>
            </w:r>
          </w:p>
        </w:tc>
        <w:tc>
          <w:tcPr>
            <w:tcW w:w="5450"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The Board’s Risk and Cybersecurity Committee regularly reviews management’s risk dashboards and annually reviews its enterprise risk profile, which includes geopolitical issues. Last year, the Board also received a briefing from the National Counterintelligence and Security Center focused on risks in international markets related to insider threats, cyber activities, and supply chain disruptions. This session generated important Board dialogue on the complex geopolitical dynamics in global supply chains.</w:t>
            </w:r>
          </w:p>
        </w:tc>
      </w:tr>
    </w:tbl>
    <w:p>
      <w:pPr>
        <w:pStyle w:val="TextBody"/>
        <w:bidi w:val="0"/>
        <w:spacing w:before="0" w:after="0"/>
        <w:jc w:val="left"/>
        <w:rPr/>
      </w:pPr>
      <w:r>
        <w:rPr/>
        <w:t> </w:t>
      </w:r>
    </w:p>
    <w:tbl>
      <w:tblPr>
        <w:tblW w:w="6608" w:type="dxa"/>
        <w:jc w:val="left"/>
        <w:tblInd w:w="0" w:type="dxa"/>
        <w:tblLayout w:type="fixed"/>
        <w:tblCellMar>
          <w:top w:w="0" w:type="dxa"/>
          <w:left w:w="0" w:type="dxa"/>
          <w:bottom w:w="0" w:type="dxa"/>
          <w:right w:w="0" w:type="dxa"/>
        </w:tblCellMar>
      </w:tblPr>
      <w:tblGrid>
        <w:gridCol w:w="275"/>
        <w:gridCol w:w="60"/>
        <w:gridCol w:w="192"/>
        <w:gridCol w:w="60"/>
        <w:gridCol w:w="57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14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2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6" descr=""/>
                          <pic:cNvPicPr>
                            <a:picLocks noChangeAspect="1" noChangeArrowheads="1"/>
                          </pic:cNvPicPr>
                        </pic:nvPicPr>
                        <pic:blipFill>
                          <a:blip r:embed="rId122"/>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512"/>
        <w:gridCol w:w="120"/>
        <w:gridCol w:w="23"/>
        <w:gridCol w:w="23"/>
        <w:gridCol w:w="23"/>
        <w:gridCol w:w="60"/>
        <w:gridCol w:w="3251"/>
        <w:gridCol w:w="597"/>
        <w:gridCol w:w="261"/>
        <w:gridCol w:w="328"/>
        <w:gridCol w:w="4007"/>
      </w:tblGrid>
      <w:tr>
        <w:trPr/>
        <w:tc>
          <w:tcPr>
            <w:tcW w:w="15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007" w:type="dxa"/>
            <w:tcBorders/>
            <w:vAlign w:val="center"/>
          </w:tcPr>
          <w:p>
            <w:pPr>
              <w:pStyle w:val="TableContents"/>
              <w:bidi w:val="0"/>
              <w:spacing w:before="0" w:after="283"/>
              <w:jc w:val="left"/>
              <w:rPr>
                <w:sz w:val="4"/>
                <w:szCs w:val="4"/>
              </w:rPr>
            </w:pPr>
            <w:r>
              <w:rPr>
                <w:sz w:val="4"/>
                <w:szCs w:val="4"/>
              </w:rPr>
            </w:r>
          </w:p>
        </w:tc>
      </w:tr>
      <w:tr>
        <w:trPr/>
        <w:tc>
          <w:tcPr>
            <w:tcW w:w="1512" w:type="dxa"/>
            <w:vMerge w:val="restart"/>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21285" cy="121285"/>
                  <wp:effectExtent l="0" t="0" r="0" b="0"/>
                  <wp:docPr id="12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7" descr=""/>
                          <pic:cNvPicPr>
                            <a:picLocks noChangeAspect="1" noChangeArrowheads="1"/>
                          </pic:cNvPicPr>
                        </pic:nvPicPr>
                        <pic:blipFill>
                          <a:blip r:embed="rId123"/>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Retired Executive Vice President and CFO, Wal-Mart Stores, Inc.</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71</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2011</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Audit (Chair)</w:t>
            </w:r>
          </w:p>
          <w:p>
            <w:pPr>
              <w:pStyle w:val="TableContents"/>
              <w:bidi w:val="0"/>
              <w:spacing w:before="0" w:after="0"/>
              <w:jc w:val="left"/>
              <w:rPr>
                <w:rFonts w:ascii="arial" w:hAnsi="arial"/>
                <w:color w:val="3E3935"/>
                <w:sz w:val="18"/>
              </w:rPr>
            </w:pPr>
            <w:r>
              <w:rPr>
                <w:rFonts w:ascii="arial" w:hAnsi="arial"/>
                <w:color w:val="3E3935"/>
                <w:sz w:val="18"/>
              </w:rPr>
              <w:t>Executive</w:t>
            </w:r>
          </w:p>
          <w:p>
            <w:pPr>
              <w:pStyle w:val="TableContents"/>
              <w:bidi w:val="0"/>
              <w:spacing w:before="0" w:after="0"/>
              <w:jc w:val="left"/>
              <w:rPr>
                <w:rFonts w:ascii="arial" w:hAnsi="arial"/>
                <w:color w:val="3E3935"/>
                <w:sz w:val="18"/>
              </w:rPr>
            </w:pPr>
            <w:r>
              <w:rPr>
                <w:rFonts w:ascii="arial" w:hAnsi="arial"/>
                <w:color w:val="3E3935"/>
                <w:sz w:val="18"/>
              </w:rPr>
              <w:t>Finance</w:t>
            </w:r>
          </w:p>
          <w:p>
            <w:pPr>
              <w:pStyle w:val="TableContents"/>
              <w:bidi w:val="0"/>
              <w:spacing w:before="0" w:after="0"/>
              <w:jc w:val="left"/>
              <w:rPr>
                <w:rFonts w:ascii="arial" w:hAnsi="arial"/>
                <w:color w:val="3E3935"/>
                <w:sz w:val="18"/>
              </w:rPr>
            </w:pPr>
            <w:r>
              <w:rPr>
                <w:rFonts w:ascii="arial" w:hAnsi="arial"/>
                <w:color w:val="3E3935"/>
                <w:sz w:val="18"/>
              </w:rPr>
              <w:t>Risk and Cybersecurity</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Model:</w:t>
            </w:r>
          </w:p>
          <w:p>
            <w:pPr>
              <w:pStyle w:val="TableContents"/>
              <w:bidi w:val="0"/>
              <w:spacing w:before="0" w:after="20"/>
              <w:jc w:val="left"/>
              <w:rPr>
                <w:rFonts w:ascii="arial" w:hAnsi="arial"/>
                <w:color w:val="3E3935"/>
                <w:sz w:val="18"/>
              </w:rPr>
            </w:pPr>
            <w:r>
              <w:rPr>
                <w:rFonts w:ascii="arial" w:hAnsi="arial"/>
                <w:color w:val="3E3935"/>
                <w:sz w:val="18"/>
              </w:rPr>
              <w:t>Cadillac Lyriq</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09" w:type="dxa"/>
            <w:gridSpan w:val="3"/>
            <w:tcBorders/>
            <w:vAlign w:val="center"/>
          </w:tcPr>
          <w:p>
            <w:pPr>
              <w:pStyle w:val="TableContents"/>
              <w:bidi w:val="0"/>
              <w:spacing w:before="0" w:after="283"/>
              <w:jc w:val="left"/>
              <w:rPr>
                <w:b/>
                <w:color w:val="3E3935"/>
                <w:sz w:val="32"/>
              </w:rPr>
            </w:pPr>
            <w:r>
              <w:rPr>
                <w:b/>
                <w:color w:val="3E3935"/>
                <w:sz w:val="32"/>
              </w:rPr>
              <w:t>Thomas M. Schoewe</w:t>
            </w:r>
          </w:p>
        </w:tc>
        <w:tc>
          <w:tcPr>
            <w:tcW w:w="328" w:type="dxa"/>
            <w:tcBorders/>
            <w:vAlign w:val="center"/>
          </w:tcPr>
          <w:p>
            <w:pPr>
              <w:pStyle w:val="TableContents"/>
              <w:bidi w:val="0"/>
              <w:spacing w:before="0" w:after="283"/>
              <w:jc w:val="left"/>
              <w:rPr/>
            </w:pPr>
            <w:r>
              <w:rPr/>
              <w:t>  </w:t>
            </w:r>
          </w:p>
        </w:tc>
        <w:tc>
          <w:tcPr>
            <w:tcW w:w="4007"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12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8" descr=""/>
                          <pic:cNvPicPr>
                            <a:picLocks noChangeAspect="1" noChangeArrowheads="1"/>
                          </pic:cNvPicPr>
                        </pic:nvPicPr>
                        <pic:blipFill>
                          <a:blip r:embed="rId124"/>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51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44"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Mr. Schoewe served as Executive Vice President and CFO of Wal-Mart Stores, Inc. from 2000 to 2011. Prior to joining Wal-Mart, he held several senior roles at the Black &amp; Decker Corporation, including CFO from 1993 to 1999. Before joining Black &amp; Decker, Mr. Schoewe worked for Beatrice Companies where he was CFO and Controller of one of its subsidiaries, Beatrice Consumer Durables Inc.</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Mr. Schoewe has extensive financial experience acquired through positions held as the CFO of large public companies, as well as expertise in internal controls, risk management, and mergers and acquisitions. He also has significant international experience through his service as an executive of large public companies with substantial international operations and large-scale transformational installations of global enterprise information technologies. Mr. Schoewe leverages his service on the Audit Committee Leadership Network to advise on the implementation of rigorous controls around sustainability disclosures and compliance with new regulations.</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Northrop Grumman Corporation</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KKR Management LLC</w:t>
            </w:r>
          </w:p>
          <w:p>
            <w:pPr>
              <w:pStyle w:val="TableContents"/>
              <w:bidi w:val="0"/>
              <w:spacing w:before="0" w:after="20"/>
              <w:jc w:val="left"/>
              <w:rPr/>
            </w:pPr>
            <w:r>
              <w:rPr/>
              <w:t> </w:t>
            </w:r>
          </w:p>
        </w:tc>
      </w:tr>
      <w:tr>
        <w:trPr/>
        <w:tc>
          <w:tcPr>
            <w:tcW w:w="151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597" w:type="dxa"/>
            <w:tcBorders/>
            <w:vAlign w:val="center"/>
          </w:tcPr>
          <w:p>
            <w:pPr>
              <w:pStyle w:val="TableContents"/>
              <w:bidi w:val="0"/>
              <w:spacing w:before="0" w:after="283"/>
              <w:jc w:val="left"/>
              <w:rPr/>
            </w:pPr>
            <w:r>
              <w:rPr/>
              <w:t>  </w:t>
            </w:r>
          </w:p>
        </w:tc>
        <w:tc>
          <w:tcPr>
            <w:tcW w:w="4596" w:type="dxa"/>
            <w:gridSpan w:val="3"/>
            <w:tcBorders/>
            <w:vAlign w:val="center"/>
          </w:tcPr>
          <w:p>
            <w:pPr>
              <w:pStyle w:val="TableContents"/>
              <w:bidi w:val="0"/>
              <w:spacing w:before="0" w:after="0"/>
              <w:jc w:val="both"/>
              <w:rPr/>
            </w:pPr>
            <w:r>
              <w:rPr/>
              <w:drawing>
                <wp:inline distT="0" distB="0" distL="0" distR="0">
                  <wp:extent cx="36195" cy="26670"/>
                  <wp:effectExtent l="0" t="0" r="0" b="0"/>
                  <wp:docPr id="12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9" descr=""/>
                          <pic:cNvPicPr>
                            <a:picLocks noChangeAspect="1" noChangeArrowheads="1"/>
                          </pic:cNvPicPr>
                        </pic:nvPicPr>
                        <pic:blipFill>
                          <a:blip r:embed="rId125"/>
                          <a:stretch>
                            <a:fillRect/>
                          </a:stretch>
                        </pic:blipFill>
                        <pic:spPr bwMode="auto">
                          <a:xfrm>
                            <a:off x="0" y="0"/>
                            <a:ext cx="36195" cy="26670"/>
                          </a:xfrm>
                          <a:prstGeom prst="rect">
                            <a:avLst/>
                          </a:prstGeom>
                        </pic:spPr>
                      </pic:pic>
                    </a:graphicData>
                  </a:graphic>
                </wp:inline>
              </w:drawing>
            </w:r>
            <w:r>
              <w:rPr/>
              <w:t xml:space="preserve">    </w:t>
            </w:r>
            <w:r>
              <w:rPr/>
              <w:drawing>
                <wp:inline distT="0" distB="0" distL="0" distR="0">
                  <wp:extent cx="32385" cy="24765"/>
                  <wp:effectExtent l="0" t="0" r="0" b="0"/>
                  <wp:docPr id="12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0" descr=""/>
                          <pic:cNvPicPr>
                            <a:picLocks noChangeAspect="1" noChangeArrowheads="1"/>
                          </pic:cNvPicPr>
                        </pic:nvPicPr>
                        <pic:blipFill>
                          <a:blip r:embed="rId126"/>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13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1" descr=""/>
                          <pic:cNvPicPr>
                            <a:picLocks noChangeAspect="1" noChangeArrowheads="1"/>
                          </pic:cNvPicPr>
                        </pic:nvPicPr>
                        <pic:blipFill>
                          <a:blip r:embed="rId127"/>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13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2" descr=""/>
                          <pic:cNvPicPr>
                            <a:picLocks noChangeAspect="1" noChangeArrowheads="1"/>
                          </pic:cNvPicPr>
                        </pic:nvPicPr>
                        <pic:blipFill>
                          <a:blip r:embed="rId128"/>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30480" cy="24765"/>
                  <wp:effectExtent l="0" t="0" r="0" b="0"/>
                  <wp:docPr id="13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3" descr=""/>
                          <pic:cNvPicPr>
                            <a:picLocks noChangeAspect="1" noChangeArrowheads="1"/>
                          </pic:cNvPicPr>
                        </pic:nvPicPr>
                        <pic:blipFill>
                          <a:blip r:embed="rId129"/>
                          <a:stretch>
                            <a:fillRect/>
                          </a:stretch>
                        </pic:blipFill>
                        <pic:spPr bwMode="auto">
                          <a:xfrm>
                            <a:off x="0" y="0"/>
                            <a:ext cx="30480" cy="24765"/>
                          </a:xfrm>
                          <a:prstGeom prst="rect">
                            <a:avLst/>
                          </a:prstGeom>
                        </pic:spPr>
                      </pic:pic>
                    </a:graphicData>
                  </a:graphic>
                </wp:inline>
              </w:drawing>
            </w:r>
            <w:r>
              <w:rPr/>
              <w:t xml:space="preserve">    </w:t>
            </w:r>
            <w:r>
              <w:rPr/>
              <w:drawing>
                <wp:inline distT="0" distB="0" distL="0" distR="0">
                  <wp:extent cx="34290" cy="24765"/>
                  <wp:effectExtent l="0" t="0" r="0" b="0"/>
                  <wp:docPr id="13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4" descr=""/>
                          <pic:cNvPicPr>
                            <a:picLocks noChangeAspect="1" noChangeArrowheads="1"/>
                          </pic:cNvPicPr>
                        </pic:nvPicPr>
                        <pic:blipFill>
                          <a:blip r:embed="rId130"/>
                          <a:stretch>
                            <a:fillRect/>
                          </a:stretch>
                        </pic:blipFill>
                        <pic:spPr bwMode="auto">
                          <a:xfrm>
                            <a:off x="0" y="0"/>
                            <a:ext cx="34290" cy="24765"/>
                          </a:xfrm>
                          <a:prstGeom prst="rect">
                            <a:avLst/>
                          </a:prstGeom>
                        </pic:spPr>
                      </pic:pic>
                    </a:graphicData>
                  </a:graphic>
                </wp:inline>
              </w:drawing>
            </w:r>
            <w:r>
              <w:rPr/>
              <w:t xml:space="preserve">    </w:t>
            </w:r>
            <w:r>
              <w:rPr/>
              <w:drawing>
                <wp:inline distT="0" distB="0" distL="0" distR="0">
                  <wp:extent cx="22860" cy="27940"/>
                  <wp:effectExtent l="0" t="0" r="0" b="0"/>
                  <wp:docPr id="13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5" descr=""/>
                          <pic:cNvPicPr>
                            <a:picLocks noChangeAspect="1" noChangeArrowheads="1"/>
                          </pic:cNvPicPr>
                        </pic:nvPicPr>
                        <pic:blipFill>
                          <a:blip r:embed="rId131"/>
                          <a:stretch>
                            <a:fillRect/>
                          </a:stretch>
                        </pic:blipFill>
                        <pic:spPr bwMode="auto">
                          <a:xfrm>
                            <a:off x="0" y="0"/>
                            <a:ext cx="22860" cy="27940"/>
                          </a:xfrm>
                          <a:prstGeom prst="rect">
                            <a:avLst/>
                          </a:prstGeom>
                        </pic:spPr>
                      </pic:pic>
                    </a:graphicData>
                  </a:graphic>
                </wp:inline>
              </w:drawing>
            </w:r>
            <w:r>
              <w:rPr/>
              <w:t xml:space="preserve"> </w:t>
            </w:r>
          </w:p>
        </w:tc>
      </w:tr>
      <w:tr>
        <w:trPr/>
        <w:tc>
          <w:tcPr>
            <w:tcW w:w="151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251"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597" w:type="dxa"/>
            <w:tcBorders/>
            <w:shd w:fill="CCF2F8" w:val="clear"/>
            <w:vAlign w:val="center"/>
          </w:tcPr>
          <w:p>
            <w:pPr>
              <w:pStyle w:val="TableContents"/>
              <w:bidi w:val="0"/>
              <w:spacing w:before="0" w:after="283"/>
              <w:jc w:val="left"/>
              <w:rPr/>
            </w:pPr>
            <w:r>
              <w:rPr/>
              <w:t>  </w:t>
            </w:r>
          </w:p>
        </w:tc>
        <w:tc>
          <w:tcPr>
            <w:tcW w:w="4596" w:type="dxa"/>
            <w:gridSpan w:val="3"/>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both"/>
              <w:rPr>
                <w:rFonts w:ascii="arial" w:hAnsi="arial"/>
                <w:b/>
                <w:color w:val="0071CE"/>
                <w:sz w:val="18"/>
              </w:rPr>
            </w:pPr>
            <w:r>
              <w:rPr>
                <w:rFonts w:ascii="arial" w:hAnsi="arial"/>
                <w:b/>
                <w:color w:val="0071CE"/>
                <w:sz w:val="18"/>
              </w:rPr>
              <w:t>How can the Board enhance the customer experience?</w:t>
            </w:r>
          </w:p>
        </w:tc>
      </w:tr>
      <w:tr>
        <w:trPr/>
        <w:tc>
          <w:tcPr>
            <w:tcW w:w="151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251" w:type="dxa"/>
            <w:tcBorders/>
            <w:shd w:fill="CCF2F8" w:val="clear"/>
            <w:vAlign w:val="center"/>
          </w:tcPr>
          <w:p>
            <w:pPr>
              <w:pStyle w:val="TableContents"/>
              <w:bidi w:val="0"/>
              <w:spacing w:before="0" w:after="283"/>
              <w:jc w:val="center"/>
              <w:rPr>
                <w:b/>
                <w:color w:val="3E3935"/>
              </w:rPr>
            </w:pPr>
            <w:r>
              <w:rPr>
                <w:b/>
                <w:color w:val="3E3935"/>
              </w:rPr>
              <w:t>A:</w:t>
            </w:r>
          </w:p>
        </w:tc>
        <w:tc>
          <w:tcPr>
            <w:tcW w:w="597" w:type="dxa"/>
            <w:tcBorders/>
            <w:shd w:fill="CCF2F8" w:val="clear"/>
            <w:vAlign w:val="center"/>
          </w:tcPr>
          <w:p>
            <w:pPr>
              <w:pStyle w:val="TableContents"/>
              <w:bidi w:val="0"/>
              <w:spacing w:before="0" w:after="283"/>
              <w:jc w:val="left"/>
              <w:rPr/>
            </w:pPr>
            <w:r>
              <w:rPr/>
              <w:t>  </w:t>
            </w:r>
          </w:p>
        </w:tc>
        <w:tc>
          <w:tcPr>
            <w:tcW w:w="4596"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During my time at Walmart, I learned that you need to focus on the human element to earn customers for life. With that in mind, the Board is a “customer advocate.” The Company is increasingly competing with upstart EV companies that are leveraging the flexibility of their direct-to-consumer sales models. We have provided our expertise to help management develop strategies to enhance the effectiveness of GM’s dealer network and use digital tools to drive retail sales.</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4"/>
        <w:gridCol w:w="120"/>
        <w:gridCol w:w="23"/>
        <w:gridCol w:w="23"/>
        <w:gridCol w:w="23"/>
        <w:gridCol w:w="60"/>
        <w:gridCol w:w="2714"/>
        <w:gridCol w:w="499"/>
        <w:gridCol w:w="177"/>
        <w:gridCol w:w="392"/>
        <w:gridCol w:w="4820"/>
      </w:tblGrid>
      <w:tr>
        <w:trPr/>
        <w:tc>
          <w:tcPr>
            <w:tcW w:w="13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1354" w:type="dxa"/>
            <w:vMerge w:val="restart"/>
            <w:tcBorders/>
            <w:vAlign w:val="center"/>
          </w:tcPr>
          <w:p>
            <w:pPr>
              <w:pStyle w:val="TableContents"/>
              <w:bidi w:val="0"/>
              <w:spacing w:before="0" w:after="0"/>
              <w:jc w:val="both"/>
              <w:rPr/>
            </w:pPr>
            <w:r>
              <w:rPr/>
              <w:drawing>
                <wp:inline distT="0" distB="0" distL="0" distR="0">
                  <wp:extent cx="121285" cy="121285"/>
                  <wp:effectExtent l="0" t="0" r="0" b="0"/>
                  <wp:docPr id="13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6" descr=""/>
                          <pic:cNvPicPr>
                            <a:picLocks noChangeAspect="1" noChangeArrowheads="1"/>
                          </pic:cNvPicPr>
                        </pic:nvPicPr>
                        <pic:blipFill>
                          <a:blip r:embed="rId132"/>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Deputy Commissioner</w:t>
            </w:r>
          </w:p>
          <w:p>
            <w:pPr>
              <w:pStyle w:val="TableContents"/>
              <w:bidi w:val="0"/>
              <w:spacing w:before="0" w:after="0"/>
              <w:jc w:val="left"/>
              <w:rPr>
                <w:rFonts w:ascii="arial" w:hAnsi="arial"/>
                <w:color w:val="3E3935"/>
                <w:sz w:val="18"/>
              </w:rPr>
            </w:pPr>
            <w:r>
              <w:rPr>
                <w:rFonts w:ascii="arial" w:hAnsi="arial"/>
                <w:color w:val="3E3935"/>
                <w:sz w:val="18"/>
              </w:rPr>
              <w:t>and Chief Operating</w:t>
            </w:r>
          </w:p>
          <w:p>
            <w:pPr>
              <w:pStyle w:val="TableContents"/>
              <w:bidi w:val="0"/>
              <w:spacing w:before="0" w:after="0"/>
              <w:jc w:val="left"/>
              <w:rPr>
                <w:rFonts w:ascii="arial" w:hAnsi="arial"/>
                <w:color w:val="3E3935"/>
                <w:sz w:val="18"/>
              </w:rPr>
            </w:pPr>
            <w:r>
              <w:rPr>
                <w:rFonts w:ascii="arial" w:hAnsi="arial"/>
                <w:color w:val="3E3935"/>
                <w:sz w:val="18"/>
              </w:rPr>
              <w:t>Officer, National</w:t>
            </w:r>
          </w:p>
          <w:p>
            <w:pPr>
              <w:pStyle w:val="TableContents"/>
              <w:bidi w:val="0"/>
              <w:spacing w:before="0" w:after="0"/>
              <w:jc w:val="left"/>
              <w:rPr>
                <w:rFonts w:ascii="arial" w:hAnsi="arial"/>
                <w:color w:val="3E3935"/>
                <w:sz w:val="18"/>
              </w:rPr>
            </w:pPr>
            <w:r>
              <w:rPr>
                <w:rFonts w:ascii="arial" w:hAnsi="arial"/>
                <w:color w:val="3E3935"/>
                <w:sz w:val="18"/>
              </w:rPr>
              <w:t>Basketball Association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54</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2021</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Male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Race/Ethnicity:</w:t>
            </w:r>
            <w:r>
              <w:rPr>
                <w:rFonts w:ascii="arial" w:hAnsi="arial"/>
                <w:color w:val="3E3935"/>
                <w:sz w:val="18"/>
              </w:rPr>
              <w:t xml:space="preserve"> Black, Asian</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Audit</w:t>
            </w:r>
          </w:p>
          <w:p>
            <w:pPr>
              <w:pStyle w:val="TableContents"/>
              <w:bidi w:val="0"/>
              <w:spacing w:before="0" w:after="0"/>
              <w:jc w:val="left"/>
              <w:rPr>
                <w:rFonts w:ascii="arial" w:hAnsi="arial"/>
                <w:color w:val="3E3935"/>
                <w:sz w:val="18"/>
              </w:rPr>
            </w:pPr>
            <w:r>
              <w:rPr>
                <w:rFonts w:ascii="arial" w:hAnsi="arial"/>
                <w:color w:val="3E3935"/>
                <w:sz w:val="18"/>
              </w:rPr>
              <w:t>Governance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Model:</w:t>
            </w:r>
          </w:p>
          <w:p>
            <w:pPr>
              <w:pStyle w:val="TableContents"/>
              <w:bidi w:val="0"/>
              <w:spacing w:before="0" w:after="20"/>
              <w:jc w:val="left"/>
              <w:rPr>
                <w:rFonts w:ascii="arial" w:hAnsi="arial"/>
                <w:color w:val="3E3935"/>
                <w:sz w:val="18"/>
              </w:rPr>
            </w:pPr>
            <w:r>
              <w:rPr>
                <w:rFonts w:ascii="arial" w:hAnsi="arial"/>
                <w:color w:val="3E3935"/>
                <w:sz w:val="18"/>
              </w:rPr>
              <w:t>Cadillac Escalade IQ</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90" w:type="dxa"/>
            <w:gridSpan w:val="3"/>
            <w:tcBorders/>
            <w:vAlign w:val="center"/>
          </w:tcPr>
          <w:p>
            <w:pPr>
              <w:pStyle w:val="TableContents"/>
              <w:bidi w:val="0"/>
              <w:spacing w:before="0" w:after="283"/>
              <w:jc w:val="left"/>
              <w:rPr>
                <w:b/>
                <w:color w:val="3E3935"/>
                <w:sz w:val="32"/>
              </w:rPr>
            </w:pPr>
            <w:r>
              <w:rPr>
                <w:b/>
                <w:color w:val="3E3935"/>
                <w:sz w:val="32"/>
              </w:rPr>
              <w:t>Mark A. Tatum</w:t>
            </w:r>
          </w:p>
        </w:tc>
        <w:tc>
          <w:tcPr>
            <w:tcW w:w="392"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13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7" descr=""/>
                          <pic:cNvPicPr>
                            <a:picLocks noChangeAspect="1" noChangeArrowheads="1"/>
                          </pic:cNvPicPr>
                        </pic:nvPicPr>
                        <pic:blipFill>
                          <a:blip r:embed="rId133"/>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35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2"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Mr. Tatum joined the National Basketball Association (NBA) in 1999 and was appointed NBA Deputy Commissioner and Chief Operating Officer in 2014. Prior to that, he served in numerous leadership roles at the NBA, including Executive Vice President of Global Marketing Partnerships, Senior Vice President and Vice President of Business Development, Senior Director and Group Manager of Marketing Properties, and Director of Marketing Partnerships.</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 xml:space="preserve">Reasons for Nomination: </w:t>
            </w:r>
            <w:r>
              <w:rPr>
                <w:rFonts w:ascii="arial" w:hAnsi="arial"/>
                <w:color w:val="3E3935"/>
                <w:sz w:val="18"/>
              </w:rPr>
              <w:t>Mr. Tatum has extensive senior leadership experience in marketing and sales strategy, managing media relationships, and global business operations. He also has significant experience driving customer engagement and operations globally through his leadership roles at the NBA.</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None</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None</w:t>
            </w:r>
          </w:p>
          <w:p>
            <w:pPr>
              <w:pStyle w:val="TableContents"/>
              <w:bidi w:val="0"/>
              <w:spacing w:before="0" w:after="20"/>
              <w:jc w:val="left"/>
              <w:rPr/>
            </w:pPr>
            <w:r>
              <w:rPr/>
              <w:t> </w:t>
            </w:r>
          </w:p>
        </w:tc>
      </w:tr>
      <w:tr>
        <w:trPr/>
        <w:tc>
          <w:tcPr>
            <w:tcW w:w="135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499" w:type="dxa"/>
            <w:tcBorders/>
            <w:vAlign w:val="center"/>
          </w:tcPr>
          <w:p>
            <w:pPr>
              <w:pStyle w:val="TableContents"/>
              <w:bidi w:val="0"/>
              <w:spacing w:before="0" w:after="283"/>
              <w:jc w:val="left"/>
              <w:rPr/>
            </w:pPr>
            <w:r>
              <w:rPr/>
              <w:t>  </w:t>
            </w:r>
          </w:p>
        </w:tc>
        <w:tc>
          <w:tcPr>
            <w:tcW w:w="5389" w:type="dxa"/>
            <w:gridSpan w:val="3"/>
            <w:tcBorders/>
            <w:vAlign w:val="center"/>
          </w:tcPr>
          <w:p>
            <w:pPr>
              <w:pStyle w:val="TableContents"/>
              <w:bidi w:val="0"/>
              <w:spacing w:before="0" w:after="0"/>
              <w:jc w:val="both"/>
              <w:rPr/>
            </w:pPr>
            <w:r>
              <w:rPr/>
              <w:drawing>
                <wp:inline distT="0" distB="0" distL="0" distR="0">
                  <wp:extent cx="28575" cy="28575"/>
                  <wp:effectExtent l="0" t="0" r="0" b="0"/>
                  <wp:docPr id="13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8" descr=""/>
                          <pic:cNvPicPr>
                            <a:picLocks noChangeAspect="1" noChangeArrowheads="1"/>
                          </pic:cNvPicPr>
                        </pic:nvPicPr>
                        <pic:blipFill>
                          <a:blip r:embed="rId134"/>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30480" cy="24765"/>
                  <wp:effectExtent l="0" t="0" r="0" b="0"/>
                  <wp:docPr id="13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9" descr=""/>
                          <pic:cNvPicPr>
                            <a:picLocks noChangeAspect="1" noChangeArrowheads="1"/>
                          </pic:cNvPicPr>
                        </pic:nvPicPr>
                        <pic:blipFill>
                          <a:blip r:embed="rId135"/>
                          <a:stretch>
                            <a:fillRect/>
                          </a:stretch>
                        </pic:blipFill>
                        <pic:spPr bwMode="auto">
                          <a:xfrm>
                            <a:off x="0" y="0"/>
                            <a:ext cx="30480" cy="24765"/>
                          </a:xfrm>
                          <a:prstGeom prst="rect">
                            <a:avLst/>
                          </a:prstGeom>
                        </pic:spPr>
                      </pic:pic>
                    </a:graphicData>
                  </a:graphic>
                </wp:inline>
              </w:drawing>
            </w:r>
            <w:r>
              <w:rPr/>
              <w:t xml:space="preserve">    </w:t>
            </w:r>
            <w:r>
              <w:rPr/>
              <w:drawing>
                <wp:inline distT="0" distB="0" distL="0" distR="0">
                  <wp:extent cx="22860" cy="27940"/>
                  <wp:effectExtent l="0" t="0" r="0" b="0"/>
                  <wp:docPr id="13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0" descr=""/>
                          <pic:cNvPicPr>
                            <a:picLocks noChangeAspect="1" noChangeArrowheads="1"/>
                          </pic:cNvPicPr>
                        </pic:nvPicPr>
                        <pic:blipFill>
                          <a:blip r:embed="rId136"/>
                          <a:stretch>
                            <a:fillRect/>
                          </a:stretch>
                        </pic:blipFill>
                        <pic:spPr bwMode="auto">
                          <a:xfrm>
                            <a:off x="0" y="0"/>
                            <a:ext cx="22860" cy="27940"/>
                          </a:xfrm>
                          <a:prstGeom prst="rect">
                            <a:avLst/>
                          </a:prstGeom>
                        </pic:spPr>
                      </pic:pic>
                    </a:graphicData>
                  </a:graphic>
                </wp:inline>
              </w:drawing>
            </w:r>
            <w:r>
              <w:rPr/>
              <w:t xml:space="preserve"> </w:t>
            </w:r>
          </w:p>
        </w:tc>
      </w:tr>
      <w:tr>
        <w:trPr/>
        <w:tc>
          <w:tcPr>
            <w:tcW w:w="135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714"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499" w:type="dxa"/>
            <w:tcBorders/>
            <w:shd w:fill="CCF2F8" w:val="clear"/>
            <w:vAlign w:val="center"/>
          </w:tcPr>
          <w:p>
            <w:pPr>
              <w:pStyle w:val="TableContents"/>
              <w:bidi w:val="0"/>
              <w:spacing w:before="0" w:after="283"/>
              <w:jc w:val="left"/>
              <w:rPr/>
            </w:pPr>
            <w:r>
              <w:rPr/>
              <w:t>  </w:t>
            </w:r>
          </w:p>
        </w:tc>
        <w:tc>
          <w:tcPr>
            <w:tcW w:w="5389" w:type="dxa"/>
            <w:gridSpan w:val="3"/>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both"/>
              <w:rPr>
                <w:rFonts w:ascii="arial" w:hAnsi="arial"/>
                <w:b/>
                <w:color w:val="0071CE"/>
                <w:sz w:val="18"/>
              </w:rPr>
            </w:pPr>
            <w:r>
              <w:rPr>
                <w:rFonts w:ascii="arial" w:hAnsi="arial"/>
                <w:b/>
                <w:color w:val="0071CE"/>
                <w:sz w:val="18"/>
              </w:rPr>
              <w:t>How is the Board influencing the Company’s DEI strategy?</w:t>
            </w:r>
          </w:p>
        </w:tc>
      </w:tr>
      <w:tr>
        <w:trPr/>
        <w:tc>
          <w:tcPr>
            <w:tcW w:w="135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714" w:type="dxa"/>
            <w:tcBorders/>
            <w:shd w:fill="CCF2F8" w:val="clear"/>
            <w:vAlign w:val="center"/>
          </w:tcPr>
          <w:p>
            <w:pPr>
              <w:pStyle w:val="TableContents"/>
              <w:bidi w:val="0"/>
              <w:spacing w:before="0" w:after="283"/>
              <w:jc w:val="center"/>
              <w:rPr>
                <w:b/>
                <w:color w:val="3E3935"/>
              </w:rPr>
            </w:pPr>
            <w:r>
              <w:rPr>
                <w:b/>
                <w:color w:val="3E3935"/>
              </w:rPr>
              <w:t>A:</w:t>
            </w:r>
          </w:p>
        </w:tc>
        <w:tc>
          <w:tcPr>
            <w:tcW w:w="499" w:type="dxa"/>
            <w:tcBorders/>
            <w:shd w:fill="CCF2F8" w:val="clear"/>
            <w:vAlign w:val="center"/>
          </w:tcPr>
          <w:p>
            <w:pPr>
              <w:pStyle w:val="TableContents"/>
              <w:bidi w:val="0"/>
              <w:spacing w:before="0" w:after="283"/>
              <w:jc w:val="left"/>
              <w:rPr/>
            </w:pPr>
            <w:r>
              <w:rPr/>
              <w:t>  </w:t>
            </w:r>
          </w:p>
        </w:tc>
        <w:tc>
          <w:tcPr>
            <w:tcW w:w="5389"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An effective DEI strategy drives a company’s performance by attracting and retaining great talent and building positive connections with customers and the communities where companies operate. The Company has made great progress on DEI, and the Board works closely with the Company’s Chief People Officer to share its insights and helps GM prepare for and manage various DEI headwinds and engage effectively with its workforce.</w:t>
            </w:r>
          </w:p>
        </w:tc>
      </w:tr>
    </w:tbl>
    <w:p>
      <w:pPr>
        <w:pStyle w:val="TextBody"/>
        <w:bidi w:val="0"/>
        <w:spacing w:before="0" w:after="0"/>
        <w:jc w:val="left"/>
        <w:rPr/>
      </w:pPr>
      <w:r>
        <w:rPr/>
        <w:t> </w:t>
      </w:r>
    </w:p>
    <w:tbl>
      <w:tblPr>
        <w:tblW w:w="8791" w:type="dxa"/>
        <w:jc w:val="left"/>
        <w:tblInd w:w="0" w:type="dxa"/>
        <w:tblLayout w:type="fixed"/>
        <w:tblCellMar>
          <w:top w:w="0" w:type="dxa"/>
          <w:left w:w="0" w:type="dxa"/>
          <w:bottom w:w="0" w:type="dxa"/>
          <w:right w:w="0" w:type="dxa"/>
        </w:tblCellMar>
      </w:tblPr>
      <w:tblGrid>
        <w:gridCol w:w="38"/>
        <w:gridCol w:w="60"/>
        <w:gridCol w:w="23"/>
        <w:gridCol w:w="60"/>
        <w:gridCol w:w="57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15</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925"/>
        <w:gridCol w:w="120"/>
        <w:gridCol w:w="23"/>
        <w:gridCol w:w="23"/>
        <w:gridCol w:w="23"/>
        <w:gridCol w:w="60"/>
        <w:gridCol w:w="2214"/>
        <w:gridCol w:w="408"/>
        <w:gridCol w:w="146"/>
        <w:gridCol w:w="396"/>
        <w:gridCol w:w="4867"/>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67" w:type="dxa"/>
            <w:tcBorders/>
            <w:vAlign w:val="center"/>
          </w:tcPr>
          <w:p>
            <w:pPr>
              <w:pStyle w:val="TableContents"/>
              <w:bidi w:val="0"/>
              <w:spacing w:before="0" w:after="283"/>
              <w:jc w:val="left"/>
              <w:rPr>
                <w:sz w:val="4"/>
                <w:szCs w:val="4"/>
              </w:rPr>
            </w:pPr>
            <w:r>
              <w:rPr>
                <w:sz w:val="4"/>
                <w:szCs w:val="4"/>
              </w:rPr>
            </w:r>
          </w:p>
        </w:tc>
      </w:tr>
      <w:tr>
        <w:trPr/>
        <w:tc>
          <w:tcPr>
            <w:tcW w:w="1925" w:type="dxa"/>
            <w:vMerge w:val="restart"/>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21285" cy="121285"/>
                  <wp:effectExtent l="0" t="0" r="0" b="0"/>
                  <wp:docPr id="14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1" descr=""/>
                          <pic:cNvPicPr>
                            <a:picLocks noChangeAspect="1" noChangeArrowheads="1"/>
                          </pic:cNvPicPr>
                        </pic:nvPicPr>
                        <pic:blipFill>
                          <a:blip r:embed="rId137"/>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Retired Vice Admiral</w:t>
            </w:r>
          </w:p>
          <w:p>
            <w:pPr>
              <w:pStyle w:val="TableContents"/>
              <w:bidi w:val="0"/>
              <w:spacing w:before="0" w:after="0"/>
              <w:jc w:val="left"/>
              <w:rPr>
                <w:rFonts w:ascii="arial" w:hAnsi="arial"/>
                <w:color w:val="3E3935"/>
                <w:sz w:val="18"/>
              </w:rPr>
            </w:pPr>
            <w:r>
              <w:rPr>
                <w:rFonts w:ascii="arial" w:hAnsi="arial"/>
                <w:color w:val="3E3935"/>
                <w:sz w:val="18"/>
              </w:rPr>
              <w:t>U.S. Navy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61</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2023</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Female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Audit</w:t>
            </w:r>
          </w:p>
          <w:p>
            <w:pPr>
              <w:pStyle w:val="TableContents"/>
              <w:bidi w:val="0"/>
              <w:spacing w:before="0" w:after="0"/>
              <w:jc w:val="left"/>
              <w:rPr>
                <w:rFonts w:ascii="arial" w:hAnsi="arial"/>
                <w:color w:val="3E3935"/>
                <w:sz w:val="18"/>
              </w:rPr>
            </w:pPr>
            <w:r>
              <w:rPr>
                <w:rFonts w:ascii="arial" w:hAnsi="arial"/>
                <w:color w:val="3E3935"/>
                <w:sz w:val="18"/>
              </w:rPr>
              <w:t>Risk and Cybersecurity</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Model:</w:t>
            </w:r>
          </w:p>
          <w:p>
            <w:pPr>
              <w:pStyle w:val="TableContents"/>
              <w:bidi w:val="0"/>
              <w:spacing w:before="0" w:after="20"/>
              <w:jc w:val="left"/>
              <w:rPr>
                <w:rFonts w:ascii="arial" w:hAnsi="arial"/>
                <w:color w:val="3E3935"/>
                <w:sz w:val="18"/>
              </w:rPr>
            </w:pPr>
            <w:r>
              <w:rPr>
                <w:rFonts w:ascii="arial" w:hAnsi="arial"/>
                <w:color w:val="3E3935"/>
                <w:sz w:val="18"/>
              </w:rPr>
              <w:t>Chevrolet Corvette</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8" w:type="dxa"/>
            <w:gridSpan w:val="3"/>
            <w:tcBorders/>
            <w:vAlign w:val="center"/>
          </w:tcPr>
          <w:p>
            <w:pPr>
              <w:pStyle w:val="TableContents"/>
              <w:bidi w:val="0"/>
              <w:spacing w:before="0" w:after="283"/>
              <w:jc w:val="left"/>
              <w:rPr>
                <w:b/>
                <w:color w:val="3E3935"/>
                <w:sz w:val="32"/>
              </w:rPr>
            </w:pPr>
            <w:r>
              <w:rPr>
                <w:b/>
                <w:color w:val="3E3935"/>
                <w:sz w:val="32"/>
              </w:rPr>
              <w:t>Jan E. Tighe</w:t>
            </w:r>
          </w:p>
        </w:tc>
        <w:tc>
          <w:tcPr>
            <w:tcW w:w="396" w:type="dxa"/>
            <w:tcBorders/>
            <w:vAlign w:val="center"/>
          </w:tcPr>
          <w:p>
            <w:pPr>
              <w:pStyle w:val="TableContents"/>
              <w:bidi w:val="0"/>
              <w:spacing w:before="0" w:after="283"/>
              <w:jc w:val="left"/>
              <w:rPr/>
            </w:pPr>
            <w:r>
              <w:rPr/>
              <w:t>  </w:t>
            </w:r>
          </w:p>
        </w:tc>
        <w:tc>
          <w:tcPr>
            <w:tcW w:w="4867"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14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2" descr=""/>
                          <pic:cNvPicPr>
                            <a:picLocks noChangeAspect="1" noChangeArrowheads="1"/>
                          </pic:cNvPicPr>
                        </pic:nvPicPr>
                        <pic:blipFill>
                          <a:blip r:embed="rId138"/>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92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31"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Experience:</w:t>
            </w:r>
            <w:r>
              <w:rPr>
                <w:rFonts w:ascii="arial" w:hAnsi="arial"/>
                <w:color w:val="3E3935"/>
                <w:sz w:val="18"/>
              </w:rPr>
              <w:t> Vice Admiral Tighe retired from the U.S. Navy in 2018, having served as the Deputy Chief of Naval Operations for Information Warfare and Director of Naval Intelligence. Her prior Flag Officer assignments include command of the Navy’s Fleet Cyber Command, President of the Naval Postgraduate School, and Deputy Director of Operations at U.S. Cyber Command.</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Vice Admiral Tighe cultivated her operational experience in complex cybersecurity matters, including operational technologies, information systems technology, technology risk management, and strategic assessments, while serving in global operations roles for the U.S. Navy and the National Security Agency. Her more than 20 years of senior military leadership experience during a critical period of transformation in the U.S. Navy also provides critical human capital insights as the Company transforms its workforce to deploy its EV and AV technologies.</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The Goldman Sachs Group, Inc. and Huntsman Corporation</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The Progressive Corporation and IronNet Inc.</w:t>
            </w:r>
          </w:p>
          <w:p>
            <w:pPr>
              <w:pStyle w:val="TableContents"/>
              <w:bidi w:val="0"/>
              <w:spacing w:before="0" w:after="20"/>
              <w:jc w:val="left"/>
              <w:rPr/>
            </w:pPr>
            <w:r>
              <w:rPr/>
              <w:t> </w:t>
            </w:r>
          </w:p>
        </w:tc>
      </w:tr>
      <w:tr>
        <w:trPr/>
        <w:tc>
          <w:tcPr>
            <w:tcW w:w="192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408" w:type="dxa"/>
            <w:tcBorders/>
            <w:vAlign w:val="center"/>
          </w:tcPr>
          <w:p>
            <w:pPr>
              <w:pStyle w:val="TableContents"/>
              <w:bidi w:val="0"/>
              <w:spacing w:before="0" w:after="283"/>
              <w:jc w:val="left"/>
              <w:rPr/>
            </w:pPr>
            <w:r>
              <w:rPr/>
              <w:t>  </w:t>
            </w:r>
          </w:p>
        </w:tc>
        <w:tc>
          <w:tcPr>
            <w:tcW w:w="5409" w:type="dxa"/>
            <w:gridSpan w:val="3"/>
            <w:tcBorders/>
            <w:vAlign w:val="center"/>
          </w:tcPr>
          <w:p>
            <w:pPr>
              <w:pStyle w:val="TableContents"/>
              <w:bidi w:val="0"/>
              <w:spacing w:before="0" w:after="0"/>
              <w:jc w:val="both"/>
              <w:rPr/>
            </w:pPr>
            <w:r>
              <w:rPr/>
              <w:t xml:space="preserve">   </w:t>
            </w:r>
            <w:r>
              <w:rPr/>
              <w:drawing>
                <wp:inline distT="0" distB="0" distL="0" distR="0">
                  <wp:extent cx="32385" cy="24765"/>
                  <wp:effectExtent l="0" t="0" r="0" b="0"/>
                  <wp:docPr id="14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3" descr=""/>
                          <pic:cNvPicPr>
                            <a:picLocks noChangeAspect="1" noChangeArrowheads="1"/>
                          </pic:cNvPicPr>
                        </pic:nvPicPr>
                        <pic:blipFill>
                          <a:blip r:embed="rId139"/>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14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4" descr=""/>
                          <pic:cNvPicPr>
                            <a:picLocks noChangeAspect="1" noChangeArrowheads="1"/>
                          </pic:cNvPicPr>
                        </pic:nvPicPr>
                        <pic:blipFill>
                          <a:blip r:embed="rId140"/>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34290" cy="24765"/>
                  <wp:effectExtent l="0" t="0" r="0" b="0"/>
                  <wp:docPr id="14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5" descr=""/>
                          <pic:cNvPicPr>
                            <a:picLocks noChangeAspect="1" noChangeArrowheads="1"/>
                          </pic:cNvPicPr>
                        </pic:nvPicPr>
                        <pic:blipFill>
                          <a:blip r:embed="rId141"/>
                          <a:stretch>
                            <a:fillRect/>
                          </a:stretch>
                        </pic:blipFill>
                        <pic:spPr bwMode="auto">
                          <a:xfrm>
                            <a:off x="0" y="0"/>
                            <a:ext cx="34290" cy="24765"/>
                          </a:xfrm>
                          <a:prstGeom prst="rect">
                            <a:avLst/>
                          </a:prstGeom>
                        </pic:spPr>
                      </pic:pic>
                    </a:graphicData>
                  </a:graphic>
                </wp:inline>
              </w:drawing>
            </w:r>
            <w:r>
              <w:rPr/>
              <w:t xml:space="preserve">    </w:t>
            </w:r>
            <w:r>
              <w:rPr/>
              <w:drawing>
                <wp:inline distT="0" distB="0" distL="0" distR="0">
                  <wp:extent cx="22860" cy="27940"/>
                  <wp:effectExtent l="0" t="0" r="0" b="0"/>
                  <wp:docPr id="14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6" descr=""/>
                          <pic:cNvPicPr>
                            <a:picLocks noChangeAspect="1" noChangeArrowheads="1"/>
                          </pic:cNvPicPr>
                        </pic:nvPicPr>
                        <pic:blipFill>
                          <a:blip r:embed="rId142"/>
                          <a:stretch>
                            <a:fillRect/>
                          </a:stretch>
                        </pic:blipFill>
                        <pic:spPr bwMode="auto">
                          <a:xfrm>
                            <a:off x="0" y="0"/>
                            <a:ext cx="22860" cy="27940"/>
                          </a:xfrm>
                          <a:prstGeom prst="rect">
                            <a:avLst/>
                          </a:prstGeom>
                        </pic:spPr>
                      </pic:pic>
                    </a:graphicData>
                  </a:graphic>
                </wp:inline>
              </w:drawing>
            </w:r>
            <w:r>
              <w:rPr/>
              <w:t xml:space="preserve"> </w:t>
            </w:r>
          </w:p>
        </w:tc>
      </w:tr>
      <w:tr>
        <w:trPr/>
        <w:tc>
          <w:tcPr>
            <w:tcW w:w="192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214"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408" w:type="dxa"/>
            <w:tcBorders/>
            <w:shd w:fill="CCF2F8" w:val="clear"/>
            <w:vAlign w:val="center"/>
          </w:tcPr>
          <w:p>
            <w:pPr>
              <w:pStyle w:val="TableContents"/>
              <w:bidi w:val="0"/>
              <w:spacing w:before="0" w:after="283"/>
              <w:jc w:val="left"/>
              <w:rPr/>
            </w:pPr>
            <w:r>
              <w:rPr/>
              <w:t>  </w:t>
            </w:r>
          </w:p>
        </w:tc>
        <w:tc>
          <w:tcPr>
            <w:tcW w:w="5409" w:type="dxa"/>
            <w:gridSpan w:val="3"/>
            <w:tcBorders/>
            <w:shd w:fill="CCF2F8" w:val="clear"/>
            <w:vAlign w:val="center"/>
          </w:tcPr>
          <w:p>
            <w:pPr>
              <w:pStyle w:val="TableContents"/>
              <w:bidi w:val="0"/>
              <w:spacing w:before="0" w:after="0"/>
              <w:jc w:val="left"/>
              <w:rPr/>
            </w:pPr>
            <w:r>
              <w:rPr/>
              <w:t> </w:t>
            </w:r>
          </w:p>
          <w:p>
            <w:pPr>
              <w:pStyle w:val="TableContents"/>
              <w:bidi w:val="0"/>
              <w:spacing w:lineRule="atLeast" w:line="500" w:before="0" w:after="20"/>
              <w:jc w:val="both"/>
              <w:rPr>
                <w:rFonts w:ascii="arial" w:hAnsi="arial"/>
                <w:b/>
                <w:color w:val="0071CE"/>
                <w:sz w:val="18"/>
              </w:rPr>
            </w:pPr>
            <w:r>
              <w:rPr>
                <w:rFonts w:ascii="arial" w:hAnsi="arial"/>
                <w:b/>
                <w:color w:val="0071CE"/>
                <w:sz w:val="18"/>
              </w:rPr>
              <w:t>How did the new director orientation enhance your understanding of the Company?</w:t>
            </w:r>
          </w:p>
        </w:tc>
      </w:tr>
      <w:tr>
        <w:trPr/>
        <w:tc>
          <w:tcPr>
            <w:tcW w:w="192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214" w:type="dxa"/>
            <w:tcBorders/>
            <w:shd w:fill="CCF2F8" w:val="clear"/>
            <w:vAlign w:val="center"/>
          </w:tcPr>
          <w:p>
            <w:pPr>
              <w:pStyle w:val="TableContents"/>
              <w:bidi w:val="0"/>
              <w:spacing w:before="0" w:after="283"/>
              <w:jc w:val="center"/>
              <w:rPr>
                <w:b/>
                <w:color w:val="3E3935"/>
              </w:rPr>
            </w:pPr>
            <w:r>
              <w:rPr>
                <w:b/>
                <w:color w:val="3E3935"/>
              </w:rPr>
              <w:t>A:</w:t>
            </w:r>
          </w:p>
        </w:tc>
        <w:tc>
          <w:tcPr>
            <w:tcW w:w="408" w:type="dxa"/>
            <w:tcBorders/>
            <w:shd w:fill="CCF2F8" w:val="clear"/>
            <w:vAlign w:val="center"/>
          </w:tcPr>
          <w:p>
            <w:pPr>
              <w:pStyle w:val="TableContents"/>
              <w:bidi w:val="0"/>
              <w:spacing w:before="0" w:after="283"/>
              <w:jc w:val="left"/>
              <w:rPr/>
            </w:pPr>
            <w:r>
              <w:rPr/>
              <w:t>  </w:t>
            </w:r>
          </w:p>
        </w:tc>
        <w:tc>
          <w:tcPr>
            <w:tcW w:w="5409"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During my GM director orientation last year, I had the opportunity to visit the Flint Assembly Manufacturing Plant and the Detroit Hamtramck Factory Zero Assembly Center. Walking the floor and engaging with the workforce provided great insight into GM’s advanced manufacturing capabilities. At the Flint plant, I also met with the Company’s veterans’ group and the UAW Local 598 Veterans Committee, who support veteran programs in the area. I left impressed by the impact GM has on the local communities where it operates. These experiences helped lay a strong foundation for my understanding of the Company.</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89"/>
        <w:gridCol w:w="120"/>
        <w:gridCol w:w="23"/>
        <w:gridCol w:w="23"/>
        <w:gridCol w:w="23"/>
        <w:gridCol w:w="60"/>
        <w:gridCol w:w="3287"/>
        <w:gridCol w:w="603"/>
        <w:gridCol w:w="153"/>
        <w:gridCol w:w="342"/>
        <w:gridCol w:w="4182"/>
      </w:tblGrid>
      <w:tr>
        <w:trPr/>
        <w:tc>
          <w:tcPr>
            <w:tcW w:w="13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182" w:type="dxa"/>
            <w:tcBorders/>
            <w:vAlign w:val="center"/>
          </w:tcPr>
          <w:p>
            <w:pPr>
              <w:pStyle w:val="TableContents"/>
              <w:bidi w:val="0"/>
              <w:spacing w:before="0" w:after="283"/>
              <w:jc w:val="left"/>
              <w:rPr>
                <w:sz w:val="4"/>
                <w:szCs w:val="4"/>
              </w:rPr>
            </w:pPr>
            <w:r>
              <w:rPr>
                <w:sz w:val="4"/>
                <w:szCs w:val="4"/>
              </w:rPr>
            </w:r>
          </w:p>
        </w:tc>
      </w:tr>
      <w:tr>
        <w:trPr/>
        <w:tc>
          <w:tcPr>
            <w:tcW w:w="1389" w:type="dxa"/>
            <w:vMerge w:val="restart"/>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21285" cy="121285"/>
                  <wp:effectExtent l="0" t="0" r="0" b="0"/>
                  <wp:docPr id="14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7" descr=""/>
                          <pic:cNvPicPr>
                            <a:picLocks noChangeAspect="1" noChangeArrowheads="1"/>
                          </pic:cNvPicPr>
                        </pic:nvPicPr>
                        <pic:blipFill>
                          <a:blip r:embed="rId143"/>
                          <a:stretch>
                            <a:fillRect/>
                          </a:stretch>
                        </pic:blipFill>
                        <pic:spPr bwMode="auto">
                          <a:xfrm>
                            <a:off x="0" y="0"/>
                            <a:ext cx="121285" cy="121285"/>
                          </a:xfrm>
                          <a:prstGeom prst="rect">
                            <a:avLst/>
                          </a:prstGeom>
                        </pic:spPr>
                      </pic:pic>
                    </a:graphicData>
                  </a:graphic>
                </wp:inline>
              </w:drawing>
            </w:r>
            <w:r>
              <w:rPr/>
              <w:t xml:space="preserve"> </w:t>
            </w:r>
          </w:p>
          <w:p>
            <w:pPr>
              <w:pStyle w:val="TableContents"/>
              <w:bidi w:val="0"/>
              <w:spacing w:before="0" w:after="0"/>
              <w:jc w:val="left"/>
              <w:rPr>
                <w:rFonts w:ascii="arial" w:hAnsi="arial"/>
                <w:color w:val="3E3935"/>
                <w:sz w:val="18"/>
              </w:rPr>
            </w:pPr>
            <w:r>
              <w:rPr>
                <w:rFonts w:ascii="arial" w:hAnsi="arial"/>
                <w:color w:val="3E3935"/>
                <w:sz w:val="18"/>
              </w:rPr>
              <w:t>Co-Founder and CEO, Symbolic.ai</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0071CE"/>
                <w:sz w:val="18"/>
              </w:rPr>
              <w:t xml:space="preserve">Age: </w:t>
            </w:r>
            <w:r>
              <w:rPr>
                <w:rFonts w:ascii="arial" w:hAnsi="arial"/>
                <w:color w:val="3E3935"/>
                <w:sz w:val="18"/>
              </w:rPr>
              <w:t>57</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Director since:</w:t>
            </w:r>
            <w:r>
              <w:rPr>
                <w:rFonts w:ascii="arial" w:hAnsi="arial"/>
                <w:color w:val="3E3935"/>
                <w:sz w:val="18"/>
              </w:rPr>
              <w:t xml:space="preserve"> 2018</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Gender:</w:t>
            </w:r>
            <w:r>
              <w:rPr>
                <w:rFonts w:ascii="arial" w:hAnsi="arial"/>
                <w:color w:val="3E3935"/>
                <w:sz w:val="18"/>
              </w:rPr>
              <w:t xml:space="preserve"> Male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b/>
                <w:color w:val="0071CE"/>
                <w:sz w:val="18"/>
              </w:rPr>
              <w:t>Race/Ethnicity:</w:t>
            </w:r>
            <w:r>
              <w:rPr>
                <w:rFonts w:ascii="arial" w:hAnsi="arial"/>
                <w:color w:val="3E3935"/>
                <w:sz w:val="18"/>
              </w:rPr>
              <w:t xml:space="preserve"> White</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Committees:</w:t>
            </w:r>
          </w:p>
          <w:p>
            <w:pPr>
              <w:pStyle w:val="TableContents"/>
              <w:bidi w:val="0"/>
              <w:spacing w:before="0" w:after="0"/>
              <w:jc w:val="left"/>
              <w:rPr>
                <w:rFonts w:ascii="arial" w:hAnsi="arial"/>
                <w:color w:val="3E3935"/>
                <w:sz w:val="18"/>
              </w:rPr>
            </w:pPr>
            <w:r>
              <w:rPr>
                <w:rFonts w:ascii="arial" w:hAnsi="arial"/>
                <w:color w:val="3E3935"/>
                <w:sz w:val="18"/>
              </w:rPr>
              <w:t>Compensation</w:t>
            </w:r>
          </w:p>
          <w:p>
            <w:pPr>
              <w:pStyle w:val="TableContents"/>
              <w:bidi w:val="0"/>
              <w:spacing w:before="0" w:after="0"/>
              <w:jc w:val="left"/>
              <w:rPr/>
            </w:pPr>
            <w:r>
              <w:rPr/>
              <w:t> </w:t>
            </w:r>
          </w:p>
          <w:p>
            <w:pPr>
              <w:pStyle w:val="TableContents"/>
              <w:bidi w:val="0"/>
              <w:spacing w:before="0" w:after="0"/>
              <w:jc w:val="both"/>
              <w:rPr>
                <w:rFonts w:ascii="arial" w:hAnsi="arial"/>
                <w:b/>
                <w:color w:val="0071CE"/>
                <w:sz w:val="18"/>
              </w:rPr>
            </w:pPr>
            <w:r>
              <w:rPr>
                <w:rFonts w:ascii="arial" w:hAnsi="arial"/>
                <w:b/>
                <w:color w:val="0071CE"/>
                <w:sz w:val="18"/>
              </w:rPr>
              <w:t>Favorite GM Model:</w:t>
            </w:r>
          </w:p>
          <w:p>
            <w:pPr>
              <w:pStyle w:val="TableContents"/>
              <w:bidi w:val="0"/>
              <w:spacing w:before="0" w:after="20"/>
              <w:jc w:val="left"/>
              <w:rPr>
                <w:rFonts w:ascii="arial" w:hAnsi="arial"/>
                <w:color w:val="3E3935"/>
                <w:sz w:val="18"/>
              </w:rPr>
            </w:pPr>
            <w:r>
              <w:rPr>
                <w:rFonts w:ascii="arial" w:hAnsi="arial"/>
                <w:color w:val="3E3935"/>
                <w:sz w:val="18"/>
              </w:rPr>
              <w:t>Chevrolet Silverado EV</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3" w:type="dxa"/>
            <w:gridSpan w:val="3"/>
            <w:tcBorders/>
            <w:vAlign w:val="center"/>
          </w:tcPr>
          <w:p>
            <w:pPr>
              <w:pStyle w:val="TableContents"/>
              <w:bidi w:val="0"/>
              <w:spacing w:before="0" w:after="283"/>
              <w:jc w:val="left"/>
              <w:rPr>
                <w:b/>
                <w:color w:val="3E3935"/>
                <w:sz w:val="32"/>
              </w:rPr>
            </w:pPr>
            <w:r>
              <w:rPr>
                <w:b/>
                <w:color w:val="3E3935"/>
                <w:sz w:val="32"/>
              </w:rPr>
              <w:t>Devin N. Wenig</w:t>
            </w:r>
          </w:p>
        </w:tc>
        <w:tc>
          <w:tcPr>
            <w:tcW w:w="342" w:type="dxa"/>
            <w:tcBorders/>
            <w:vAlign w:val="center"/>
          </w:tcPr>
          <w:p>
            <w:pPr>
              <w:pStyle w:val="TableContents"/>
              <w:bidi w:val="0"/>
              <w:spacing w:before="0" w:after="283"/>
              <w:jc w:val="left"/>
              <w:rPr/>
            </w:pPr>
            <w:r>
              <w:rPr/>
              <w:t>  </w:t>
            </w:r>
          </w:p>
        </w:tc>
        <w:tc>
          <w:tcPr>
            <w:tcW w:w="4182" w:type="dxa"/>
            <w:tcBorders/>
            <w:vAlign w:val="center"/>
          </w:tcPr>
          <w:p>
            <w:pPr>
              <w:pStyle w:val="TableContents"/>
              <w:bidi w:val="0"/>
              <w:spacing w:before="0" w:after="283"/>
              <w:jc w:val="right"/>
              <w:rPr>
                <w:color w:val="0071CE"/>
              </w:rPr>
            </w:pPr>
            <w:r>
              <w:rPr>
                <w:color w:val="0071CE"/>
              </w:rPr>
              <w:drawing>
                <wp:inline distT="0" distB="0" distL="0" distR="0">
                  <wp:extent cx="14605" cy="14605"/>
                  <wp:effectExtent l="0" t="0" r="0" b="0"/>
                  <wp:docPr id="14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8" descr=""/>
                          <pic:cNvPicPr>
                            <a:picLocks noChangeAspect="1" noChangeArrowheads="1"/>
                          </pic:cNvPicPr>
                        </pic:nvPicPr>
                        <pic:blipFill>
                          <a:blip r:embed="rId144"/>
                          <a:stretch>
                            <a:fillRect/>
                          </a:stretch>
                        </pic:blipFill>
                        <pic:spPr bwMode="auto">
                          <a:xfrm>
                            <a:off x="0" y="0"/>
                            <a:ext cx="14605" cy="14605"/>
                          </a:xfrm>
                          <a:prstGeom prst="rect">
                            <a:avLst/>
                          </a:prstGeom>
                        </pic:spPr>
                      </pic:pic>
                    </a:graphicData>
                  </a:graphic>
                </wp:inline>
              </w:drawing>
            </w:r>
            <w:r>
              <w:rPr>
                <w:color w:val="0071CE"/>
              </w:rPr>
              <w:t xml:space="preserve">  </w:t>
            </w:r>
            <w:r>
              <w:rPr>
                <w:b/>
                <w:color w:val="0071CE"/>
              </w:rPr>
              <w:t>Independent</w:t>
            </w:r>
          </w:p>
        </w:tc>
      </w:tr>
      <w:tr>
        <w:trPr/>
        <w:tc>
          <w:tcPr>
            <w:tcW w:w="138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67" w:type="dxa"/>
            <w:gridSpan w:val="5"/>
            <w:tcBorders/>
            <w:vAlign w:val="center"/>
          </w:tcPr>
          <w:p>
            <w:pPr>
              <w:pStyle w:val="TableContents"/>
              <w:bidi w:val="0"/>
              <w:spacing w:before="0" w:after="0"/>
              <w:jc w:val="both"/>
              <w:rPr>
                <w:rFonts w:ascii="arial" w:hAnsi="arial"/>
                <w:color w:val="3E3935"/>
                <w:sz w:val="18"/>
              </w:rPr>
            </w:pPr>
            <w:r>
              <w:rPr>
                <w:rFonts w:ascii="arial" w:hAnsi="arial"/>
                <w:b/>
                <w:color w:val="3E3935"/>
                <w:sz w:val="18"/>
              </w:rPr>
              <w:t xml:space="preserve">Experience: </w:t>
            </w:r>
            <w:r>
              <w:rPr>
                <w:rFonts w:ascii="arial" w:hAnsi="arial"/>
                <w:color w:val="3E3935"/>
                <w:sz w:val="18"/>
              </w:rPr>
              <w:t>Since 2023, Mr. Wenig has served as Co-Founder and CEO of Symbolic.ai, a platform and application with advanced AI capabilities for publishers and professional writers in news, research, and communications. Previously, he served as President and CEO of eBay Inc. and as a member of its board of directors from July 2015 to August 2019. Mr. Wenig also served as President of eBay’s Marketplaces business from September 2011 to July 2015. Prior to joining eBay, Mr. Wenig was CEO of Thomson Reuters Corporation’s largest division, Thomson Reuters Markets, from 2008 to 2011; Chief Operating Officer of Reuters Group plc from 2006 to 2008; and President of Reuters’ business divisions from 2003 to 2006.</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Reasons for Nomination:</w:t>
            </w:r>
            <w:r>
              <w:rPr>
                <w:rFonts w:ascii="arial" w:hAnsi="arial"/>
                <w:color w:val="3E3935"/>
                <w:sz w:val="18"/>
              </w:rPr>
              <w:t xml:space="preserve"> Mr. Wenig has extensive senior leadership experience in software and technology, global operations, and strategic planning. He also has significant expertise leading both high-growth companies from the start-up phase and large, complex organizations.</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Other Public Company Directorships:</w:t>
            </w:r>
            <w:r>
              <w:rPr>
                <w:rFonts w:ascii="arial" w:hAnsi="arial"/>
                <w:color w:val="3E3935"/>
                <w:sz w:val="18"/>
              </w:rPr>
              <w:t> None</w:t>
            </w:r>
          </w:p>
          <w:p>
            <w:pPr>
              <w:pStyle w:val="TableContents"/>
              <w:bidi w:val="0"/>
              <w:spacing w:before="0" w:after="0"/>
              <w:jc w:val="left"/>
              <w:rPr/>
            </w:pPr>
            <w:r>
              <w:rPr/>
              <w:t> </w:t>
            </w:r>
          </w:p>
          <w:p>
            <w:pPr>
              <w:pStyle w:val="TableContents"/>
              <w:bidi w:val="0"/>
              <w:spacing w:before="0" w:after="0"/>
              <w:jc w:val="both"/>
              <w:rPr>
                <w:rFonts w:ascii="arial" w:hAnsi="arial"/>
                <w:color w:val="3E3935"/>
                <w:sz w:val="18"/>
              </w:rPr>
            </w:pPr>
            <w:r>
              <w:rPr>
                <w:rFonts w:ascii="arial" w:hAnsi="arial"/>
                <w:b/>
                <w:color w:val="3E3935"/>
                <w:sz w:val="18"/>
              </w:rPr>
              <w:t>Prior Public Company Directorships (2019-2024):</w:t>
            </w:r>
            <w:r>
              <w:rPr>
                <w:rFonts w:ascii="arial" w:hAnsi="arial"/>
                <w:color w:val="3E3935"/>
                <w:sz w:val="18"/>
              </w:rPr>
              <w:t> eBay Inc.</w:t>
            </w:r>
          </w:p>
          <w:p>
            <w:pPr>
              <w:pStyle w:val="TableContents"/>
              <w:bidi w:val="0"/>
              <w:spacing w:before="0" w:after="20"/>
              <w:jc w:val="left"/>
              <w:rPr/>
            </w:pPr>
            <w:r>
              <w:rPr/>
              <w:t> </w:t>
            </w:r>
          </w:p>
        </w:tc>
      </w:tr>
      <w:tr>
        <w:trPr/>
        <w:tc>
          <w:tcPr>
            <w:tcW w:w="138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87" w:type="dxa"/>
            <w:tcBorders/>
            <w:vAlign w:val="center"/>
          </w:tcPr>
          <w:p>
            <w:pPr>
              <w:pStyle w:val="TableContents"/>
              <w:bidi w:val="0"/>
              <w:spacing w:before="0" w:after="0"/>
              <w:jc w:val="both"/>
              <w:rPr>
                <w:rFonts w:ascii="arial" w:hAnsi="arial"/>
                <w:b/>
                <w:color w:val="3E3935"/>
                <w:sz w:val="18"/>
              </w:rPr>
            </w:pPr>
            <w:r>
              <w:rPr>
                <w:rFonts w:ascii="arial" w:hAnsi="arial"/>
                <w:b/>
                <w:color w:val="3E3935"/>
                <w:sz w:val="18"/>
              </w:rPr>
              <w:t>Skillset</w:t>
            </w:r>
          </w:p>
          <w:p>
            <w:pPr>
              <w:pStyle w:val="TableContents"/>
              <w:bidi w:val="0"/>
              <w:spacing w:before="0" w:after="20"/>
              <w:jc w:val="left"/>
              <w:rPr/>
            </w:pPr>
            <w:r>
              <w:rPr/>
              <w:t> </w:t>
            </w:r>
          </w:p>
        </w:tc>
        <w:tc>
          <w:tcPr>
            <w:tcW w:w="603" w:type="dxa"/>
            <w:tcBorders/>
            <w:vAlign w:val="center"/>
          </w:tcPr>
          <w:p>
            <w:pPr>
              <w:pStyle w:val="TableContents"/>
              <w:bidi w:val="0"/>
              <w:spacing w:before="0" w:after="283"/>
              <w:jc w:val="left"/>
              <w:rPr/>
            </w:pPr>
            <w:r>
              <w:rPr/>
              <w:t>  </w:t>
            </w:r>
          </w:p>
        </w:tc>
        <w:tc>
          <w:tcPr>
            <w:tcW w:w="4677" w:type="dxa"/>
            <w:gridSpan w:val="3"/>
            <w:tcBorders/>
            <w:vAlign w:val="center"/>
          </w:tcPr>
          <w:p>
            <w:pPr>
              <w:pStyle w:val="TableContents"/>
              <w:bidi w:val="0"/>
              <w:spacing w:before="0" w:after="0"/>
              <w:jc w:val="both"/>
              <w:rPr/>
            </w:pPr>
            <w:r>
              <w:rPr/>
              <w:drawing>
                <wp:inline distT="0" distB="0" distL="0" distR="0">
                  <wp:extent cx="26670" cy="28575"/>
                  <wp:effectExtent l="0" t="0" r="0" b="0"/>
                  <wp:docPr id="14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9" descr=""/>
                          <pic:cNvPicPr>
                            <a:picLocks noChangeAspect="1" noChangeArrowheads="1"/>
                          </pic:cNvPicPr>
                        </pic:nvPicPr>
                        <pic:blipFill>
                          <a:blip r:embed="rId145"/>
                          <a:stretch>
                            <a:fillRect/>
                          </a:stretch>
                        </pic:blipFill>
                        <pic:spPr bwMode="auto">
                          <a:xfrm>
                            <a:off x="0" y="0"/>
                            <a:ext cx="26670" cy="28575"/>
                          </a:xfrm>
                          <a:prstGeom prst="rect">
                            <a:avLst/>
                          </a:prstGeom>
                        </pic:spPr>
                      </pic:pic>
                    </a:graphicData>
                  </a:graphic>
                </wp:inline>
              </w:drawing>
            </w:r>
            <w:r>
              <w:rPr/>
              <w:t xml:space="preserve">    </w:t>
            </w:r>
            <w:r>
              <w:rPr/>
              <w:drawing>
                <wp:inline distT="0" distB="0" distL="0" distR="0">
                  <wp:extent cx="32385" cy="24765"/>
                  <wp:effectExtent l="0" t="0" r="0" b="0"/>
                  <wp:docPr id="14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0" descr=""/>
                          <pic:cNvPicPr>
                            <a:picLocks noChangeAspect="1" noChangeArrowheads="1"/>
                          </pic:cNvPicPr>
                        </pic:nvPicPr>
                        <pic:blipFill>
                          <a:blip r:embed="rId146"/>
                          <a:stretch>
                            <a:fillRect/>
                          </a:stretch>
                        </pic:blipFill>
                        <pic:spPr bwMode="auto">
                          <a:xfrm>
                            <a:off x="0" y="0"/>
                            <a:ext cx="32385" cy="24765"/>
                          </a:xfrm>
                          <a:prstGeom prst="rect">
                            <a:avLst/>
                          </a:prstGeom>
                        </pic:spPr>
                      </pic:pic>
                    </a:graphicData>
                  </a:graphic>
                </wp:inline>
              </w:drawing>
            </w:r>
            <w:r>
              <w:rPr/>
              <w:t xml:space="preserve">    </w:t>
            </w:r>
            <w:r>
              <w:rPr/>
              <w:drawing>
                <wp:inline distT="0" distB="0" distL="0" distR="0">
                  <wp:extent cx="28575" cy="28575"/>
                  <wp:effectExtent l="0" t="0" r="0" b="0"/>
                  <wp:docPr id="15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1" descr=""/>
                          <pic:cNvPicPr>
                            <a:picLocks noChangeAspect="1" noChangeArrowheads="1"/>
                          </pic:cNvPicPr>
                        </pic:nvPicPr>
                        <pic:blipFill>
                          <a:blip r:embed="rId147"/>
                          <a:stretch>
                            <a:fillRect/>
                          </a:stretch>
                        </pic:blipFill>
                        <pic:spPr bwMode="auto">
                          <a:xfrm>
                            <a:off x="0" y="0"/>
                            <a:ext cx="28575" cy="28575"/>
                          </a:xfrm>
                          <a:prstGeom prst="rect">
                            <a:avLst/>
                          </a:prstGeom>
                        </pic:spPr>
                      </pic:pic>
                    </a:graphicData>
                  </a:graphic>
                </wp:inline>
              </w:drawing>
            </w:r>
            <w:r>
              <w:rPr/>
              <w:t xml:space="preserve">    </w:t>
            </w:r>
            <w:r>
              <w:rPr/>
              <w:drawing>
                <wp:inline distT="0" distB="0" distL="0" distR="0">
                  <wp:extent cx="26035" cy="29210"/>
                  <wp:effectExtent l="0" t="0" r="0" b="0"/>
                  <wp:docPr id="15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2" descr=""/>
                          <pic:cNvPicPr>
                            <a:picLocks noChangeAspect="1" noChangeArrowheads="1"/>
                          </pic:cNvPicPr>
                        </pic:nvPicPr>
                        <pic:blipFill>
                          <a:blip r:embed="rId148"/>
                          <a:stretch>
                            <a:fillRect/>
                          </a:stretch>
                        </pic:blipFill>
                        <pic:spPr bwMode="auto">
                          <a:xfrm>
                            <a:off x="0" y="0"/>
                            <a:ext cx="26035" cy="29210"/>
                          </a:xfrm>
                          <a:prstGeom prst="rect">
                            <a:avLst/>
                          </a:prstGeom>
                        </pic:spPr>
                      </pic:pic>
                    </a:graphicData>
                  </a:graphic>
                </wp:inline>
              </w:drawing>
            </w:r>
            <w:r>
              <w:rPr/>
              <w:t xml:space="preserve">    </w:t>
            </w:r>
            <w:r>
              <w:rPr/>
              <w:drawing>
                <wp:inline distT="0" distB="0" distL="0" distR="0">
                  <wp:extent cx="30480" cy="24765"/>
                  <wp:effectExtent l="0" t="0" r="0" b="0"/>
                  <wp:docPr id="15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3" descr=""/>
                          <pic:cNvPicPr>
                            <a:picLocks noChangeAspect="1" noChangeArrowheads="1"/>
                          </pic:cNvPicPr>
                        </pic:nvPicPr>
                        <pic:blipFill>
                          <a:blip r:embed="rId149"/>
                          <a:stretch>
                            <a:fillRect/>
                          </a:stretch>
                        </pic:blipFill>
                        <pic:spPr bwMode="auto">
                          <a:xfrm>
                            <a:off x="0" y="0"/>
                            <a:ext cx="30480" cy="24765"/>
                          </a:xfrm>
                          <a:prstGeom prst="rect">
                            <a:avLst/>
                          </a:prstGeom>
                        </pic:spPr>
                      </pic:pic>
                    </a:graphicData>
                  </a:graphic>
                </wp:inline>
              </w:drawing>
            </w:r>
            <w:r>
              <w:rPr/>
              <w:t xml:space="preserve">    </w:t>
            </w:r>
            <w:r>
              <w:rPr/>
              <w:drawing>
                <wp:inline distT="0" distB="0" distL="0" distR="0">
                  <wp:extent cx="22860" cy="27940"/>
                  <wp:effectExtent l="0" t="0" r="0" b="0"/>
                  <wp:docPr id="15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4" descr=""/>
                          <pic:cNvPicPr>
                            <a:picLocks noChangeAspect="1" noChangeArrowheads="1"/>
                          </pic:cNvPicPr>
                        </pic:nvPicPr>
                        <pic:blipFill>
                          <a:blip r:embed="rId150"/>
                          <a:stretch>
                            <a:fillRect/>
                          </a:stretch>
                        </pic:blipFill>
                        <pic:spPr bwMode="auto">
                          <a:xfrm>
                            <a:off x="0" y="0"/>
                            <a:ext cx="22860" cy="27940"/>
                          </a:xfrm>
                          <a:prstGeom prst="rect">
                            <a:avLst/>
                          </a:prstGeom>
                        </pic:spPr>
                      </pic:pic>
                    </a:graphicData>
                  </a:graphic>
                </wp:inline>
              </w:drawing>
            </w:r>
            <w:r>
              <w:rPr/>
              <w:t xml:space="preserve"> </w:t>
            </w:r>
          </w:p>
        </w:tc>
      </w:tr>
      <w:tr>
        <w:trPr/>
        <w:tc>
          <w:tcPr>
            <w:tcW w:w="138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287"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71CE"/>
                <w:sz w:val="40"/>
              </w:rPr>
            </w:pPr>
            <w:r>
              <w:rPr>
                <w:rFonts w:ascii="arial" w:hAnsi="arial"/>
                <w:b/>
                <w:color w:val="0071CE"/>
                <w:sz w:val="40"/>
              </w:rPr>
              <w:t>Q:</w:t>
            </w:r>
          </w:p>
        </w:tc>
        <w:tc>
          <w:tcPr>
            <w:tcW w:w="603" w:type="dxa"/>
            <w:tcBorders/>
            <w:shd w:fill="CCF2F8" w:val="clear"/>
            <w:vAlign w:val="center"/>
          </w:tcPr>
          <w:p>
            <w:pPr>
              <w:pStyle w:val="TableContents"/>
              <w:bidi w:val="0"/>
              <w:spacing w:before="0" w:after="283"/>
              <w:jc w:val="left"/>
              <w:rPr/>
            </w:pPr>
            <w:r>
              <w:rPr/>
              <w:t>  </w:t>
            </w:r>
          </w:p>
        </w:tc>
        <w:tc>
          <w:tcPr>
            <w:tcW w:w="4677" w:type="dxa"/>
            <w:gridSpan w:val="3"/>
            <w:tcBorders/>
            <w:shd w:fill="CCF2F8" w:val="clear"/>
            <w:vAlign w:val="center"/>
          </w:tcPr>
          <w:p>
            <w:pPr>
              <w:pStyle w:val="TableContents"/>
              <w:bidi w:val="0"/>
              <w:spacing w:before="0" w:after="0"/>
              <w:jc w:val="left"/>
              <w:rPr/>
            </w:pPr>
            <w:r>
              <w:rPr/>
              <w:t> </w:t>
            </w:r>
          </w:p>
          <w:p>
            <w:pPr>
              <w:pStyle w:val="TableContents"/>
              <w:bidi w:val="0"/>
              <w:spacing w:before="0" w:after="20"/>
              <w:jc w:val="both"/>
              <w:rPr>
                <w:rFonts w:ascii="arial" w:hAnsi="arial"/>
                <w:b/>
                <w:color w:val="0071CE"/>
                <w:sz w:val="18"/>
              </w:rPr>
            </w:pPr>
            <w:r>
              <w:rPr>
                <w:rFonts w:ascii="arial" w:hAnsi="arial"/>
                <w:b/>
                <w:color w:val="0071CE"/>
                <w:sz w:val="18"/>
              </w:rPr>
              <w:t>Can you discuss how the Company’s software capabilities have evolved during your time on the Board?</w:t>
            </w:r>
          </w:p>
        </w:tc>
      </w:tr>
      <w:tr>
        <w:trPr/>
        <w:tc>
          <w:tcPr>
            <w:tcW w:w="138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3287" w:type="dxa"/>
            <w:tcBorders/>
            <w:shd w:fill="CCF2F8" w:val="clear"/>
            <w:vAlign w:val="center"/>
          </w:tcPr>
          <w:p>
            <w:pPr>
              <w:pStyle w:val="TableContents"/>
              <w:bidi w:val="0"/>
              <w:spacing w:before="0" w:after="283"/>
              <w:jc w:val="center"/>
              <w:rPr>
                <w:b/>
                <w:color w:val="3E3935"/>
              </w:rPr>
            </w:pPr>
            <w:r>
              <w:rPr>
                <w:b/>
                <w:color w:val="3E3935"/>
              </w:rPr>
              <w:t>A:</w:t>
            </w:r>
          </w:p>
        </w:tc>
        <w:tc>
          <w:tcPr>
            <w:tcW w:w="603" w:type="dxa"/>
            <w:tcBorders/>
            <w:shd w:fill="CCF2F8" w:val="clear"/>
            <w:vAlign w:val="center"/>
          </w:tcPr>
          <w:p>
            <w:pPr>
              <w:pStyle w:val="TableContents"/>
              <w:bidi w:val="0"/>
              <w:spacing w:before="0" w:after="283"/>
              <w:jc w:val="left"/>
              <w:rPr/>
            </w:pPr>
            <w:r>
              <w:rPr/>
              <w:t>  </w:t>
            </w:r>
          </w:p>
        </w:tc>
        <w:tc>
          <w:tcPr>
            <w:tcW w:w="4677" w:type="dxa"/>
            <w:gridSpan w:val="3"/>
            <w:tcBorders/>
            <w:shd w:fill="CCF2F8" w:val="clear"/>
            <w:vAlign w:val="center"/>
          </w:tcPr>
          <w:p>
            <w:pPr>
              <w:pStyle w:val="TableContents"/>
              <w:bidi w:val="0"/>
              <w:spacing w:lineRule="atLeast" w:line="220" w:before="0" w:after="0"/>
              <w:jc w:val="both"/>
              <w:rPr>
                <w:rFonts w:ascii="arial" w:hAnsi="arial"/>
                <w:color w:val="3E3935"/>
                <w:sz w:val="18"/>
              </w:rPr>
            </w:pPr>
            <w:r>
              <w:rPr>
                <w:rFonts w:ascii="arial" w:hAnsi="arial"/>
                <w:color w:val="3E3935"/>
                <w:sz w:val="18"/>
              </w:rPr>
              <w:t>I’ve watched the Company evolve its software capabilities in everything the customer touches, both in the vehicle and through other digital interfaces like Shop.Click.Drive. I’m confident GM’s future in software will continue to grow and enhance the customer experience. Software can drive important advancements in safety, driver assistance, and autonomous technologies – not to mention future software-defined vehicle capabilities.</w:t>
            </w:r>
          </w:p>
        </w:tc>
      </w:tr>
    </w:tbl>
    <w:p>
      <w:pPr>
        <w:pStyle w:val="TextBody"/>
        <w:bidi w:val="0"/>
        <w:spacing w:before="0" w:after="0"/>
        <w:jc w:val="left"/>
        <w:rPr/>
      </w:pPr>
      <w:r>
        <w:rPr/>
        <w:t> </w:t>
      </w:r>
    </w:p>
    <w:tbl>
      <w:tblPr>
        <w:tblW w:w="6608" w:type="dxa"/>
        <w:jc w:val="left"/>
        <w:tblInd w:w="0" w:type="dxa"/>
        <w:tblLayout w:type="fixed"/>
        <w:tblCellMar>
          <w:top w:w="0" w:type="dxa"/>
          <w:left w:w="0" w:type="dxa"/>
          <w:bottom w:w="0" w:type="dxa"/>
          <w:right w:w="0" w:type="dxa"/>
        </w:tblCellMar>
      </w:tblPr>
      <w:tblGrid>
        <w:gridCol w:w="275"/>
        <w:gridCol w:w="60"/>
        <w:gridCol w:w="192"/>
        <w:gridCol w:w="60"/>
        <w:gridCol w:w="57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16</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5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5" descr=""/>
                          <pic:cNvPicPr>
                            <a:picLocks noChangeAspect="1" noChangeArrowheads="1"/>
                          </pic:cNvPicPr>
                        </pic:nvPicPr>
                        <pic:blipFill>
                          <a:blip r:embed="rId151"/>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8" w:name="toc648661_6"/>
      <w:bookmarkEnd w:id="8"/>
      <w:r>
        <w:rPr>
          <w:rFonts w:ascii="arial" w:hAnsi="arial"/>
          <w:b/>
          <w:color w:val="0071CE"/>
          <w:sz w:val="28"/>
        </w:rPr>
        <w:t xml:space="preserve">Board Membership Criteria, Refreshment, and Succession Planning </w:t>
      </w:r>
    </w:p>
    <w:p>
      <w:pPr>
        <w:pStyle w:val="TextBody"/>
        <w:bidi w:val="0"/>
        <w:spacing w:before="120" w:after="0"/>
        <w:jc w:val="both"/>
        <w:rPr>
          <w:rFonts w:ascii="arial" w:hAnsi="arial"/>
          <w:color w:val="3E3935"/>
          <w:sz w:val="18"/>
        </w:rPr>
      </w:pPr>
      <w:r>
        <w:rPr>
          <w:rFonts w:ascii="arial" w:hAnsi="arial"/>
          <w:color w:val="3E3935"/>
          <w:sz w:val="18"/>
        </w:rPr>
        <w:t xml:space="preserve">The selection of qualified directors is fundamental to the Board’s successful oversight of GM’s strategy and enterprise risks. We seek directors who bring diverse viewpoints and perspectives, possess a variety of skills, professional experiences, and backgrounds, and effectively represent the long-term interests of shareholders. The priorities for recruiting new directors are continually evolving based on the Company’s strategic needs. It is important that the Board remains a strategic asset capable of overseeing and helping management address the risks, trends, and opportunities GM is facing now and in the future. </w:t>
      </w:r>
    </w:p>
    <w:p>
      <w:pPr>
        <w:pStyle w:val="TextBody"/>
        <w:bidi w:val="0"/>
        <w:spacing w:before="120" w:after="0"/>
        <w:jc w:val="both"/>
        <w:rPr>
          <w:rFonts w:ascii="arial" w:hAnsi="arial"/>
          <w:color w:val="3E3935"/>
          <w:sz w:val="18"/>
        </w:rPr>
      </w:pPr>
      <w:r>
        <w:rPr>
          <w:rFonts w:ascii="arial" w:hAnsi="arial"/>
          <w:color w:val="3E3935"/>
          <w:sz w:val="18"/>
        </w:rPr>
        <w:t xml:space="preserve">In evaluating potential director candidates, the Governance Committee considers, among other factors, the criteria included on the skills matrix on page 10, the skills and experience of our current directors, and certain additional characteristics that it believes one or more directors of the Board should possess based on an assessment of the needs of the Board at that time. In every case, director candidates must be able to contribute significantly to the Board’s discussion and decision-making on the broad array of complex issues facing GM. The Governance Committee also engages a reputable, qualified search firm to help identify and evaluate potential candidates. In addition, GM’s Corporate Governance Guidelines include the general policy that non-employee directors will not stand for election after reaching age 72, with any exceptions requiring approval by the Board. At this time, the Board has not approved any exceptions and each Board candidate is compliant with the Corporate Governance Guidelines. </w:t>
      </w:r>
    </w:p>
    <w:p>
      <w:pPr>
        <w:pStyle w:val="TextBody"/>
        <w:bidi w:val="0"/>
        <w:spacing w:before="120" w:after="0"/>
        <w:jc w:val="both"/>
        <w:rPr>
          <w:rFonts w:ascii="arial" w:hAnsi="arial"/>
          <w:color w:val="3E3935"/>
          <w:sz w:val="18"/>
        </w:rPr>
      </w:pPr>
      <w:r>
        <w:rPr>
          <w:rFonts w:ascii="arial" w:hAnsi="arial"/>
          <w:color w:val="3E3935"/>
          <w:sz w:val="18"/>
        </w:rPr>
        <w:t xml:space="preserve">In 2023, the Governance Committee reviewed its Board succession plan and five-year roadmap on a quarterly basis to ensure the Board holds the relevant and necessary talent to serve the Company and its shareholders. The Governance Committee believes its succession planning and assessment will allow it to continue important recruitment efforts and identify new skill sets required as the Company’s strategy evolves. As a result of this work, the Board has elected seven new members over the past five years, including Ms. Crevoiserat and Mr. McNeill in 2022 and Vice Admiral Tighe in 2023. The Governance Committee made these nominations by employing the process described below in the “Director Recruitment Process” section of this Proxy Statement and considering, among other factors, shareholders’ interest in Board refreshment, preserving the Board’s strong diversity, and adding directors with experience in technology, industry, marketing, and cybersecurity. The Board believes its new directors will help ensure a seamless transition over the next several years as some directors retire in due course, as well as bolster its expertise as GM continues to execute against its four key strategic pillars. </w:t>
      </w:r>
    </w:p>
    <w:p>
      <w:pPr>
        <w:pStyle w:val="TextBody"/>
        <w:bidi w:val="0"/>
        <w:spacing w:before="360" w:after="0"/>
        <w:jc w:val="left"/>
        <w:rPr>
          <w:rFonts w:ascii="arial" w:hAnsi="arial"/>
          <w:b/>
          <w:color w:val="3E3935"/>
          <w:sz w:val="26"/>
        </w:rPr>
      </w:pPr>
      <w:r>
        <w:rPr>
          <w:rFonts w:ascii="arial" w:hAnsi="arial"/>
          <w:b/>
          <w:color w:val="3E3935"/>
          <w:sz w:val="26"/>
        </w:rPr>
        <w:t xml:space="preserve">Board Diversity </w:t>
      </w:r>
    </w:p>
    <w:p>
      <w:pPr>
        <w:pStyle w:val="TextBody"/>
        <w:bidi w:val="0"/>
        <w:spacing w:before="120" w:after="0"/>
        <w:jc w:val="both"/>
        <w:rPr>
          <w:rFonts w:ascii="arial" w:hAnsi="arial"/>
          <w:color w:val="3E3935"/>
          <w:sz w:val="18"/>
        </w:rPr>
      </w:pPr>
      <w:r>
        <w:rPr>
          <w:rFonts w:ascii="arial" w:hAnsi="arial"/>
          <w:color w:val="3E3935"/>
          <w:sz w:val="18"/>
        </w:rPr>
        <w:t xml:space="preserve">The Company’s Corporate Governance Guidelines identify the Board’s commitment to seeking highly qualified candidates that reflect the diverse backgrounds of GM’s global workforce and customer base, thereby ensuring women and individuals from minority groups are included in the pool from which Board nominees are selected. Our Board recognizes the value of overall diversity and considers members’ and candidates’ opinions, perspectives, personal and professional experiences, and backgrounds, including gender, race, ethnicity, nationality, and sexual orientation. We believe the judgment and perspectives offered by a diverse Board improves the quality of decision-making and enhances the Company’s business performance. Such diversity can help the Board respond more effectively to the needs of customers, shareholders, employees, suppliers, and other stakeholders. </w:t>
      </w:r>
    </w:p>
    <w:p>
      <w:pPr>
        <w:pStyle w:val="TextBody"/>
        <w:bidi w:val="0"/>
        <w:spacing w:before="360" w:after="0"/>
        <w:jc w:val="left"/>
        <w:rPr>
          <w:rFonts w:ascii="arial" w:hAnsi="arial"/>
          <w:b/>
          <w:color w:val="3E3935"/>
          <w:sz w:val="26"/>
        </w:rPr>
      </w:pPr>
      <w:r>
        <w:rPr>
          <w:rFonts w:ascii="arial" w:hAnsi="arial"/>
          <w:b/>
          <w:color w:val="3E3935"/>
          <w:sz w:val="26"/>
        </w:rPr>
        <w:t xml:space="preserve">Candidate Recommendations </w:t>
      </w:r>
    </w:p>
    <w:p>
      <w:pPr>
        <w:pStyle w:val="TextBody"/>
        <w:bidi w:val="0"/>
        <w:spacing w:before="120" w:after="0"/>
        <w:jc w:val="both"/>
        <w:rPr>
          <w:rFonts w:ascii="arial" w:hAnsi="arial"/>
          <w:color w:val="3E3935"/>
          <w:sz w:val="18"/>
        </w:rPr>
      </w:pPr>
      <w:r>
        <w:rPr>
          <w:rFonts w:ascii="arial" w:hAnsi="arial"/>
          <w:color w:val="3E3935"/>
          <w:sz w:val="18"/>
        </w:rPr>
        <w:t xml:space="preserve">The Governance Committee will consider director candidates recommended by shareholders. The Governance Committee will review the qualifications and experience of each recommended candidate using the same criteria for candidates proposed by Board members and communicate its decision to the candidate or the shareholder who made the recommendation. Shareholder nominations must be submitted to the Company by the deadlines found on page 90.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0"/>
              <w:jc w:val="center"/>
              <w:rPr>
                <w:rFonts w:ascii="arial" w:hAnsi="arial"/>
                <w:b/>
                <w:color w:val="0071CE"/>
                <w:sz w:val="22"/>
              </w:rPr>
            </w:pPr>
            <w:r>
              <w:rPr>
                <w:rFonts w:ascii="arial" w:hAnsi="arial"/>
                <w:b/>
                <w:color w:val="0071CE"/>
                <w:sz w:val="22"/>
              </w:rPr>
              <w:t>TO RECOMMEND A DIRECTOR CANDIDATE, WRITE TO:</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3E3935"/>
                <w:sz w:val="18"/>
              </w:rPr>
              <w:t xml:space="preserve">GM’s Corporate Secretary at General Motors Company, Mail Code 482-C24-A68, 300 Renaissance Center, Detroit, Michigan 48265 or by email to </w:t>
            </w:r>
            <w:r>
              <w:rPr>
                <w:rFonts w:ascii="arial" w:hAnsi="arial"/>
                <w:i/>
                <w:color w:val="0071CE"/>
                <w:sz w:val="18"/>
              </w:rPr>
              <w:t>shareholder.relations@gm.com</w:t>
            </w:r>
            <w:r>
              <w:rPr>
                <w:rFonts w:ascii="arial" w:hAnsi="arial"/>
                <w:color w:val="3E3935"/>
                <w:sz w:val="18"/>
              </w:rPr>
              <w:t>.</w:t>
            </w:r>
          </w:p>
        </w:tc>
      </w:tr>
    </w:tbl>
    <w:p>
      <w:pPr>
        <w:pStyle w:val="TextBody"/>
        <w:bidi w:val="0"/>
        <w:spacing w:before="0" w:after="0"/>
        <w:jc w:val="left"/>
        <w:rPr/>
      </w:pPr>
      <w:r>
        <w:rPr/>
        <w:t> </w:t>
      </w:r>
    </w:p>
    <w:tbl>
      <w:tblPr>
        <w:tblW w:w="8791" w:type="dxa"/>
        <w:jc w:val="left"/>
        <w:tblInd w:w="0" w:type="dxa"/>
        <w:tblLayout w:type="fixed"/>
        <w:tblCellMar>
          <w:top w:w="0" w:type="dxa"/>
          <w:left w:w="0" w:type="dxa"/>
          <w:bottom w:w="0" w:type="dxa"/>
          <w:right w:w="0" w:type="dxa"/>
        </w:tblCellMar>
      </w:tblPr>
      <w:tblGrid>
        <w:gridCol w:w="38"/>
        <w:gridCol w:w="60"/>
        <w:gridCol w:w="23"/>
        <w:gridCol w:w="60"/>
        <w:gridCol w:w="57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17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Director Recruitment Process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55320" cy="217805"/>
            <wp:effectExtent l="0" t="0" r="0" b="0"/>
            <wp:docPr id="15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6" descr=""/>
                    <pic:cNvPicPr>
                      <a:picLocks noChangeAspect="1" noChangeArrowheads="1"/>
                    </pic:cNvPicPr>
                  </pic:nvPicPr>
                  <pic:blipFill>
                    <a:blip r:embed="rId152"/>
                    <a:stretch>
                      <a:fillRect/>
                    </a:stretch>
                  </pic:blipFill>
                  <pic:spPr bwMode="auto">
                    <a:xfrm>
                      <a:off x="0" y="0"/>
                      <a:ext cx="655320" cy="217805"/>
                    </a:xfrm>
                    <a:prstGeom prst="rect">
                      <a:avLst/>
                    </a:prstGeom>
                  </pic:spPr>
                </pic:pic>
              </a:graphicData>
            </a:graphic>
          </wp:inline>
        </w:drawing>
      </w:r>
      <w:r>
        <w:rPr/>
        <w:t xml:space="preserve"> </w:t>
      </w:r>
    </w:p>
    <w:p>
      <w:pPr>
        <w:pStyle w:val="TextBody"/>
        <w:bidi w:val="0"/>
        <w:spacing w:before="360" w:after="0"/>
        <w:jc w:val="left"/>
        <w:rPr>
          <w:rFonts w:ascii="arial" w:hAnsi="arial"/>
          <w:b/>
          <w:color w:val="0071CE"/>
          <w:sz w:val="28"/>
        </w:rPr>
      </w:pPr>
      <w:bookmarkStart w:id="9" w:name="toc648661_7"/>
      <w:bookmarkEnd w:id="9"/>
      <w:r>
        <w:rPr>
          <w:rFonts w:ascii="arial" w:hAnsi="arial"/>
          <w:b/>
          <w:color w:val="0071CE"/>
          <w:sz w:val="28"/>
        </w:rPr>
        <w:t xml:space="preserve">Non-Employee Director Compensation </w:t>
      </w:r>
    </w:p>
    <w:p>
      <w:pPr>
        <w:pStyle w:val="TextBody"/>
        <w:bidi w:val="0"/>
        <w:spacing w:before="120" w:after="0"/>
        <w:jc w:val="both"/>
        <w:rPr>
          <w:rFonts w:ascii="arial" w:hAnsi="arial"/>
          <w:color w:val="3E3935"/>
          <w:sz w:val="18"/>
        </w:rPr>
      </w:pPr>
      <w:r>
        <w:rPr>
          <w:rFonts w:ascii="arial" w:hAnsi="arial"/>
          <w:color w:val="3E3935"/>
          <w:sz w:val="18"/>
        </w:rPr>
        <w:t xml:space="preserve">Our non-employee directors receive cash compensation as well as equity compensation in the form of GM Deferred Share Units for their Board service under the Company’s Director Compensation Plan. Compensation for our non-employee directors is set annually by the Board at the recommendation of the Governance Committee. </w:t>
      </w:r>
    </w:p>
    <w:p>
      <w:pPr>
        <w:pStyle w:val="TextBody"/>
        <w:bidi w:val="0"/>
        <w:spacing w:before="360" w:after="0"/>
        <w:jc w:val="left"/>
        <w:rPr>
          <w:rFonts w:ascii="arial" w:hAnsi="arial"/>
          <w:b/>
          <w:color w:val="3E3935"/>
          <w:sz w:val="26"/>
        </w:rPr>
      </w:pPr>
      <w:r>
        <w:rPr>
          <w:rFonts w:ascii="arial" w:hAnsi="arial"/>
          <w:b/>
          <w:color w:val="3E3935"/>
          <w:sz w:val="26"/>
        </w:rPr>
        <w:t xml:space="preserve">Guiding Principles </w:t>
      </w:r>
    </w:p>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4166"/>
        <w:gridCol w:w="120"/>
        <w:gridCol w:w="5919"/>
      </w:tblGrid>
      <w:tr>
        <w:trPr/>
        <w:tc>
          <w:tcPr>
            <w:tcW w:w="4166"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sz w:val="4"/>
                <w:szCs w:val="4"/>
              </w:rPr>
            </w:pPr>
            <w:r>
              <w:rPr>
                <w:sz w:val="4"/>
                <w:szCs w:val="4"/>
              </w:rPr>
            </w:r>
          </w:p>
        </w:tc>
        <w:tc>
          <w:tcPr>
            <w:tcW w:w="5919" w:type="dxa"/>
            <w:tcBorders/>
            <w:shd w:fill="CCF2F8" w:val="clear"/>
            <w:vAlign w:val="center"/>
          </w:tcPr>
          <w:p>
            <w:pPr>
              <w:pStyle w:val="TableContents"/>
              <w:bidi w:val="0"/>
              <w:spacing w:before="0" w:after="283"/>
              <w:jc w:val="left"/>
              <w:rPr>
                <w:sz w:val="4"/>
                <w:szCs w:val="4"/>
              </w:rPr>
            </w:pPr>
            <w:r>
              <w:rPr>
                <w:sz w:val="4"/>
                <w:szCs w:val="4"/>
              </w:rPr>
            </w:r>
          </w:p>
        </w:tc>
      </w:tr>
      <w:tr>
        <w:trPr/>
        <w:tc>
          <w:tcPr>
            <w:tcW w:w="4166" w:type="dxa"/>
            <w:tcBorders/>
            <w:shd w:fill="CCF2F8" w:val="clear"/>
            <w:vAlign w:val="center"/>
          </w:tcPr>
          <w:p>
            <w:pPr>
              <w:pStyle w:val="TableContents"/>
              <w:bidi w:val="0"/>
              <w:spacing w:before="0" w:after="283"/>
              <w:jc w:val="left"/>
              <w:rPr>
                <w:sz w:val="4"/>
                <w:szCs w:val="4"/>
              </w:rPr>
            </w:pPr>
            <w:r>
              <w:rPr>
                <w:sz w:val="4"/>
                <w:szCs w:val="4"/>
              </w:rPr>
            </w:r>
          </w:p>
        </w:tc>
        <w:tc>
          <w:tcPr>
            <w:tcW w:w="6039"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4166"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Fairly compensate directors for their responsibilities and time commitments.</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Attract and retain highly qualified directors by offering a compensation program consistent with those at companies of similar size, scope, and complexity.</w:t>
            </w:r>
          </w:p>
        </w:tc>
        <w:tc>
          <w:tcPr>
            <w:tcW w:w="120" w:type="dxa"/>
            <w:tcBorders/>
            <w:shd w:fill="CCF2F8" w:val="clear"/>
            <w:vAlign w:val="center"/>
          </w:tcPr>
          <w:p>
            <w:pPr>
              <w:pStyle w:val="TableContents"/>
              <w:bidi w:val="0"/>
              <w:spacing w:before="0" w:after="283"/>
              <w:jc w:val="left"/>
              <w:rPr/>
            </w:pPr>
            <w:r>
              <w:rPr/>
              <w:t>  </w:t>
            </w:r>
          </w:p>
        </w:tc>
        <w:tc>
          <w:tcPr>
            <w:tcW w:w="591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Align the interests of directors with our shareholders by providing a significant portion of compensation in equity and requiring directors to continue to own our common stock (or common stock equivalents) throughout their tenure on the Board.</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Provide compensation that is simple and transparent to shareholders.</w:t>
            </w:r>
          </w:p>
        </w:tc>
      </w:tr>
    </w:tbl>
    <w:p>
      <w:pPr>
        <w:pStyle w:val="TextBody"/>
        <w:bidi w:val="0"/>
        <w:spacing w:before="360" w:after="0"/>
        <w:jc w:val="left"/>
        <w:rPr>
          <w:rFonts w:ascii="arial" w:hAnsi="arial"/>
          <w:b/>
          <w:color w:val="3E3935"/>
          <w:sz w:val="22"/>
        </w:rPr>
      </w:pPr>
      <w:r>
        <w:rPr>
          <w:rFonts w:ascii="arial" w:hAnsi="arial"/>
          <w:b/>
          <w:color w:val="3E3935"/>
          <w:sz w:val="22"/>
        </w:rPr>
        <w:t xml:space="preserve">Annual Review Process </w:t>
      </w:r>
    </w:p>
    <w:p>
      <w:pPr>
        <w:pStyle w:val="TextBody"/>
        <w:bidi w:val="0"/>
        <w:spacing w:before="120" w:after="0"/>
        <w:jc w:val="both"/>
        <w:rPr>
          <w:rFonts w:ascii="arial" w:hAnsi="arial"/>
          <w:color w:val="3E3935"/>
          <w:sz w:val="18"/>
        </w:rPr>
      </w:pPr>
      <w:r>
        <w:rPr>
          <w:rFonts w:ascii="arial" w:hAnsi="arial"/>
          <w:color w:val="3E3935"/>
          <w:sz w:val="18"/>
        </w:rPr>
        <w:t xml:space="preserve">The Governance Committee annually assesses the form and amount of non-employee director compensation and recommends changes, if appropriate, to the Board. As part of its annual review in 2023, the Governance Committee benchmarked the current compensation structure against the executive compensation peer group described in the “Peer Group for Compensation Benchmarking” section of this Proxy Statement. Based on this review, the Governance Committee recommended, and the Board approved, maintaining the current level of compensation and stock ownership requirements for 2024. </w:t>
      </w:r>
    </w:p>
    <w:p>
      <w:pPr>
        <w:pStyle w:val="TextBody"/>
        <w:bidi w:val="0"/>
        <w:spacing w:before="120" w:after="0"/>
        <w:jc w:val="both"/>
        <w:rPr>
          <w:rFonts w:ascii="arial" w:hAnsi="arial"/>
          <w:color w:val="3E3935"/>
          <w:sz w:val="18"/>
        </w:rPr>
      </w:pPr>
      <w:r>
        <w:rPr>
          <w:rFonts w:ascii="arial" w:hAnsi="arial"/>
          <w:color w:val="3E3935"/>
          <w:sz w:val="18"/>
        </w:rPr>
        <w:t xml:space="preserve">Non-employee director compensation for 2024 is set forth in detail below. The Board believes this structure aligns the non-employee director compensation program with shareholder interests through greater stock ownership. </w:t>
      </w:r>
    </w:p>
    <w:p>
      <w:pPr>
        <w:pStyle w:val="TextBody"/>
        <w:bidi w:val="0"/>
        <w:spacing w:before="360" w:after="0"/>
        <w:jc w:val="left"/>
        <w:rPr>
          <w:rFonts w:ascii="arial" w:hAnsi="arial"/>
          <w:b/>
          <w:color w:val="3E3935"/>
          <w:sz w:val="26"/>
        </w:rPr>
      </w:pPr>
      <w:r>
        <w:rPr>
          <w:rFonts w:ascii="arial" w:hAnsi="arial"/>
          <w:b/>
          <w:color w:val="3E3935"/>
          <w:sz w:val="26"/>
        </w:rPr>
        <w:t xml:space="preserve">Director Stock Ownership and Holding Requirements </w:t>
      </w:r>
    </w:p>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4716"/>
        <w:gridCol w:w="120"/>
        <w:gridCol w:w="5369"/>
      </w:tblGrid>
      <w:tr>
        <w:trPr/>
        <w:tc>
          <w:tcPr>
            <w:tcW w:w="4716"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sz w:val="4"/>
                <w:szCs w:val="4"/>
              </w:rPr>
            </w:pPr>
            <w:r>
              <w:rPr>
                <w:sz w:val="4"/>
                <w:szCs w:val="4"/>
              </w:rPr>
            </w:r>
          </w:p>
        </w:tc>
        <w:tc>
          <w:tcPr>
            <w:tcW w:w="5369" w:type="dxa"/>
            <w:tcBorders/>
            <w:shd w:fill="CCF2F8" w:val="clear"/>
            <w:vAlign w:val="center"/>
          </w:tcPr>
          <w:p>
            <w:pPr>
              <w:pStyle w:val="TableContents"/>
              <w:bidi w:val="0"/>
              <w:spacing w:before="0" w:after="283"/>
              <w:jc w:val="left"/>
              <w:rPr>
                <w:sz w:val="4"/>
                <w:szCs w:val="4"/>
              </w:rPr>
            </w:pPr>
            <w:r>
              <w:rPr>
                <w:sz w:val="4"/>
                <w:szCs w:val="4"/>
              </w:rPr>
            </w:r>
          </w:p>
        </w:tc>
      </w:tr>
      <w:tr>
        <w:trPr/>
        <w:tc>
          <w:tcPr>
            <w:tcW w:w="4716" w:type="dxa"/>
            <w:tcBorders/>
            <w:shd w:fill="CCF2F8" w:val="clear"/>
            <w:vAlign w:val="center"/>
          </w:tcPr>
          <w:p>
            <w:pPr>
              <w:pStyle w:val="TableContents"/>
              <w:bidi w:val="0"/>
              <w:spacing w:before="0" w:after="283"/>
              <w:jc w:val="left"/>
              <w:rPr>
                <w:sz w:val="4"/>
                <w:szCs w:val="4"/>
              </w:rPr>
            </w:pPr>
            <w:r>
              <w:rPr>
                <w:sz w:val="4"/>
                <w:szCs w:val="4"/>
              </w:rPr>
            </w:r>
          </w:p>
        </w:tc>
        <w:tc>
          <w:tcPr>
            <w:tcW w:w="5489"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4716"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Each non-employee director is required to own our common stock or DSUs with a market value of at least $650,000.</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Each non-employee director has up to five years from the date they are first elected to the Board to meet this ownership requirement.</w:t>
            </w:r>
          </w:p>
        </w:tc>
        <w:tc>
          <w:tcPr>
            <w:tcW w:w="120" w:type="dxa"/>
            <w:tcBorders/>
            <w:shd w:fill="CCF2F8" w:val="clear"/>
            <w:vAlign w:val="center"/>
          </w:tcPr>
          <w:p>
            <w:pPr>
              <w:pStyle w:val="TableContents"/>
              <w:bidi w:val="0"/>
              <w:spacing w:before="0" w:after="283"/>
              <w:jc w:val="left"/>
              <w:rPr/>
            </w:pPr>
            <w:r>
              <w:rPr/>
              <w:t>  </w:t>
            </w:r>
          </w:p>
        </w:tc>
        <w:tc>
          <w:tcPr>
            <w:tcW w:w="536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Non-employee directors are prohibited from selling any GM securities or derivatives of GM securities, such as DSUs, while they are members of the Board.</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Ownership guidelines are reviewed each year to confirm they continue to be effective in aligning the interests of the Board and our shareholders.</w:t>
            </w:r>
          </w:p>
        </w:tc>
      </w:tr>
    </w:tbl>
    <w:p>
      <w:pPr>
        <w:pStyle w:val="TextBody"/>
        <w:bidi w:val="0"/>
        <w:spacing w:before="120" w:after="0"/>
        <w:jc w:val="both"/>
        <w:rPr>
          <w:rFonts w:ascii="arial" w:hAnsi="arial"/>
          <w:color w:val="3E3935"/>
          <w:sz w:val="18"/>
        </w:rPr>
      </w:pPr>
      <w:r>
        <w:rPr>
          <w:rFonts w:ascii="arial" w:hAnsi="arial"/>
          <w:color w:val="3E3935"/>
          <w:sz w:val="18"/>
        </w:rPr>
        <w:t xml:space="preserve">All of our non-employee directors are in compliance with our stock retention requirements. </w:t>
      </w:r>
    </w:p>
    <w:p>
      <w:pPr>
        <w:pStyle w:val="TextBody"/>
        <w:bidi w:val="0"/>
        <w:spacing w:before="0" w:after="0"/>
        <w:jc w:val="left"/>
        <w:rPr/>
      </w:pPr>
      <w:r>
        <w:rPr/>
        <w:t> </w:t>
      </w:r>
    </w:p>
    <w:tbl>
      <w:tblPr>
        <w:tblW w:w="6608" w:type="dxa"/>
        <w:jc w:val="left"/>
        <w:tblInd w:w="0" w:type="dxa"/>
        <w:tblLayout w:type="fixed"/>
        <w:tblCellMar>
          <w:top w:w="0" w:type="dxa"/>
          <w:left w:w="0" w:type="dxa"/>
          <w:bottom w:w="0" w:type="dxa"/>
          <w:right w:w="0" w:type="dxa"/>
        </w:tblCellMar>
      </w:tblPr>
      <w:tblGrid>
        <w:gridCol w:w="275"/>
        <w:gridCol w:w="60"/>
        <w:gridCol w:w="192"/>
        <w:gridCol w:w="60"/>
        <w:gridCol w:w="57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18</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5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7" descr=""/>
                          <pic:cNvPicPr>
                            <a:picLocks noChangeAspect="1" noChangeArrowheads="1"/>
                          </pic:cNvPicPr>
                        </pic:nvPicPr>
                        <pic:blipFill>
                          <a:blip r:embed="rId153"/>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Annual Compensation </w:t>
      </w:r>
    </w:p>
    <w:p>
      <w:pPr>
        <w:pStyle w:val="TextBody"/>
        <w:bidi w:val="0"/>
        <w:spacing w:before="120" w:after="0"/>
        <w:jc w:val="both"/>
        <w:rPr>
          <w:rFonts w:ascii="arial" w:hAnsi="arial"/>
          <w:color w:val="3E3935"/>
          <w:sz w:val="18"/>
        </w:rPr>
      </w:pPr>
      <w:r>
        <w:rPr>
          <w:rFonts w:ascii="arial" w:hAnsi="arial"/>
          <w:color w:val="3E3935"/>
          <w:sz w:val="18"/>
        </w:rPr>
        <w:t xml:space="preserve">The 2023 and 2024 compensation for non-employee directors is described in the table below. The Independent Lead Director and committee chairs receive additional compensation due to the increased workload and additional responsibilities associated with these positions. In particular, Ms. Russo’s compensation as Independent Lead Director reflects the additional time commitment for this role, which includes, among other responsibilities, attending all committee meetings and attending meetings with the Company’s CEO. For additional information about the roles and responsibilities of our Independent Lead Director, see “The Role of the Independent Lead Director” on page 23. </w:t>
      </w:r>
    </w:p>
    <w:p>
      <w:pPr>
        <w:pStyle w:val="TextBody"/>
        <w:bidi w:val="0"/>
        <w:spacing w:before="0" w:after="0"/>
        <w:jc w:val="left"/>
        <w:rPr/>
      </w:pPr>
      <w:r>
        <w:rPr/>
        <w:t> </w:t>
      </w:r>
    </w:p>
    <w:tbl>
      <w:tblPr>
        <w:tblW w:w="7425" w:type="dxa"/>
        <w:jc w:val="left"/>
        <w:tblInd w:w="0" w:type="dxa"/>
        <w:tblLayout w:type="fixed"/>
        <w:tblCellMar>
          <w:top w:w="0" w:type="dxa"/>
          <w:left w:w="0" w:type="dxa"/>
          <w:bottom w:w="0" w:type="dxa"/>
          <w:right w:w="0" w:type="dxa"/>
        </w:tblCellMar>
      </w:tblPr>
      <w:tblGrid>
        <w:gridCol w:w="5060"/>
        <w:gridCol w:w="120"/>
        <w:gridCol w:w="69"/>
        <w:gridCol w:w="926"/>
        <w:gridCol w:w="60"/>
        <w:gridCol w:w="120"/>
        <w:gridCol w:w="69"/>
        <w:gridCol w:w="926"/>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bottom w:val="single" w:sz="6" w:space="0" w:color="0071CE"/>
            </w:tcBorders>
            <w:tcMar>
              <w:bottom w:w="4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Compensation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95"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2023</w:t>
              <w:br/>
              <w:t>Structure</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95"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2024</w:t>
              <w:br/>
              <w:t>Structure</w:t>
              <w:br/>
              <w: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Board Retainer</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color w:val="3E3935"/>
              </w:rPr>
            </w:pPr>
            <w:r>
              <w:rPr>
                <w:color w:val="3E3935"/>
              </w:rPr>
              <w:t> </w:t>
            </w:r>
          </w:p>
        </w:tc>
        <w:tc>
          <w:tcPr>
            <w:tcW w:w="926" w:type="dxa"/>
            <w:tcBorders/>
            <w:vAlign w:val="center"/>
          </w:tcPr>
          <w:p>
            <w:pPr>
              <w:pStyle w:val="TableContents"/>
              <w:bidi w:val="0"/>
              <w:spacing w:before="0" w:after="283"/>
              <w:jc w:val="right"/>
              <w:rPr>
                <w:color w:val="3E3935"/>
              </w:rPr>
            </w:pPr>
            <w:r>
              <w:rPr>
                <w:color w:val="3E3935"/>
              </w:rPr>
              <w:t>325,000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color w:val="3E3935"/>
              </w:rPr>
            </w:pPr>
            <w:r>
              <w:rPr>
                <w:color w:val="3E3935"/>
              </w:rPr>
              <w:t> </w:t>
            </w:r>
          </w:p>
        </w:tc>
        <w:tc>
          <w:tcPr>
            <w:tcW w:w="926" w:type="dxa"/>
            <w:tcBorders/>
            <w:vAlign w:val="center"/>
          </w:tcPr>
          <w:p>
            <w:pPr>
              <w:pStyle w:val="TableContents"/>
              <w:bidi w:val="0"/>
              <w:spacing w:before="0" w:after="283"/>
              <w:jc w:val="right"/>
              <w:rPr>
                <w:color w:val="3E3935"/>
              </w:rPr>
            </w:pPr>
            <w:r>
              <w:rPr>
                <w:color w:val="3E3935"/>
              </w:rPr>
              <w:t>325,000</w:t>
            </w:r>
          </w:p>
        </w:tc>
        <w:tc>
          <w:tcPr>
            <w:tcW w:w="75" w:type="dxa"/>
            <w:tcBorders/>
            <w:vAlign w:val="center"/>
          </w:tcPr>
          <w:p>
            <w:pPr>
              <w:pStyle w:val="TableContents"/>
              <w:bidi w:val="0"/>
              <w:spacing w:before="0" w:after="283"/>
              <w:jc w:val="left"/>
              <w:rPr>
                <w:color w:val="3E3935"/>
              </w:rPr>
            </w:pPr>
            <w:r>
              <w:rPr>
                <w:color w:val="3E3935"/>
              </w:rPr>
              <w:t> </w:t>
            </w:r>
          </w:p>
        </w:tc>
      </w:tr>
      <w:tr>
        <w:trPr/>
        <w:tc>
          <w:tcPr>
            <w:tcW w:w="5060" w:type="dxa"/>
            <w:tcBorders/>
            <w:shd w:fill="CCF2F8" w:val="clear"/>
            <w:vAlign w:val="center"/>
          </w:tcPr>
          <w:p>
            <w:pPr>
              <w:pStyle w:val="TableContents"/>
              <w:bidi w:val="0"/>
              <w:spacing w:before="0" w:after="283"/>
              <w:jc w:val="left"/>
              <w:rPr>
                <w:sz w:val="4"/>
                <w:szCs w:val="4"/>
              </w:rPr>
            </w:pPr>
            <w:r>
              <w:rPr>
                <w:sz w:val="4"/>
                <w:szCs w:val="4"/>
              </w:rPr>
            </w:r>
          </w:p>
        </w:tc>
        <w:tc>
          <w:tcPr>
            <w:tcW w:w="1175"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06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Independent Lead Director Fee</w:t>
            </w:r>
          </w:p>
        </w:tc>
        <w:tc>
          <w:tcPr>
            <w:tcW w:w="120" w:type="dxa"/>
            <w:tcBorders/>
            <w:shd w:fill="CCF2F8" w:val="clear"/>
            <w:vAlign w:val="center"/>
          </w:tcPr>
          <w:p>
            <w:pPr>
              <w:pStyle w:val="TableContents"/>
              <w:bidi w:val="0"/>
              <w:spacing w:before="0" w:after="283"/>
              <w:jc w:val="left"/>
              <w:rPr/>
            </w:pPr>
            <w:r>
              <w:rPr/>
              <w:t>  </w:t>
            </w:r>
          </w:p>
        </w:tc>
        <w:tc>
          <w:tcPr>
            <w:tcW w:w="69" w:type="dxa"/>
            <w:tcBorders/>
            <w:shd w:fill="CCF2F8" w:val="clear"/>
            <w:vAlign w:val="center"/>
          </w:tcPr>
          <w:p>
            <w:pPr>
              <w:pStyle w:val="TableContents"/>
              <w:bidi w:val="0"/>
              <w:spacing w:before="0" w:after="283"/>
              <w:jc w:val="left"/>
              <w:rPr>
                <w:color w:val="3E3935"/>
              </w:rPr>
            </w:pPr>
            <w:r>
              <w:rPr>
                <w:color w:val="3E3935"/>
              </w:rPr>
              <w:t> </w:t>
            </w:r>
          </w:p>
        </w:tc>
        <w:tc>
          <w:tcPr>
            <w:tcW w:w="926" w:type="dxa"/>
            <w:tcBorders/>
            <w:shd w:fill="CCF2F8" w:val="clear"/>
            <w:vAlign w:val="center"/>
          </w:tcPr>
          <w:p>
            <w:pPr>
              <w:pStyle w:val="TableContents"/>
              <w:bidi w:val="0"/>
              <w:spacing w:before="0" w:after="283"/>
              <w:jc w:val="right"/>
              <w:rPr>
                <w:color w:val="3E3935"/>
              </w:rPr>
            </w:pPr>
            <w:r>
              <w:rPr>
                <w:color w:val="3E3935"/>
              </w:rPr>
              <w:t>100,000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9" w:type="dxa"/>
            <w:tcBorders/>
            <w:shd w:fill="CCF2F8" w:val="clear"/>
            <w:vAlign w:val="center"/>
          </w:tcPr>
          <w:p>
            <w:pPr>
              <w:pStyle w:val="TableContents"/>
              <w:bidi w:val="0"/>
              <w:spacing w:before="0" w:after="283"/>
              <w:jc w:val="left"/>
              <w:rPr>
                <w:color w:val="3E3935"/>
              </w:rPr>
            </w:pPr>
            <w:r>
              <w:rPr>
                <w:color w:val="3E3935"/>
              </w:rPr>
              <w:t> </w:t>
            </w:r>
          </w:p>
        </w:tc>
        <w:tc>
          <w:tcPr>
            <w:tcW w:w="926" w:type="dxa"/>
            <w:tcBorders/>
            <w:shd w:fill="CCF2F8" w:val="clear"/>
            <w:vAlign w:val="center"/>
          </w:tcPr>
          <w:p>
            <w:pPr>
              <w:pStyle w:val="TableContents"/>
              <w:bidi w:val="0"/>
              <w:spacing w:before="0" w:after="283"/>
              <w:jc w:val="right"/>
              <w:rPr>
                <w:color w:val="3E3935"/>
              </w:rPr>
            </w:pPr>
            <w:r>
              <w:rPr>
                <w:color w:val="3E3935"/>
              </w:rPr>
              <w:t>100,000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Audit Committee Chair Fee</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color w:val="3E3935"/>
              </w:rPr>
            </w:pPr>
            <w:r>
              <w:rPr>
                <w:color w:val="3E3935"/>
              </w:rPr>
              <w:t> </w:t>
            </w:r>
          </w:p>
        </w:tc>
        <w:tc>
          <w:tcPr>
            <w:tcW w:w="926" w:type="dxa"/>
            <w:tcBorders/>
            <w:vAlign w:val="center"/>
          </w:tcPr>
          <w:p>
            <w:pPr>
              <w:pStyle w:val="TableContents"/>
              <w:bidi w:val="0"/>
              <w:spacing w:before="0" w:after="283"/>
              <w:jc w:val="right"/>
              <w:rPr>
                <w:color w:val="3E3935"/>
              </w:rPr>
            </w:pPr>
            <w:r>
              <w:rPr>
                <w:color w:val="3E3935"/>
              </w:rPr>
              <w:t>35,000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color w:val="3E3935"/>
              </w:rPr>
            </w:pPr>
            <w:r>
              <w:rPr>
                <w:color w:val="3E3935"/>
              </w:rPr>
              <w:t> </w:t>
            </w:r>
          </w:p>
        </w:tc>
        <w:tc>
          <w:tcPr>
            <w:tcW w:w="926" w:type="dxa"/>
            <w:tcBorders/>
            <w:vAlign w:val="center"/>
          </w:tcPr>
          <w:p>
            <w:pPr>
              <w:pStyle w:val="TableContents"/>
              <w:bidi w:val="0"/>
              <w:spacing w:before="0" w:after="283"/>
              <w:jc w:val="right"/>
              <w:rPr>
                <w:color w:val="3E3935"/>
              </w:rPr>
            </w:pPr>
            <w:r>
              <w:rPr>
                <w:color w:val="3E3935"/>
              </w:rPr>
              <w:t>35,000</w:t>
            </w:r>
          </w:p>
        </w:tc>
        <w:tc>
          <w:tcPr>
            <w:tcW w:w="75" w:type="dxa"/>
            <w:tcBorders/>
            <w:vAlign w:val="center"/>
          </w:tcPr>
          <w:p>
            <w:pPr>
              <w:pStyle w:val="TableContents"/>
              <w:bidi w:val="0"/>
              <w:spacing w:before="0" w:after="283"/>
              <w:jc w:val="left"/>
              <w:rPr>
                <w:color w:val="3E3935"/>
              </w:rPr>
            </w:pPr>
            <w:r>
              <w:rPr>
                <w:color w:val="3E3935"/>
              </w:rPr>
              <w:t> </w:t>
            </w:r>
          </w:p>
        </w:tc>
      </w:tr>
      <w:tr>
        <w:trPr/>
        <w:tc>
          <w:tcPr>
            <w:tcW w:w="5060" w:type="dxa"/>
            <w:tcBorders/>
            <w:shd w:fill="CCF2F8" w:val="clear"/>
            <w:vAlign w:val="center"/>
          </w:tcPr>
          <w:p>
            <w:pPr>
              <w:pStyle w:val="TableContents"/>
              <w:bidi w:val="0"/>
              <w:spacing w:before="0" w:after="283"/>
              <w:jc w:val="left"/>
              <w:rPr>
                <w:sz w:val="4"/>
                <w:szCs w:val="4"/>
              </w:rPr>
            </w:pPr>
            <w:r>
              <w:rPr>
                <w:sz w:val="4"/>
                <w:szCs w:val="4"/>
              </w:rPr>
            </w:r>
          </w:p>
        </w:tc>
        <w:tc>
          <w:tcPr>
            <w:tcW w:w="1175"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060" w:type="dxa"/>
            <w:tcBorders>
              <w:bottom w:val="single" w:sz="6" w:space="0" w:color="0071CE"/>
            </w:tcBorders>
            <w:shd w:fill="CCF2F8" w:val="clear"/>
            <w:tcMar>
              <w:bottom w:w="4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All Other Committee Chair Fees (excluding the Executive Committee)</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9" w:type="dxa"/>
            <w:tcBorders>
              <w:bottom w:val="single" w:sz="6" w:space="0" w:color="0071CE"/>
            </w:tcBorders>
            <w:shd w:fill="CCF2F8" w:val="clear"/>
            <w:tcMar>
              <w:bottom w:w="40" w:type="dxa"/>
            </w:tcMar>
            <w:vAlign w:val="center"/>
          </w:tcPr>
          <w:p>
            <w:pPr>
              <w:pStyle w:val="TableContents"/>
              <w:bidi w:val="0"/>
              <w:spacing w:before="0" w:after="283"/>
              <w:jc w:val="left"/>
              <w:rPr>
                <w:color w:val="3E3935"/>
              </w:rPr>
            </w:pPr>
            <w:r>
              <w:rPr>
                <w:color w:val="3E3935"/>
              </w:rPr>
              <w:t> </w:t>
            </w:r>
          </w:p>
        </w:tc>
        <w:tc>
          <w:tcPr>
            <w:tcW w:w="926" w:type="dxa"/>
            <w:tcBorders>
              <w:bottom w:val="single" w:sz="6" w:space="0" w:color="0071CE"/>
            </w:tcBorders>
            <w:shd w:fill="CCF2F8" w:val="clear"/>
            <w:tcMar>
              <w:bottom w:w="40" w:type="dxa"/>
            </w:tcMar>
            <w:vAlign w:val="center"/>
          </w:tcPr>
          <w:p>
            <w:pPr>
              <w:pStyle w:val="TableContents"/>
              <w:bidi w:val="0"/>
              <w:spacing w:before="0" w:after="283"/>
              <w:jc w:val="right"/>
              <w:rPr>
                <w:color w:val="3E3935"/>
              </w:rPr>
            </w:pPr>
            <w:r>
              <w:rPr>
                <w:color w:val="3E3935"/>
              </w:rPr>
              <w:t>25,000</w:t>
            </w:r>
          </w:p>
        </w:tc>
        <w:tc>
          <w:tcPr>
            <w:tcW w:w="60" w:type="dxa"/>
            <w:tcBorders>
              <w:bottom w:val="single" w:sz="6" w:space="0" w:color="0071CE"/>
            </w:tcBorders>
            <w:shd w:fill="CCF2F8" w:val="clear"/>
            <w:tcMar>
              <w:bottom w:w="4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9" w:type="dxa"/>
            <w:tcBorders>
              <w:bottom w:val="single" w:sz="6" w:space="0" w:color="0071CE"/>
            </w:tcBorders>
            <w:shd w:fill="CCF2F8" w:val="clear"/>
            <w:tcMar>
              <w:bottom w:w="40" w:type="dxa"/>
            </w:tcMar>
            <w:vAlign w:val="center"/>
          </w:tcPr>
          <w:p>
            <w:pPr>
              <w:pStyle w:val="TableContents"/>
              <w:bidi w:val="0"/>
              <w:spacing w:before="0" w:after="283"/>
              <w:jc w:val="left"/>
              <w:rPr>
                <w:color w:val="3E3935"/>
              </w:rPr>
            </w:pPr>
            <w:r>
              <w:rPr>
                <w:color w:val="3E3935"/>
              </w:rPr>
              <w:t> </w:t>
            </w:r>
          </w:p>
        </w:tc>
        <w:tc>
          <w:tcPr>
            <w:tcW w:w="926" w:type="dxa"/>
            <w:tcBorders>
              <w:bottom w:val="single" w:sz="6" w:space="0" w:color="0071CE"/>
            </w:tcBorders>
            <w:shd w:fill="CCF2F8" w:val="clear"/>
            <w:tcMar>
              <w:bottom w:w="40" w:type="dxa"/>
            </w:tcMar>
            <w:vAlign w:val="center"/>
          </w:tcPr>
          <w:p>
            <w:pPr>
              <w:pStyle w:val="TableContents"/>
              <w:bidi w:val="0"/>
              <w:spacing w:before="0" w:after="283"/>
              <w:jc w:val="right"/>
              <w:rPr>
                <w:color w:val="3E3935"/>
              </w:rPr>
            </w:pPr>
            <w:r>
              <w:rPr>
                <w:color w:val="3E3935"/>
              </w:rPr>
              <w:t>25,000</w:t>
            </w:r>
          </w:p>
        </w:tc>
        <w:tc>
          <w:tcPr>
            <w:tcW w:w="75" w:type="dxa"/>
            <w:tcBorders>
              <w:bottom w:val="single" w:sz="6" w:space="0" w:color="0071CE"/>
            </w:tcBorders>
            <w:shd w:fill="CCF2F8" w:val="clear"/>
            <w:tcMar>
              <w:bottom w:w="40" w:type="dxa"/>
            </w:tcMar>
            <w:vAlign w:val="center"/>
          </w:tcPr>
          <w:p>
            <w:pPr>
              <w:pStyle w:val="TableContents"/>
              <w:bidi w:val="0"/>
              <w:spacing w:before="0" w:after="283"/>
              <w:jc w:val="left"/>
              <w:rPr>
                <w:color w:val="3E3935"/>
              </w:rPr>
            </w:pPr>
            <w:r>
              <w:rPr>
                <w:color w:val="3E3935"/>
              </w:rPr>
              <w:t> </w:t>
            </w:r>
          </w:p>
        </w:tc>
      </w:tr>
    </w:tbl>
    <w:p>
      <w:pPr>
        <w:pStyle w:val="TextBody"/>
        <w:bidi w:val="0"/>
        <w:spacing w:before="120" w:after="0"/>
        <w:jc w:val="both"/>
        <w:rPr>
          <w:rFonts w:ascii="arial" w:hAnsi="arial"/>
          <w:color w:val="3E3935"/>
          <w:sz w:val="18"/>
        </w:rPr>
      </w:pPr>
      <w:r>
        <w:rPr>
          <w:rFonts w:ascii="arial" w:hAnsi="arial"/>
          <w:color w:val="3E3935"/>
          <w:sz w:val="18"/>
        </w:rPr>
        <w:t xml:space="preserve">Non-employee directors are required to defer at least 60 percent of their annual Board retainer into DSUs under the Director Compensation Plan. Directors may elect to defer their remaining Board retainer or amounts payable (if any) for serving as a committee chair or Independent Lead Director into additional DSUs. The fees for a director who joins or leaves the Board or assumes additional responsibilities during the year are prorated for the director’s period of service. </w:t>
      </w:r>
    </w:p>
    <w:p>
      <w:pPr>
        <w:pStyle w:val="TextBody"/>
        <w:bidi w:val="0"/>
        <w:spacing w:before="360" w:after="0"/>
        <w:jc w:val="left"/>
        <w:rPr>
          <w:rFonts w:ascii="arial" w:hAnsi="arial"/>
          <w:b/>
          <w:color w:val="3E3935"/>
          <w:sz w:val="26"/>
        </w:rPr>
      </w:pPr>
      <w:r>
        <w:rPr>
          <w:rFonts w:ascii="arial" w:hAnsi="arial"/>
          <w:b/>
          <w:color w:val="3E3935"/>
          <w:sz w:val="26"/>
        </w:rPr>
        <w:t xml:space="preserve">How Deferred Share Units Work </w:t>
      </w:r>
    </w:p>
    <w:p>
      <w:pPr>
        <w:pStyle w:val="TextBody"/>
        <w:bidi w:val="0"/>
        <w:spacing w:before="120" w:after="0"/>
        <w:jc w:val="both"/>
        <w:rPr>
          <w:rFonts w:ascii="arial" w:hAnsi="arial"/>
          <w:color w:val="3E3935"/>
          <w:sz w:val="18"/>
        </w:rPr>
      </w:pPr>
      <w:r>
        <w:rPr>
          <w:rFonts w:ascii="arial" w:hAnsi="arial"/>
          <w:color w:val="3E3935"/>
          <w:sz w:val="18"/>
        </w:rPr>
        <w:t xml:space="preserve">Each DSU is equal in value to one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 preceding payment. Directors will be 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57225" cy="147955"/>
            <wp:effectExtent l="0" t="0" r="0" b="0"/>
            <wp:docPr id="15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8" descr=""/>
                    <pic:cNvPicPr>
                      <a:picLocks noChangeAspect="1" noChangeArrowheads="1"/>
                    </pic:cNvPicPr>
                  </pic:nvPicPr>
                  <pic:blipFill>
                    <a:blip r:embed="rId154"/>
                    <a:stretch>
                      <a:fillRect/>
                    </a:stretch>
                  </pic:blipFill>
                  <pic:spPr bwMode="auto">
                    <a:xfrm>
                      <a:off x="0" y="0"/>
                      <a:ext cx="657225" cy="147955"/>
                    </a:xfrm>
                    <a:prstGeom prst="rect">
                      <a:avLst/>
                    </a:prstGeom>
                  </pic:spPr>
                </pic:pic>
              </a:graphicData>
            </a:graphic>
          </wp:inline>
        </w:drawing>
      </w:r>
      <w:r>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Other Compensation </w:t>
      </w:r>
    </w:p>
    <w:p>
      <w:pPr>
        <w:pStyle w:val="TextBody"/>
        <w:bidi w:val="0"/>
        <w:spacing w:before="120" w:after="0"/>
        <w:jc w:val="both"/>
        <w:rPr>
          <w:rFonts w:ascii="arial" w:hAnsi="arial"/>
          <w:color w:val="3E3935"/>
          <w:sz w:val="18"/>
        </w:rPr>
      </w:pPr>
      <w:r>
        <w:rPr>
          <w:rFonts w:ascii="arial" w:hAnsi="arial"/>
          <w:color w:val="3E3935"/>
          <w:sz w:val="18"/>
        </w:rPr>
        <w:t xml:space="preserve">We provide certain additional benefits to non-employee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29"/>
        <w:gridCol w:w="60"/>
        <w:gridCol w:w="8816"/>
      </w:tblGrid>
      <w:tr>
        <w:trPr/>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16" w:type="dxa"/>
            <w:tcBorders/>
            <w:vAlign w:val="center"/>
          </w:tcPr>
          <w:p>
            <w:pPr>
              <w:pStyle w:val="TableContents"/>
              <w:bidi w:val="0"/>
              <w:spacing w:before="0" w:after="283"/>
              <w:jc w:val="left"/>
              <w:rPr>
                <w:sz w:val="4"/>
                <w:szCs w:val="4"/>
              </w:rPr>
            </w:pPr>
            <w:r>
              <w:rPr>
                <w:sz w:val="4"/>
                <w:szCs w:val="4"/>
              </w:rPr>
            </w:r>
          </w:p>
        </w:tc>
      </w:tr>
      <w:tr>
        <w:trPr/>
        <w:tc>
          <w:tcPr>
            <w:tcW w:w="1329" w:type="dxa"/>
            <w:tcBorders>
              <w:bottom w:val="single" w:sz="6" w:space="0" w:color="0071CE"/>
            </w:tcBorders>
            <w:tcMar>
              <w:bottom w:w="4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Type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816" w:type="dxa"/>
            <w:tcBorders>
              <w:bottom w:val="single" w:sz="6" w:space="0" w:color="0071CE"/>
            </w:tcBorders>
            <w:tcMar>
              <w:bottom w:w="40" w:type="dxa"/>
            </w:tcMar>
            <w:vAlign w:val="center"/>
          </w:tcPr>
          <w:p>
            <w:pPr>
              <w:pStyle w:val="TableContents"/>
              <w:bidi w:val="0"/>
              <w:spacing w:before="0" w:after="283"/>
              <w:jc w:val="left"/>
              <w:rPr>
                <w:b/>
                <w:color w:val="3E3935"/>
              </w:rPr>
            </w:pPr>
            <w:r>
              <w:rPr>
                <w:b/>
                <w:color w:val="3E3935"/>
              </w:rPr>
              <w:t>Purpose</w:t>
            </w:r>
          </w:p>
        </w:tc>
      </w:tr>
      <w:tr>
        <w:trPr/>
        <w:tc>
          <w:tcPr>
            <w:tcW w:w="1329" w:type="dxa"/>
            <w:tcBorders/>
            <w:vAlign w:val="center"/>
          </w:tcPr>
          <w:p>
            <w:pPr>
              <w:pStyle w:val="TableContents"/>
              <w:bidi w:val="0"/>
              <w:spacing w:before="0" w:after="283"/>
              <w:jc w:val="left"/>
              <w:rPr>
                <w:sz w:val="4"/>
                <w:szCs w:val="4"/>
              </w:rPr>
            </w:pPr>
            <w:r>
              <w:rPr>
                <w:sz w:val="4"/>
                <w:szCs w:val="4"/>
              </w:rPr>
            </w:r>
          </w:p>
        </w:tc>
        <w:tc>
          <w:tcPr>
            <w:tcW w:w="8876" w:type="dxa"/>
            <w:gridSpan w:val="2"/>
            <w:tcBorders/>
            <w:vAlign w:val="center"/>
          </w:tcPr>
          <w:p>
            <w:pPr>
              <w:pStyle w:val="TableContents"/>
              <w:bidi w:val="0"/>
              <w:spacing w:before="0" w:after="283"/>
              <w:jc w:val="left"/>
              <w:rPr>
                <w:sz w:val="4"/>
                <w:szCs w:val="4"/>
              </w:rPr>
            </w:pPr>
            <w:r>
              <w:rPr>
                <w:sz w:val="4"/>
                <w:szCs w:val="4"/>
              </w:rPr>
            </w:r>
          </w:p>
        </w:tc>
      </w:tr>
      <w:tr>
        <w:trPr/>
        <w:tc>
          <w:tcPr>
            <w:tcW w:w="1329"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Company Vehicles</w:t>
            </w:r>
          </w:p>
        </w:tc>
        <w:tc>
          <w:tcPr>
            <w:tcW w:w="60"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We provide directors with the use of Company vehicles and electric vehicle charging stations to provide feedback on our products as well as enhance the public image of our vehicles. Retired directors also receive the use of a Company vehicle for a period of time. Participants are charged with imputed income based on the lease value of the vehicles and are responsible for associated taxes.</w:t>
            </w:r>
          </w:p>
        </w:tc>
      </w:tr>
      <w:tr>
        <w:trPr/>
        <w:tc>
          <w:tcPr>
            <w:tcW w:w="1329" w:type="dxa"/>
            <w:tcBorders/>
            <w:shd w:fill="CCF2F8" w:val="clear"/>
            <w:vAlign w:val="center"/>
          </w:tcPr>
          <w:p>
            <w:pPr>
              <w:pStyle w:val="TableContents"/>
              <w:bidi w:val="0"/>
              <w:spacing w:before="0" w:after="283"/>
              <w:jc w:val="left"/>
              <w:rPr>
                <w:sz w:val="4"/>
                <w:szCs w:val="4"/>
              </w:rPr>
            </w:pPr>
            <w:r>
              <w:rPr>
                <w:sz w:val="4"/>
                <w:szCs w:val="4"/>
              </w:rPr>
            </w:r>
          </w:p>
        </w:tc>
        <w:tc>
          <w:tcPr>
            <w:tcW w:w="8876"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329" w:type="dxa"/>
            <w:tcBorders>
              <w:bottom w:val="single" w:sz="6" w:space="0" w:color="0071CE"/>
            </w:tcBorders>
            <w:shd w:fill="CCF2F8" w:val="clear"/>
            <w:tcMar>
              <w:bottom w:w="4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Personal Accident Insurance(1)</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8816" w:type="dxa"/>
            <w:tcBorders>
              <w:bottom w:val="single" w:sz="6" w:space="0" w:color="0071CE"/>
            </w:tcBorders>
            <w:shd w:fill="CCF2F8" w:val="clear"/>
            <w:tcMar>
              <w:bottom w:w="4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We provide personal accident insurance coverage in the event of accidental death or dismemberment. Directors are responsible for associated taxes on the imputed income from the coverage.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color w:val="3E3935"/>
              </w:rPr>
            </w:pPr>
            <w:r>
              <w:rPr>
                <w:color w:val="3E3935"/>
              </w:rPr>
              <w:t>(1)</w:t>
            </w:r>
          </w:p>
        </w:tc>
        <w:tc>
          <w:tcPr>
            <w:tcW w:w="9937"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Ms. Barra, our sole employee director, does not receive additional compensation for her Board service other than the personal accident insurance benefit described above, the value of which is reported for Ms. Barra in the Summary Compensation Table on page 57. </w:t>
            </w:r>
          </w:p>
        </w:tc>
      </w:tr>
    </w:tbl>
    <w:p>
      <w:pPr>
        <w:pStyle w:val="TextBody"/>
        <w:bidi w:val="0"/>
        <w:spacing w:before="120" w:after="0"/>
        <w:jc w:val="both"/>
        <w:rPr>
          <w:rFonts w:ascii="arial" w:hAnsi="arial"/>
          <w:color w:val="3E3935"/>
          <w:sz w:val="18"/>
        </w:rPr>
      </w:pPr>
      <w:r>
        <w:rPr>
          <w:rFonts w:ascii="arial" w:hAnsi="arial"/>
          <w:color w:val="3E3935"/>
          <w:sz w:val="18"/>
        </w:rPr>
        <w:t xml:space="preserve">Non-employee directors are not eligible to participate in any of the savings or retirement programs available to our employees. Other than as described in this section, there are no separate benefit plans for directors. </w:t>
      </w:r>
    </w:p>
    <w:p>
      <w:pPr>
        <w:pStyle w:val="TextBody"/>
        <w:bidi w:val="0"/>
        <w:spacing w:before="0" w:after="0"/>
        <w:jc w:val="left"/>
        <w:rPr/>
      </w:pPr>
      <w:r>
        <w:rPr/>
        <w:t> </w:t>
      </w:r>
    </w:p>
    <w:tbl>
      <w:tblPr>
        <w:tblW w:w="8791" w:type="dxa"/>
        <w:jc w:val="left"/>
        <w:tblInd w:w="0" w:type="dxa"/>
        <w:tblLayout w:type="fixed"/>
        <w:tblCellMar>
          <w:top w:w="0" w:type="dxa"/>
          <w:left w:w="0" w:type="dxa"/>
          <w:bottom w:w="0" w:type="dxa"/>
          <w:right w:w="0" w:type="dxa"/>
        </w:tblCellMar>
      </w:tblPr>
      <w:tblGrid>
        <w:gridCol w:w="38"/>
        <w:gridCol w:w="60"/>
        <w:gridCol w:w="23"/>
        <w:gridCol w:w="60"/>
        <w:gridCol w:w="57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19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r>
        <w:rPr>
          <w:rFonts w:ascii="arial" w:hAnsi="arial"/>
          <w:b/>
          <w:color w:val="0071CE"/>
          <w:sz w:val="28"/>
        </w:rPr>
        <w:t xml:space="preserve">2023 Non-Employee Director Compensation Table </w:t>
      </w:r>
    </w:p>
    <w:p>
      <w:pPr>
        <w:pStyle w:val="TextBody"/>
        <w:bidi w:val="0"/>
        <w:spacing w:before="120" w:after="0"/>
        <w:jc w:val="both"/>
        <w:rPr>
          <w:rFonts w:ascii="arial" w:hAnsi="arial"/>
          <w:color w:val="3E3935"/>
          <w:sz w:val="18"/>
        </w:rPr>
      </w:pPr>
      <w:r>
        <w:rPr>
          <w:rFonts w:ascii="arial" w:hAnsi="arial"/>
          <w:color w:val="3E3935"/>
          <w:sz w:val="18"/>
        </w:rPr>
        <w:t xml:space="preserve">The table below shows the compensation that each non-employee director received for their 2023 Board and committee service. </w:t>
      </w:r>
    </w:p>
    <w:p>
      <w:pPr>
        <w:pStyle w:val="TextBody"/>
        <w:bidi w:val="0"/>
        <w:spacing w:before="0" w:after="0"/>
        <w:jc w:val="left"/>
        <w:rPr/>
      </w:pPr>
      <w:r>
        <w:rPr/>
        <w:t> </w:t>
      </w:r>
    </w:p>
    <w:tbl>
      <w:tblPr>
        <w:tblW w:w="8572" w:type="dxa"/>
        <w:jc w:val="left"/>
        <w:tblInd w:w="0" w:type="dxa"/>
        <w:tblLayout w:type="fixed"/>
        <w:tblCellMar>
          <w:top w:w="0" w:type="dxa"/>
          <w:left w:w="0" w:type="dxa"/>
          <w:bottom w:w="0" w:type="dxa"/>
          <w:right w:w="0" w:type="dxa"/>
        </w:tblCellMar>
      </w:tblPr>
      <w:tblGrid>
        <w:gridCol w:w="1895"/>
        <w:gridCol w:w="120"/>
        <w:gridCol w:w="111"/>
        <w:gridCol w:w="1483"/>
        <w:gridCol w:w="60"/>
        <w:gridCol w:w="120"/>
        <w:gridCol w:w="120"/>
        <w:gridCol w:w="1609"/>
        <w:gridCol w:w="60"/>
        <w:gridCol w:w="120"/>
        <w:gridCol w:w="141"/>
        <w:gridCol w:w="1618"/>
        <w:gridCol w:w="60"/>
        <w:gridCol w:w="120"/>
        <w:gridCol w:w="60"/>
        <w:gridCol w:w="800"/>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Director</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594"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Fees Earned or</w:t>
              <w:br/>
              <w:t>Paid in Cash(1)</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729"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Stock Awards(2)</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759"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All Other</w:t>
              <w:br/>
              <w:t>Compensation(3)</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Total</w:t>
              <w:br/>
              <w: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774" w:type="dxa"/>
            <w:gridSpan w:val="4"/>
            <w:tcBorders/>
            <w:vAlign w:val="center"/>
          </w:tcPr>
          <w:p>
            <w:pPr>
              <w:pStyle w:val="TableContents"/>
              <w:bidi w:val="0"/>
              <w:spacing w:before="0" w:after="283"/>
              <w:jc w:val="left"/>
              <w:rPr>
                <w:sz w:val="4"/>
                <w:szCs w:val="4"/>
              </w:rPr>
            </w:pPr>
            <w:r>
              <w:rPr>
                <w:sz w:val="4"/>
                <w:szCs w:val="4"/>
              </w:rPr>
            </w:r>
          </w:p>
        </w:tc>
        <w:tc>
          <w:tcPr>
            <w:tcW w:w="1909" w:type="dxa"/>
            <w:gridSpan w:val="4"/>
            <w:tcBorders/>
            <w:vAlign w:val="center"/>
          </w:tcPr>
          <w:p>
            <w:pPr>
              <w:pStyle w:val="TableContents"/>
              <w:bidi w:val="0"/>
              <w:spacing w:before="0" w:after="283"/>
              <w:jc w:val="left"/>
              <w:rPr>
                <w:sz w:val="4"/>
                <w:szCs w:val="4"/>
              </w:rPr>
            </w:pPr>
            <w:r>
              <w:rPr>
                <w:sz w:val="4"/>
                <w:szCs w:val="4"/>
              </w:rPr>
            </w:r>
          </w:p>
        </w:tc>
        <w:tc>
          <w:tcPr>
            <w:tcW w:w="193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Aneel Bhusri</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130,000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color w:val="3E3935"/>
              </w:rPr>
            </w:pPr>
            <w:r>
              <w:rPr>
                <w:color w:val="3E3935"/>
              </w:rPr>
              <w:t> </w:t>
            </w:r>
          </w:p>
        </w:tc>
        <w:tc>
          <w:tcPr>
            <w:tcW w:w="1609" w:type="dxa"/>
            <w:tcBorders/>
            <w:vAlign w:val="center"/>
          </w:tcPr>
          <w:p>
            <w:pPr>
              <w:pStyle w:val="TableContents"/>
              <w:bidi w:val="0"/>
              <w:spacing w:before="0" w:after="283"/>
              <w:jc w:val="right"/>
              <w:rPr>
                <w:color w:val="3E3935"/>
              </w:rPr>
            </w:pPr>
            <w:r>
              <w:rPr>
                <w:color w:val="3E3935"/>
              </w:rPr>
              <w:t>208,228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color w:val="3E3935"/>
              </w:rPr>
            </w:pPr>
            <w:r>
              <w:rPr>
                <w:color w:val="3E3935"/>
              </w:rPr>
              <w:t> </w:t>
            </w:r>
          </w:p>
        </w:tc>
        <w:tc>
          <w:tcPr>
            <w:tcW w:w="1618" w:type="dxa"/>
            <w:tcBorders/>
            <w:vAlign w:val="center"/>
          </w:tcPr>
          <w:p>
            <w:pPr>
              <w:pStyle w:val="TableContents"/>
              <w:bidi w:val="0"/>
              <w:spacing w:before="0" w:after="283"/>
              <w:jc w:val="right"/>
              <w:rPr>
                <w:color w:val="3E3935"/>
              </w:rPr>
            </w:pPr>
            <w:r>
              <w:rPr>
                <w:color w:val="3E3935"/>
              </w:rPr>
              <w:t>17,407</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355,635</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774" w:type="dxa"/>
            <w:gridSpan w:val="4"/>
            <w:tcBorders/>
            <w:shd w:fill="CCF2F8" w:val="clear"/>
            <w:vAlign w:val="center"/>
          </w:tcPr>
          <w:p>
            <w:pPr>
              <w:pStyle w:val="TableContents"/>
              <w:bidi w:val="0"/>
              <w:spacing w:before="0" w:after="283"/>
              <w:jc w:val="left"/>
              <w:rPr>
                <w:sz w:val="4"/>
                <w:szCs w:val="4"/>
              </w:rPr>
            </w:pPr>
            <w:r>
              <w:rPr>
                <w:sz w:val="4"/>
                <w:szCs w:val="4"/>
              </w:rPr>
            </w:r>
          </w:p>
        </w:tc>
        <w:tc>
          <w:tcPr>
            <w:tcW w:w="1909" w:type="dxa"/>
            <w:gridSpan w:val="4"/>
            <w:tcBorders/>
            <w:shd w:fill="CCF2F8" w:val="clear"/>
            <w:vAlign w:val="center"/>
          </w:tcPr>
          <w:p>
            <w:pPr>
              <w:pStyle w:val="TableContents"/>
              <w:bidi w:val="0"/>
              <w:spacing w:before="0" w:after="283"/>
              <w:jc w:val="left"/>
              <w:rPr>
                <w:sz w:val="4"/>
                <w:szCs w:val="4"/>
              </w:rPr>
            </w:pPr>
            <w:r>
              <w:rPr>
                <w:sz w:val="4"/>
                <w:szCs w:val="4"/>
              </w:rPr>
            </w:r>
          </w:p>
        </w:tc>
        <w:tc>
          <w:tcPr>
            <w:tcW w:w="1939" w:type="dxa"/>
            <w:gridSpan w:val="4"/>
            <w:tcBorders/>
            <w:shd w:fill="CCF2F8" w:val="clear"/>
            <w:vAlign w:val="center"/>
          </w:tcPr>
          <w:p>
            <w:pPr>
              <w:pStyle w:val="TableContents"/>
              <w:bidi w:val="0"/>
              <w:spacing w:before="0" w:after="283"/>
              <w:jc w:val="left"/>
              <w:rPr>
                <w:sz w:val="4"/>
                <w:szCs w:val="4"/>
              </w:rPr>
            </w:pPr>
            <w:r>
              <w:rPr>
                <w:sz w:val="4"/>
                <w:szCs w:val="4"/>
              </w:rPr>
            </w:r>
          </w:p>
        </w:tc>
        <w:tc>
          <w:tcPr>
            <w:tcW w:w="105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Wesley G. Bush</w:t>
            </w:r>
          </w:p>
        </w:tc>
        <w:tc>
          <w:tcPr>
            <w:tcW w:w="120" w:type="dxa"/>
            <w:tcBorders/>
            <w:shd w:fill="CCF2F8" w:val="clear"/>
            <w:vAlign w:val="center"/>
          </w:tcPr>
          <w:p>
            <w:pPr>
              <w:pStyle w:val="TableContents"/>
              <w:bidi w:val="0"/>
              <w:spacing w:before="0" w:after="283"/>
              <w:jc w:val="left"/>
              <w:rPr/>
            </w:pPr>
            <w:r>
              <w:rPr/>
              <w:t>  </w:t>
            </w:r>
          </w:p>
        </w:tc>
        <w:tc>
          <w:tcPr>
            <w:tcW w:w="111" w:type="dxa"/>
            <w:tcBorders/>
            <w:shd w:fill="CCF2F8" w:val="clear"/>
            <w:vAlign w:val="center"/>
          </w:tcPr>
          <w:p>
            <w:pPr>
              <w:pStyle w:val="TableContents"/>
              <w:bidi w:val="0"/>
              <w:spacing w:before="0" w:after="283"/>
              <w:jc w:val="left"/>
              <w:rPr>
                <w:color w:val="3E3935"/>
              </w:rPr>
            </w:pPr>
            <w:r>
              <w:rPr>
                <w:color w:val="3E3935"/>
              </w:rPr>
              <w:t> </w:t>
            </w:r>
          </w:p>
        </w:tc>
        <w:tc>
          <w:tcPr>
            <w:tcW w:w="1483" w:type="dxa"/>
            <w:tcBorders/>
            <w:shd w:fill="CCF2F8" w:val="clear"/>
            <w:vAlign w:val="center"/>
          </w:tcPr>
          <w:p>
            <w:pPr>
              <w:pStyle w:val="TableContents"/>
              <w:bidi w:val="0"/>
              <w:spacing w:before="0" w:after="283"/>
              <w:jc w:val="right"/>
              <w:rPr>
                <w:color w:val="3E3935"/>
              </w:rPr>
            </w:pPr>
            <w:r>
              <w:rPr>
                <w:color w:val="3E3935"/>
              </w:rPr>
              <w:t>185,000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0" w:type="dxa"/>
            <w:tcBorders/>
            <w:shd w:fill="CCF2F8" w:val="clear"/>
            <w:vAlign w:val="center"/>
          </w:tcPr>
          <w:p>
            <w:pPr>
              <w:pStyle w:val="TableContents"/>
              <w:bidi w:val="0"/>
              <w:spacing w:before="0" w:after="283"/>
              <w:jc w:val="left"/>
              <w:rPr>
                <w:color w:val="3E3935"/>
              </w:rPr>
            </w:pPr>
            <w:r>
              <w:rPr>
                <w:color w:val="3E3935"/>
              </w:rPr>
              <w:t> </w:t>
            </w:r>
          </w:p>
        </w:tc>
        <w:tc>
          <w:tcPr>
            <w:tcW w:w="1609" w:type="dxa"/>
            <w:tcBorders/>
            <w:shd w:fill="CCF2F8" w:val="clear"/>
            <w:vAlign w:val="center"/>
          </w:tcPr>
          <w:p>
            <w:pPr>
              <w:pStyle w:val="TableContents"/>
              <w:bidi w:val="0"/>
              <w:spacing w:before="0" w:after="283"/>
              <w:jc w:val="right"/>
              <w:rPr>
                <w:color w:val="3E3935"/>
              </w:rPr>
            </w:pPr>
            <w:r>
              <w:rPr>
                <w:color w:val="3E3935"/>
              </w:rPr>
              <w:t>208,228</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1" w:type="dxa"/>
            <w:tcBorders/>
            <w:shd w:fill="CCF2F8" w:val="clear"/>
            <w:vAlign w:val="center"/>
          </w:tcPr>
          <w:p>
            <w:pPr>
              <w:pStyle w:val="TableContents"/>
              <w:bidi w:val="0"/>
              <w:spacing w:before="0" w:after="283"/>
              <w:jc w:val="left"/>
              <w:rPr>
                <w:color w:val="3E3935"/>
              </w:rPr>
            </w:pPr>
            <w:r>
              <w:rPr>
                <w:color w:val="3E3935"/>
              </w:rPr>
              <w:t> </w:t>
            </w:r>
          </w:p>
        </w:tc>
        <w:tc>
          <w:tcPr>
            <w:tcW w:w="1618" w:type="dxa"/>
            <w:tcBorders/>
            <w:shd w:fill="CCF2F8" w:val="clear"/>
            <w:vAlign w:val="center"/>
          </w:tcPr>
          <w:p>
            <w:pPr>
              <w:pStyle w:val="TableContents"/>
              <w:bidi w:val="0"/>
              <w:spacing w:before="0" w:after="283"/>
              <w:jc w:val="right"/>
              <w:rPr>
                <w:color w:val="3E3935"/>
              </w:rPr>
            </w:pPr>
            <w:r>
              <w:rPr>
                <w:color w:val="3E3935"/>
              </w:rPr>
              <w:t>27,344</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420,572</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774" w:type="dxa"/>
            <w:gridSpan w:val="4"/>
            <w:tcBorders/>
            <w:vAlign w:val="center"/>
          </w:tcPr>
          <w:p>
            <w:pPr>
              <w:pStyle w:val="TableContents"/>
              <w:bidi w:val="0"/>
              <w:spacing w:before="0" w:after="283"/>
              <w:jc w:val="left"/>
              <w:rPr>
                <w:sz w:val="4"/>
                <w:szCs w:val="4"/>
              </w:rPr>
            </w:pPr>
            <w:r>
              <w:rPr>
                <w:sz w:val="4"/>
                <w:szCs w:val="4"/>
              </w:rPr>
            </w:r>
          </w:p>
        </w:tc>
        <w:tc>
          <w:tcPr>
            <w:tcW w:w="1909" w:type="dxa"/>
            <w:gridSpan w:val="4"/>
            <w:tcBorders/>
            <w:vAlign w:val="center"/>
          </w:tcPr>
          <w:p>
            <w:pPr>
              <w:pStyle w:val="TableContents"/>
              <w:bidi w:val="0"/>
              <w:spacing w:before="0" w:after="283"/>
              <w:jc w:val="left"/>
              <w:rPr>
                <w:sz w:val="4"/>
                <w:szCs w:val="4"/>
              </w:rPr>
            </w:pPr>
            <w:r>
              <w:rPr>
                <w:sz w:val="4"/>
                <w:szCs w:val="4"/>
              </w:rPr>
            </w:r>
          </w:p>
        </w:tc>
        <w:tc>
          <w:tcPr>
            <w:tcW w:w="193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Joanne C. Crevoiserat</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130,000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color w:val="3E3935"/>
              </w:rPr>
            </w:pPr>
            <w:r>
              <w:rPr>
                <w:color w:val="3E3935"/>
              </w:rPr>
              <w:t> </w:t>
            </w:r>
          </w:p>
        </w:tc>
        <w:tc>
          <w:tcPr>
            <w:tcW w:w="1609" w:type="dxa"/>
            <w:tcBorders/>
            <w:vAlign w:val="center"/>
          </w:tcPr>
          <w:p>
            <w:pPr>
              <w:pStyle w:val="TableContents"/>
              <w:bidi w:val="0"/>
              <w:spacing w:before="0" w:after="283"/>
              <w:jc w:val="right"/>
              <w:rPr>
                <w:color w:val="3E3935"/>
              </w:rPr>
            </w:pPr>
            <w:r>
              <w:rPr>
                <w:color w:val="3E3935"/>
              </w:rPr>
              <w:t>208,228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color w:val="3E3935"/>
              </w:rPr>
            </w:pPr>
            <w:r>
              <w:rPr>
                <w:color w:val="3E3935"/>
              </w:rPr>
              <w:t> </w:t>
            </w:r>
          </w:p>
        </w:tc>
        <w:tc>
          <w:tcPr>
            <w:tcW w:w="1618" w:type="dxa"/>
            <w:tcBorders/>
            <w:vAlign w:val="center"/>
          </w:tcPr>
          <w:p>
            <w:pPr>
              <w:pStyle w:val="TableContents"/>
              <w:bidi w:val="0"/>
              <w:spacing w:before="0" w:after="283"/>
              <w:jc w:val="right"/>
              <w:rPr>
                <w:color w:val="3E3935"/>
              </w:rPr>
            </w:pPr>
            <w:r>
              <w:rPr>
                <w:color w:val="3E3935"/>
              </w:rPr>
              <w:t>25,990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364,218</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774" w:type="dxa"/>
            <w:gridSpan w:val="4"/>
            <w:tcBorders/>
            <w:shd w:fill="CCF2F8" w:val="clear"/>
            <w:vAlign w:val="center"/>
          </w:tcPr>
          <w:p>
            <w:pPr>
              <w:pStyle w:val="TableContents"/>
              <w:bidi w:val="0"/>
              <w:spacing w:before="0" w:after="283"/>
              <w:jc w:val="left"/>
              <w:rPr>
                <w:sz w:val="4"/>
                <w:szCs w:val="4"/>
              </w:rPr>
            </w:pPr>
            <w:r>
              <w:rPr>
                <w:sz w:val="4"/>
                <w:szCs w:val="4"/>
              </w:rPr>
            </w:r>
          </w:p>
        </w:tc>
        <w:tc>
          <w:tcPr>
            <w:tcW w:w="1909" w:type="dxa"/>
            <w:gridSpan w:val="4"/>
            <w:tcBorders/>
            <w:shd w:fill="CCF2F8" w:val="clear"/>
            <w:vAlign w:val="center"/>
          </w:tcPr>
          <w:p>
            <w:pPr>
              <w:pStyle w:val="TableContents"/>
              <w:bidi w:val="0"/>
              <w:spacing w:before="0" w:after="283"/>
              <w:jc w:val="left"/>
              <w:rPr>
                <w:sz w:val="4"/>
                <w:szCs w:val="4"/>
              </w:rPr>
            </w:pPr>
            <w:r>
              <w:rPr>
                <w:sz w:val="4"/>
                <w:szCs w:val="4"/>
              </w:rPr>
            </w:r>
          </w:p>
        </w:tc>
        <w:tc>
          <w:tcPr>
            <w:tcW w:w="1939" w:type="dxa"/>
            <w:gridSpan w:val="4"/>
            <w:tcBorders/>
            <w:shd w:fill="CCF2F8" w:val="clear"/>
            <w:vAlign w:val="center"/>
          </w:tcPr>
          <w:p>
            <w:pPr>
              <w:pStyle w:val="TableContents"/>
              <w:bidi w:val="0"/>
              <w:spacing w:before="0" w:after="283"/>
              <w:jc w:val="left"/>
              <w:rPr>
                <w:sz w:val="4"/>
                <w:szCs w:val="4"/>
              </w:rPr>
            </w:pPr>
            <w:r>
              <w:rPr>
                <w:sz w:val="4"/>
                <w:szCs w:val="4"/>
              </w:rPr>
            </w:r>
          </w:p>
        </w:tc>
        <w:tc>
          <w:tcPr>
            <w:tcW w:w="105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Linda R. Gooden</w:t>
            </w:r>
          </w:p>
        </w:tc>
        <w:tc>
          <w:tcPr>
            <w:tcW w:w="120" w:type="dxa"/>
            <w:tcBorders/>
            <w:shd w:fill="CCF2F8" w:val="clear"/>
            <w:vAlign w:val="center"/>
          </w:tcPr>
          <w:p>
            <w:pPr>
              <w:pStyle w:val="TableContents"/>
              <w:bidi w:val="0"/>
              <w:spacing w:before="0" w:after="283"/>
              <w:jc w:val="left"/>
              <w:rPr/>
            </w:pPr>
            <w:r>
              <w:rPr/>
              <w:t>  </w:t>
            </w:r>
          </w:p>
        </w:tc>
        <w:tc>
          <w:tcPr>
            <w:tcW w:w="111" w:type="dxa"/>
            <w:tcBorders/>
            <w:shd w:fill="CCF2F8" w:val="clear"/>
            <w:vAlign w:val="center"/>
          </w:tcPr>
          <w:p>
            <w:pPr>
              <w:pStyle w:val="TableContents"/>
              <w:bidi w:val="0"/>
              <w:spacing w:before="0" w:after="283"/>
              <w:jc w:val="left"/>
              <w:rPr>
                <w:color w:val="3E3935"/>
              </w:rPr>
            </w:pPr>
            <w:r>
              <w:rPr>
                <w:color w:val="3E3935"/>
              </w:rPr>
              <w:t> </w:t>
            </w:r>
          </w:p>
        </w:tc>
        <w:tc>
          <w:tcPr>
            <w:tcW w:w="1483" w:type="dxa"/>
            <w:tcBorders/>
            <w:shd w:fill="CCF2F8" w:val="clear"/>
            <w:vAlign w:val="center"/>
          </w:tcPr>
          <w:p>
            <w:pPr>
              <w:pStyle w:val="TableContents"/>
              <w:bidi w:val="0"/>
              <w:spacing w:before="0" w:after="283"/>
              <w:jc w:val="right"/>
              <w:rPr>
                <w:color w:val="3E3935"/>
              </w:rPr>
            </w:pPr>
            <w:r>
              <w:rPr>
                <w:color w:val="3E3935"/>
              </w:rPr>
              <w:t>155,000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0" w:type="dxa"/>
            <w:tcBorders/>
            <w:shd w:fill="CCF2F8" w:val="clear"/>
            <w:vAlign w:val="center"/>
          </w:tcPr>
          <w:p>
            <w:pPr>
              <w:pStyle w:val="TableContents"/>
              <w:bidi w:val="0"/>
              <w:spacing w:before="0" w:after="283"/>
              <w:jc w:val="left"/>
              <w:rPr>
                <w:color w:val="3E3935"/>
              </w:rPr>
            </w:pPr>
            <w:r>
              <w:rPr>
                <w:color w:val="3E3935"/>
              </w:rPr>
              <w:t> </w:t>
            </w:r>
          </w:p>
        </w:tc>
        <w:tc>
          <w:tcPr>
            <w:tcW w:w="1609" w:type="dxa"/>
            <w:tcBorders/>
            <w:shd w:fill="CCF2F8" w:val="clear"/>
            <w:vAlign w:val="center"/>
          </w:tcPr>
          <w:p>
            <w:pPr>
              <w:pStyle w:val="TableContents"/>
              <w:bidi w:val="0"/>
              <w:spacing w:before="0" w:after="283"/>
              <w:jc w:val="right"/>
              <w:rPr>
                <w:color w:val="3E3935"/>
              </w:rPr>
            </w:pPr>
            <w:r>
              <w:rPr>
                <w:color w:val="3E3935"/>
              </w:rPr>
              <w:t>208,228</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1" w:type="dxa"/>
            <w:tcBorders/>
            <w:shd w:fill="CCF2F8" w:val="clear"/>
            <w:vAlign w:val="center"/>
          </w:tcPr>
          <w:p>
            <w:pPr>
              <w:pStyle w:val="TableContents"/>
              <w:bidi w:val="0"/>
              <w:spacing w:before="0" w:after="283"/>
              <w:jc w:val="left"/>
              <w:rPr>
                <w:color w:val="3E3935"/>
              </w:rPr>
            </w:pPr>
            <w:r>
              <w:rPr>
                <w:color w:val="3E3935"/>
              </w:rPr>
              <w:t> </w:t>
            </w:r>
          </w:p>
        </w:tc>
        <w:tc>
          <w:tcPr>
            <w:tcW w:w="1618" w:type="dxa"/>
            <w:tcBorders/>
            <w:shd w:fill="CCF2F8" w:val="clear"/>
            <w:vAlign w:val="center"/>
          </w:tcPr>
          <w:p>
            <w:pPr>
              <w:pStyle w:val="TableContents"/>
              <w:bidi w:val="0"/>
              <w:spacing w:before="0" w:after="283"/>
              <w:jc w:val="right"/>
              <w:rPr>
                <w:color w:val="3E3935"/>
              </w:rPr>
            </w:pPr>
            <w:r>
              <w:rPr>
                <w:color w:val="3E3935"/>
              </w:rPr>
              <w:t>15,490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378,718</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774" w:type="dxa"/>
            <w:gridSpan w:val="4"/>
            <w:tcBorders/>
            <w:vAlign w:val="center"/>
          </w:tcPr>
          <w:p>
            <w:pPr>
              <w:pStyle w:val="TableContents"/>
              <w:bidi w:val="0"/>
              <w:spacing w:before="0" w:after="283"/>
              <w:jc w:val="left"/>
              <w:rPr>
                <w:sz w:val="4"/>
                <w:szCs w:val="4"/>
              </w:rPr>
            </w:pPr>
            <w:r>
              <w:rPr>
                <w:sz w:val="4"/>
                <w:szCs w:val="4"/>
              </w:rPr>
            </w:r>
          </w:p>
        </w:tc>
        <w:tc>
          <w:tcPr>
            <w:tcW w:w="1909" w:type="dxa"/>
            <w:gridSpan w:val="4"/>
            <w:tcBorders/>
            <w:vAlign w:val="center"/>
          </w:tcPr>
          <w:p>
            <w:pPr>
              <w:pStyle w:val="TableContents"/>
              <w:bidi w:val="0"/>
              <w:spacing w:before="0" w:after="283"/>
              <w:jc w:val="left"/>
              <w:rPr>
                <w:sz w:val="4"/>
                <w:szCs w:val="4"/>
              </w:rPr>
            </w:pPr>
            <w:r>
              <w:rPr>
                <w:sz w:val="4"/>
                <w:szCs w:val="4"/>
              </w:rPr>
            </w:r>
          </w:p>
        </w:tc>
        <w:tc>
          <w:tcPr>
            <w:tcW w:w="193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Joseph Jimenez</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155,000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color w:val="3E3935"/>
              </w:rPr>
            </w:pPr>
            <w:r>
              <w:rPr>
                <w:color w:val="3E3935"/>
              </w:rPr>
              <w:t> </w:t>
            </w:r>
          </w:p>
        </w:tc>
        <w:tc>
          <w:tcPr>
            <w:tcW w:w="1609" w:type="dxa"/>
            <w:tcBorders/>
            <w:vAlign w:val="center"/>
          </w:tcPr>
          <w:p>
            <w:pPr>
              <w:pStyle w:val="TableContents"/>
              <w:bidi w:val="0"/>
              <w:spacing w:before="0" w:after="283"/>
              <w:jc w:val="right"/>
              <w:rPr>
                <w:color w:val="3E3935"/>
              </w:rPr>
            </w:pPr>
            <w:r>
              <w:rPr>
                <w:color w:val="3E3935"/>
              </w:rPr>
              <w:t>208,228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color w:val="3E3935"/>
              </w:rPr>
            </w:pPr>
            <w:r>
              <w:rPr>
                <w:color w:val="3E3935"/>
              </w:rPr>
              <w:t> </w:t>
            </w:r>
          </w:p>
        </w:tc>
        <w:tc>
          <w:tcPr>
            <w:tcW w:w="1618" w:type="dxa"/>
            <w:tcBorders/>
            <w:vAlign w:val="center"/>
          </w:tcPr>
          <w:p>
            <w:pPr>
              <w:pStyle w:val="TableContents"/>
              <w:bidi w:val="0"/>
              <w:spacing w:before="0" w:after="283"/>
              <w:jc w:val="right"/>
              <w:rPr>
                <w:color w:val="3E3935"/>
              </w:rPr>
            </w:pPr>
            <w:r>
              <w:rPr>
                <w:color w:val="3E3935"/>
              </w:rPr>
              <w:t>46,051</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409,279</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774" w:type="dxa"/>
            <w:gridSpan w:val="4"/>
            <w:tcBorders/>
            <w:shd w:fill="CCF2F8" w:val="clear"/>
            <w:vAlign w:val="center"/>
          </w:tcPr>
          <w:p>
            <w:pPr>
              <w:pStyle w:val="TableContents"/>
              <w:bidi w:val="0"/>
              <w:spacing w:before="0" w:after="283"/>
              <w:jc w:val="left"/>
              <w:rPr>
                <w:sz w:val="4"/>
                <w:szCs w:val="4"/>
              </w:rPr>
            </w:pPr>
            <w:r>
              <w:rPr>
                <w:sz w:val="4"/>
                <w:szCs w:val="4"/>
              </w:rPr>
            </w:r>
          </w:p>
        </w:tc>
        <w:tc>
          <w:tcPr>
            <w:tcW w:w="1909" w:type="dxa"/>
            <w:gridSpan w:val="4"/>
            <w:tcBorders/>
            <w:shd w:fill="CCF2F8" w:val="clear"/>
            <w:vAlign w:val="center"/>
          </w:tcPr>
          <w:p>
            <w:pPr>
              <w:pStyle w:val="TableContents"/>
              <w:bidi w:val="0"/>
              <w:spacing w:before="0" w:after="283"/>
              <w:jc w:val="left"/>
              <w:rPr>
                <w:sz w:val="4"/>
                <w:szCs w:val="4"/>
              </w:rPr>
            </w:pPr>
            <w:r>
              <w:rPr>
                <w:sz w:val="4"/>
                <w:szCs w:val="4"/>
              </w:rPr>
            </w:r>
          </w:p>
        </w:tc>
        <w:tc>
          <w:tcPr>
            <w:tcW w:w="1939" w:type="dxa"/>
            <w:gridSpan w:val="4"/>
            <w:tcBorders/>
            <w:shd w:fill="CCF2F8" w:val="clear"/>
            <w:vAlign w:val="center"/>
          </w:tcPr>
          <w:p>
            <w:pPr>
              <w:pStyle w:val="TableContents"/>
              <w:bidi w:val="0"/>
              <w:spacing w:before="0" w:after="283"/>
              <w:jc w:val="left"/>
              <w:rPr>
                <w:sz w:val="4"/>
                <w:szCs w:val="4"/>
              </w:rPr>
            </w:pPr>
            <w:r>
              <w:rPr>
                <w:sz w:val="4"/>
                <w:szCs w:val="4"/>
              </w:rPr>
            </w:r>
          </w:p>
        </w:tc>
        <w:tc>
          <w:tcPr>
            <w:tcW w:w="105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Jonathan McNeill</w:t>
            </w:r>
          </w:p>
        </w:tc>
        <w:tc>
          <w:tcPr>
            <w:tcW w:w="120" w:type="dxa"/>
            <w:tcBorders/>
            <w:shd w:fill="CCF2F8" w:val="clear"/>
            <w:vAlign w:val="center"/>
          </w:tcPr>
          <w:p>
            <w:pPr>
              <w:pStyle w:val="TableContents"/>
              <w:bidi w:val="0"/>
              <w:spacing w:before="0" w:after="283"/>
              <w:jc w:val="left"/>
              <w:rPr/>
            </w:pPr>
            <w:r>
              <w:rPr/>
              <w:t>  </w:t>
            </w:r>
          </w:p>
        </w:tc>
        <w:tc>
          <w:tcPr>
            <w:tcW w:w="111" w:type="dxa"/>
            <w:tcBorders/>
            <w:shd w:fill="CCF2F8" w:val="clear"/>
            <w:vAlign w:val="center"/>
          </w:tcPr>
          <w:p>
            <w:pPr>
              <w:pStyle w:val="TableContents"/>
              <w:bidi w:val="0"/>
              <w:spacing w:before="0" w:after="283"/>
              <w:jc w:val="left"/>
              <w:rPr>
                <w:color w:val="3E3935"/>
              </w:rPr>
            </w:pPr>
            <w:r>
              <w:rPr>
                <w:color w:val="3E3935"/>
              </w:rPr>
              <w:t> </w:t>
            </w:r>
          </w:p>
        </w:tc>
        <w:tc>
          <w:tcPr>
            <w:tcW w:w="1483" w:type="dxa"/>
            <w:tcBorders/>
            <w:shd w:fill="CCF2F8" w:val="clear"/>
            <w:vAlign w:val="center"/>
          </w:tcPr>
          <w:p>
            <w:pPr>
              <w:pStyle w:val="TableContents"/>
              <w:bidi w:val="0"/>
              <w:spacing w:before="0" w:after="283"/>
              <w:jc w:val="right"/>
              <w:rPr>
                <w:color w:val="3E3935"/>
              </w:rPr>
            </w:pPr>
            <w:r>
              <w:rPr>
                <w:color w:val="3E3935"/>
              </w:rPr>
              <w:t>145,900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0" w:type="dxa"/>
            <w:tcBorders/>
            <w:shd w:fill="CCF2F8" w:val="clear"/>
            <w:vAlign w:val="center"/>
          </w:tcPr>
          <w:p>
            <w:pPr>
              <w:pStyle w:val="TableContents"/>
              <w:bidi w:val="0"/>
              <w:spacing w:before="0" w:after="283"/>
              <w:jc w:val="left"/>
              <w:rPr>
                <w:color w:val="3E3935"/>
              </w:rPr>
            </w:pPr>
            <w:r>
              <w:rPr>
                <w:color w:val="3E3935"/>
              </w:rPr>
              <w:t> </w:t>
            </w:r>
          </w:p>
        </w:tc>
        <w:tc>
          <w:tcPr>
            <w:tcW w:w="1609" w:type="dxa"/>
            <w:tcBorders/>
            <w:shd w:fill="CCF2F8" w:val="clear"/>
            <w:vAlign w:val="center"/>
          </w:tcPr>
          <w:p>
            <w:pPr>
              <w:pStyle w:val="TableContents"/>
              <w:bidi w:val="0"/>
              <w:spacing w:before="0" w:after="283"/>
              <w:jc w:val="right"/>
              <w:rPr>
                <w:color w:val="3E3935"/>
              </w:rPr>
            </w:pPr>
            <w:r>
              <w:rPr>
                <w:color w:val="3E3935"/>
              </w:rPr>
              <w:t>208,228</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1" w:type="dxa"/>
            <w:tcBorders/>
            <w:shd w:fill="CCF2F8" w:val="clear"/>
            <w:vAlign w:val="center"/>
          </w:tcPr>
          <w:p>
            <w:pPr>
              <w:pStyle w:val="TableContents"/>
              <w:bidi w:val="0"/>
              <w:spacing w:before="0" w:after="283"/>
              <w:jc w:val="left"/>
              <w:rPr>
                <w:color w:val="3E3935"/>
              </w:rPr>
            </w:pPr>
            <w:r>
              <w:rPr>
                <w:color w:val="3E3935"/>
              </w:rPr>
              <w:t> </w:t>
            </w:r>
          </w:p>
        </w:tc>
        <w:tc>
          <w:tcPr>
            <w:tcW w:w="1618" w:type="dxa"/>
            <w:tcBorders/>
            <w:shd w:fill="CCF2F8" w:val="clear"/>
            <w:vAlign w:val="center"/>
          </w:tcPr>
          <w:p>
            <w:pPr>
              <w:pStyle w:val="TableContents"/>
              <w:bidi w:val="0"/>
              <w:spacing w:before="0" w:after="283"/>
              <w:jc w:val="right"/>
              <w:rPr>
                <w:color w:val="3E3935"/>
              </w:rPr>
            </w:pPr>
            <w:r>
              <w:rPr>
                <w:color w:val="3E3935"/>
              </w:rPr>
              <w:t>13,219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367,347</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774" w:type="dxa"/>
            <w:gridSpan w:val="4"/>
            <w:tcBorders/>
            <w:vAlign w:val="center"/>
          </w:tcPr>
          <w:p>
            <w:pPr>
              <w:pStyle w:val="TableContents"/>
              <w:bidi w:val="0"/>
              <w:spacing w:before="0" w:after="283"/>
              <w:jc w:val="left"/>
              <w:rPr>
                <w:sz w:val="4"/>
                <w:szCs w:val="4"/>
              </w:rPr>
            </w:pPr>
            <w:r>
              <w:rPr>
                <w:sz w:val="4"/>
                <w:szCs w:val="4"/>
              </w:rPr>
            </w:r>
          </w:p>
        </w:tc>
        <w:tc>
          <w:tcPr>
            <w:tcW w:w="1909" w:type="dxa"/>
            <w:gridSpan w:val="4"/>
            <w:tcBorders/>
            <w:vAlign w:val="center"/>
          </w:tcPr>
          <w:p>
            <w:pPr>
              <w:pStyle w:val="TableContents"/>
              <w:bidi w:val="0"/>
              <w:spacing w:before="0" w:after="283"/>
              <w:jc w:val="left"/>
              <w:rPr>
                <w:sz w:val="4"/>
                <w:szCs w:val="4"/>
              </w:rPr>
            </w:pPr>
            <w:r>
              <w:rPr>
                <w:sz w:val="4"/>
                <w:szCs w:val="4"/>
              </w:rPr>
            </w:r>
          </w:p>
        </w:tc>
        <w:tc>
          <w:tcPr>
            <w:tcW w:w="193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Judith A. Miscik</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130,000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color w:val="3E3935"/>
              </w:rPr>
            </w:pPr>
            <w:r>
              <w:rPr>
                <w:color w:val="3E3935"/>
              </w:rPr>
              <w:t> </w:t>
            </w:r>
          </w:p>
        </w:tc>
        <w:tc>
          <w:tcPr>
            <w:tcW w:w="1609" w:type="dxa"/>
            <w:tcBorders/>
            <w:vAlign w:val="center"/>
          </w:tcPr>
          <w:p>
            <w:pPr>
              <w:pStyle w:val="TableContents"/>
              <w:bidi w:val="0"/>
              <w:spacing w:before="0" w:after="283"/>
              <w:jc w:val="right"/>
              <w:rPr>
                <w:color w:val="3E3935"/>
              </w:rPr>
            </w:pPr>
            <w:r>
              <w:rPr>
                <w:color w:val="3E3935"/>
              </w:rPr>
              <w:t>208,228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color w:val="3E3935"/>
              </w:rPr>
            </w:pPr>
            <w:r>
              <w:rPr>
                <w:color w:val="3E3935"/>
              </w:rPr>
              <w:t> </w:t>
            </w:r>
          </w:p>
        </w:tc>
        <w:tc>
          <w:tcPr>
            <w:tcW w:w="1618" w:type="dxa"/>
            <w:tcBorders/>
            <w:vAlign w:val="center"/>
          </w:tcPr>
          <w:p>
            <w:pPr>
              <w:pStyle w:val="TableContents"/>
              <w:bidi w:val="0"/>
              <w:spacing w:before="0" w:after="283"/>
              <w:jc w:val="right"/>
              <w:rPr>
                <w:color w:val="3E3935"/>
              </w:rPr>
            </w:pPr>
            <w:r>
              <w:rPr>
                <w:color w:val="3E3935"/>
              </w:rPr>
              <w:t>14,698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352,926</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774" w:type="dxa"/>
            <w:gridSpan w:val="4"/>
            <w:tcBorders/>
            <w:shd w:fill="CCF2F8" w:val="clear"/>
            <w:vAlign w:val="center"/>
          </w:tcPr>
          <w:p>
            <w:pPr>
              <w:pStyle w:val="TableContents"/>
              <w:bidi w:val="0"/>
              <w:spacing w:before="0" w:after="283"/>
              <w:jc w:val="left"/>
              <w:rPr>
                <w:sz w:val="4"/>
                <w:szCs w:val="4"/>
              </w:rPr>
            </w:pPr>
            <w:r>
              <w:rPr>
                <w:sz w:val="4"/>
                <w:szCs w:val="4"/>
              </w:rPr>
            </w:r>
          </w:p>
        </w:tc>
        <w:tc>
          <w:tcPr>
            <w:tcW w:w="1909" w:type="dxa"/>
            <w:gridSpan w:val="4"/>
            <w:tcBorders/>
            <w:shd w:fill="CCF2F8" w:val="clear"/>
            <w:vAlign w:val="center"/>
          </w:tcPr>
          <w:p>
            <w:pPr>
              <w:pStyle w:val="TableContents"/>
              <w:bidi w:val="0"/>
              <w:spacing w:before="0" w:after="283"/>
              <w:jc w:val="left"/>
              <w:rPr>
                <w:sz w:val="4"/>
                <w:szCs w:val="4"/>
              </w:rPr>
            </w:pPr>
            <w:r>
              <w:rPr>
                <w:sz w:val="4"/>
                <w:szCs w:val="4"/>
              </w:rPr>
            </w:r>
          </w:p>
        </w:tc>
        <w:tc>
          <w:tcPr>
            <w:tcW w:w="1939" w:type="dxa"/>
            <w:gridSpan w:val="4"/>
            <w:tcBorders/>
            <w:shd w:fill="CCF2F8" w:val="clear"/>
            <w:vAlign w:val="center"/>
          </w:tcPr>
          <w:p>
            <w:pPr>
              <w:pStyle w:val="TableContents"/>
              <w:bidi w:val="0"/>
              <w:spacing w:before="0" w:after="283"/>
              <w:jc w:val="left"/>
              <w:rPr>
                <w:sz w:val="4"/>
                <w:szCs w:val="4"/>
              </w:rPr>
            </w:pPr>
            <w:r>
              <w:rPr>
                <w:sz w:val="4"/>
                <w:szCs w:val="4"/>
              </w:rPr>
            </w:r>
          </w:p>
        </w:tc>
        <w:tc>
          <w:tcPr>
            <w:tcW w:w="105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Patricia F. Russo</w:t>
            </w:r>
          </w:p>
        </w:tc>
        <w:tc>
          <w:tcPr>
            <w:tcW w:w="120" w:type="dxa"/>
            <w:tcBorders/>
            <w:shd w:fill="CCF2F8" w:val="clear"/>
            <w:vAlign w:val="center"/>
          </w:tcPr>
          <w:p>
            <w:pPr>
              <w:pStyle w:val="TableContents"/>
              <w:bidi w:val="0"/>
              <w:spacing w:before="0" w:after="283"/>
              <w:jc w:val="left"/>
              <w:rPr/>
            </w:pPr>
            <w:r>
              <w:rPr/>
              <w:t>  </w:t>
            </w:r>
          </w:p>
        </w:tc>
        <w:tc>
          <w:tcPr>
            <w:tcW w:w="111" w:type="dxa"/>
            <w:tcBorders/>
            <w:shd w:fill="CCF2F8" w:val="clear"/>
            <w:vAlign w:val="center"/>
          </w:tcPr>
          <w:p>
            <w:pPr>
              <w:pStyle w:val="TableContents"/>
              <w:bidi w:val="0"/>
              <w:spacing w:before="0" w:after="283"/>
              <w:jc w:val="left"/>
              <w:rPr>
                <w:color w:val="3E3935"/>
              </w:rPr>
            </w:pPr>
            <w:r>
              <w:rPr>
                <w:color w:val="3E3935"/>
              </w:rPr>
              <w:t> </w:t>
            </w:r>
          </w:p>
        </w:tc>
        <w:tc>
          <w:tcPr>
            <w:tcW w:w="1483" w:type="dxa"/>
            <w:tcBorders/>
            <w:shd w:fill="CCF2F8" w:val="clear"/>
            <w:vAlign w:val="center"/>
          </w:tcPr>
          <w:p>
            <w:pPr>
              <w:pStyle w:val="TableContents"/>
              <w:bidi w:val="0"/>
              <w:spacing w:before="0" w:after="283"/>
              <w:jc w:val="right"/>
              <w:rPr>
                <w:color w:val="3E3935"/>
              </w:rPr>
            </w:pPr>
            <w:r>
              <w:rPr>
                <w:color w:val="3E3935"/>
              </w:rPr>
              <w:t>255,000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0" w:type="dxa"/>
            <w:tcBorders/>
            <w:shd w:fill="CCF2F8" w:val="clear"/>
            <w:vAlign w:val="center"/>
          </w:tcPr>
          <w:p>
            <w:pPr>
              <w:pStyle w:val="TableContents"/>
              <w:bidi w:val="0"/>
              <w:spacing w:before="0" w:after="283"/>
              <w:jc w:val="left"/>
              <w:rPr>
                <w:color w:val="3E3935"/>
              </w:rPr>
            </w:pPr>
            <w:r>
              <w:rPr>
                <w:color w:val="3E3935"/>
              </w:rPr>
              <w:t> </w:t>
            </w:r>
          </w:p>
        </w:tc>
        <w:tc>
          <w:tcPr>
            <w:tcW w:w="1609" w:type="dxa"/>
            <w:tcBorders/>
            <w:shd w:fill="CCF2F8" w:val="clear"/>
            <w:vAlign w:val="center"/>
          </w:tcPr>
          <w:p>
            <w:pPr>
              <w:pStyle w:val="TableContents"/>
              <w:bidi w:val="0"/>
              <w:spacing w:before="0" w:after="283"/>
              <w:jc w:val="right"/>
              <w:rPr>
                <w:color w:val="3E3935"/>
              </w:rPr>
            </w:pPr>
            <w:r>
              <w:rPr>
                <w:color w:val="3E3935"/>
              </w:rPr>
              <w:t>208,228</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1" w:type="dxa"/>
            <w:tcBorders/>
            <w:shd w:fill="CCF2F8" w:val="clear"/>
            <w:vAlign w:val="center"/>
          </w:tcPr>
          <w:p>
            <w:pPr>
              <w:pStyle w:val="TableContents"/>
              <w:bidi w:val="0"/>
              <w:spacing w:before="0" w:after="283"/>
              <w:jc w:val="left"/>
              <w:rPr>
                <w:color w:val="3E3935"/>
              </w:rPr>
            </w:pPr>
            <w:r>
              <w:rPr>
                <w:color w:val="3E3935"/>
              </w:rPr>
              <w:t> </w:t>
            </w:r>
          </w:p>
        </w:tc>
        <w:tc>
          <w:tcPr>
            <w:tcW w:w="1618" w:type="dxa"/>
            <w:tcBorders/>
            <w:shd w:fill="CCF2F8" w:val="clear"/>
            <w:vAlign w:val="center"/>
          </w:tcPr>
          <w:p>
            <w:pPr>
              <w:pStyle w:val="TableContents"/>
              <w:bidi w:val="0"/>
              <w:spacing w:before="0" w:after="283"/>
              <w:jc w:val="right"/>
              <w:rPr>
                <w:color w:val="3E3935"/>
              </w:rPr>
            </w:pPr>
            <w:r>
              <w:rPr>
                <w:color w:val="3E3935"/>
              </w:rPr>
              <w:t>8,969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472,197</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774" w:type="dxa"/>
            <w:gridSpan w:val="4"/>
            <w:tcBorders/>
            <w:vAlign w:val="center"/>
          </w:tcPr>
          <w:p>
            <w:pPr>
              <w:pStyle w:val="TableContents"/>
              <w:bidi w:val="0"/>
              <w:spacing w:before="0" w:after="283"/>
              <w:jc w:val="left"/>
              <w:rPr>
                <w:sz w:val="4"/>
                <w:szCs w:val="4"/>
              </w:rPr>
            </w:pPr>
            <w:r>
              <w:rPr>
                <w:sz w:val="4"/>
                <w:szCs w:val="4"/>
              </w:rPr>
            </w:r>
          </w:p>
        </w:tc>
        <w:tc>
          <w:tcPr>
            <w:tcW w:w="1909" w:type="dxa"/>
            <w:gridSpan w:val="4"/>
            <w:tcBorders/>
            <w:vAlign w:val="center"/>
          </w:tcPr>
          <w:p>
            <w:pPr>
              <w:pStyle w:val="TableContents"/>
              <w:bidi w:val="0"/>
              <w:spacing w:before="0" w:after="283"/>
              <w:jc w:val="left"/>
              <w:rPr>
                <w:sz w:val="4"/>
                <w:szCs w:val="4"/>
              </w:rPr>
            </w:pPr>
            <w:r>
              <w:rPr>
                <w:sz w:val="4"/>
                <w:szCs w:val="4"/>
              </w:rPr>
            </w:r>
          </w:p>
        </w:tc>
        <w:tc>
          <w:tcPr>
            <w:tcW w:w="193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Thomas M. Schoewe</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165,000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color w:val="3E3935"/>
              </w:rPr>
            </w:pPr>
            <w:r>
              <w:rPr>
                <w:color w:val="3E3935"/>
              </w:rPr>
              <w:t> </w:t>
            </w:r>
          </w:p>
        </w:tc>
        <w:tc>
          <w:tcPr>
            <w:tcW w:w="1609" w:type="dxa"/>
            <w:tcBorders/>
            <w:vAlign w:val="center"/>
          </w:tcPr>
          <w:p>
            <w:pPr>
              <w:pStyle w:val="TableContents"/>
              <w:bidi w:val="0"/>
              <w:spacing w:before="0" w:after="283"/>
              <w:jc w:val="right"/>
              <w:rPr>
                <w:color w:val="3E3935"/>
              </w:rPr>
            </w:pPr>
            <w:r>
              <w:rPr>
                <w:color w:val="3E3935"/>
              </w:rPr>
              <w:t>208,228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color w:val="3E3935"/>
              </w:rPr>
            </w:pPr>
            <w:r>
              <w:rPr>
                <w:color w:val="3E3935"/>
              </w:rPr>
              <w:t> </w:t>
            </w:r>
          </w:p>
        </w:tc>
        <w:tc>
          <w:tcPr>
            <w:tcW w:w="1618" w:type="dxa"/>
            <w:tcBorders/>
            <w:vAlign w:val="center"/>
          </w:tcPr>
          <w:p>
            <w:pPr>
              <w:pStyle w:val="TableContents"/>
              <w:bidi w:val="0"/>
              <w:spacing w:before="0" w:after="283"/>
              <w:jc w:val="right"/>
              <w:rPr>
                <w:color w:val="3E3935"/>
              </w:rPr>
            </w:pPr>
            <w:r>
              <w:rPr>
                <w:color w:val="3E3935"/>
              </w:rPr>
              <w:t>42,907</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416,135</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774" w:type="dxa"/>
            <w:gridSpan w:val="4"/>
            <w:tcBorders/>
            <w:shd w:fill="CCF2F8" w:val="clear"/>
            <w:vAlign w:val="center"/>
          </w:tcPr>
          <w:p>
            <w:pPr>
              <w:pStyle w:val="TableContents"/>
              <w:bidi w:val="0"/>
              <w:spacing w:before="0" w:after="283"/>
              <w:jc w:val="left"/>
              <w:rPr>
                <w:sz w:val="4"/>
                <w:szCs w:val="4"/>
              </w:rPr>
            </w:pPr>
            <w:r>
              <w:rPr>
                <w:sz w:val="4"/>
                <w:szCs w:val="4"/>
              </w:rPr>
            </w:r>
          </w:p>
        </w:tc>
        <w:tc>
          <w:tcPr>
            <w:tcW w:w="1909" w:type="dxa"/>
            <w:gridSpan w:val="4"/>
            <w:tcBorders/>
            <w:shd w:fill="CCF2F8" w:val="clear"/>
            <w:vAlign w:val="center"/>
          </w:tcPr>
          <w:p>
            <w:pPr>
              <w:pStyle w:val="TableContents"/>
              <w:bidi w:val="0"/>
              <w:spacing w:before="0" w:after="283"/>
              <w:jc w:val="left"/>
              <w:rPr>
                <w:sz w:val="4"/>
                <w:szCs w:val="4"/>
              </w:rPr>
            </w:pPr>
            <w:r>
              <w:rPr>
                <w:sz w:val="4"/>
                <w:szCs w:val="4"/>
              </w:rPr>
            </w:r>
          </w:p>
        </w:tc>
        <w:tc>
          <w:tcPr>
            <w:tcW w:w="1939" w:type="dxa"/>
            <w:gridSpan w:val="4"/>
            <w:tcBorders/>
            <w:shd w:fill="CCF2F8" w:val="clear"/>
            <w:vAlign w:val="center"/>
          </w:tcPr>
          <w:p>
            <w:pPr>
              <w:pStyle w:val="TableContents"/>
              <w:bidi w:val="0"/>
              <w:spacing w:before="0" w:after="283"/>
              <w:jc w:val="left"/>
              <w:rPr>
                <w:sz w:val="4"/>
                <w:szCs w:val="4"/>
              </w:rPr>
            </w:pPr>
            <w:r>
              <w:rPr>
                <w:sz w:val="4"/>
                <w:szCs w:val="4"/>
              </w:rPr>
            </w:r>
          </w:p>
        </w:tc>
        <w:tc>
          <w:tcPr>
            <w:tcW w:w="105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Carol M. Stephenson(4)</w:t>
            </w:r>
          </w:p>
        </w:tc>
        <w:tc>
          <w:tcPr>
            <w:tcW w:w="120" w:type="dxa"/>
            <w:tcBorders/>
            <w:shd w:fill="CCF2F8" w:val="clear"/>
            <w:vAlign w:val="center"/>
          </w:tcPr>
          <w:p>
            <w:pPr>
              <w:pStyle w:val="TableContents"/>
              <w:bidi w:val="0"/>
              <w:spacing w:before="0" w:after="283"/>
              <w:jc w:val="left"/>
              <w:rPr/>
            </w:pPr>
            <w:r>
              <w:rPr/>
              <w:t>  </w:t>
            </w:r>
          </w:p>
        </w:tc>
        <w:tc>
          <w:tcPr>
            <w:tcW w:w="111" w:type="dxa"/>
            <w:tcBorders/>
            <w:shd w:fill="CCF2F8" w:val="clear"/>
            <w:vAlign w:val="center"/>
          </w:tcPr>
          <w:p>
            <w:pPr>
              <w:pStyle w:val="TableContents"/>
              <w:bidi w:val="0"/>
              <w:spacing w:before="0" w:after="283"/>
              <w:jc w:val="left"/>
              <w:rPr>
                <w:color w:val="3E3935"/>
              </w:rPr>
            </w:pPr>
            <w:r>
              <w:rPr>
                <w:color w:val="3E3935"/>
              </w:rPr>
              <w:t> </w:t>
            </w:r>
          </w:p>
        </w:tc>
        <w:tc>
          <w:tcPr>
            <w:tcW w:w="1483" w:type="dxa"/>
            <w:tcBorders/>
            <w:shd w:fill="CCF2F8" w:val="clear"/>
            <w:vAlign w:val="center"/>
          </w:tcPr>
          <w:p>
            <w:pPr>
              <w:pStyle w:val="TableContents"/>
              <w:bidi w:val="0"/>
              <w:spacing w:before="0" w:after="283"/>
              <w:jc w:val="right"/>
              <w:rPr>
                <w:color w:val="3E3935"/>
              </w:rPr>
            </w:pPr>
            <w:r>
              <w:rPr>
                <w:color w:val="3E3935"/>
              </w:rPr>
              <w:t>61,100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0" w:type="dxa"/>
            <w:tcBorders/>
            <w:shd w:fill="CCF2F8" w:val="clear"/>
            <w:vAlign w:val="center"/>
          </w:tcPr>
          <w:p>
            <w:pPr>
              <w:pStyle w:val="TableContents"/>
              <w:bidi w:val="0"/>
              <w:spacing w:before="0" w:after="283"/>
              <w:jc w:val="left"/>
              <w:rPr>
                <w:color w:val="3E3935"/>
              </w:rPr>
            </w:pPr>
            <w:r>
              <w:rPr>
                <w:color w:val="3E3935"/>
              </w:rPr>
              <w:t> </w:t>
            </w:r>
          </w:p>
        </w:tc>
        <w:tc>
          <w:tcPr>
            <w:tcW w:w="1609" w:type="dxa"/>
            <w:tcBorders/>
            <w:shd w:fill="CCF2F8" w:val="clear"/>
            <w:vAlign w:val="center"/>
          </w:tcPr>
          <w:p>
            <w:pPr>
              <w:pStyle w:val="TableContents"/>
              <w:bidi w:val="0"/>
              <w:spacing w:before="0" w:after="283"/>
              <w:jc w:val="right"/>
              <w:rPr>
                <w:color w:val="3E3935"/>
              </w:rPr>
            </w:pPr>
            <w:r>
              <w:rPr>
                <w:color w:val="3E3935"/>
              </w:rPr>
              <w:t>97,882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1" w:type="dxa"/>
            <w:tcBorders/>
            <w:shd w:fill="CCF2F8" w:val="clear"/>
            <w:vAlign w:val="center"/>
          </w:tcPr>
          <w:p>
            <w:pPr>
              <w:pStyle w:val="TableContents"/>
              <w:bidi w:val="0"/>
              <w:spacing w:before="0" w:after="283"/>
              <w:jc w:val="left"/>
              <w:rPr>
                <w:color w:val="3E3935"/>
              </w:rPr>
            </w:pPr>
            <w:r>
              <w:rPr>
                <w:color w:val="3E3935"/>
              </w:rPr>
              <w:t> </w:t>
            </w:r>
          </w:p>
        </w:tc>
        <w:tc>
          <w:tcPr>
            <w:tcW w:w="1618" w:type="dxa"/>
            <w:tcBorders/>
            <w:shd w:fill="CCF2F8" w:val="clear"/>
            <w:vAlign w:val="center"/>
          </w:tcPr>
          <w:p>
            <w:pPr>
              <w:pStyle w:val="TableContents"/>
              <w:bidi w:val="0"/>
              <w:spacing w:before="0" w:after="283"/>
              <w:jc w:val="right"/>
              <w:rPr>
                <w:color w:val="3E3935"/>
              </w:rPr>
            </w:pPr>
            <w:r>
              <w:rPr>
                <w:color w:val="3E3935"/>
              </w:rPr>
              <w:t>30,078</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189,060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774" w:type="dxa"/>
            <w:gridSpan w:val="4"/>
            <w:tcBorders/>
            <w:vAlign w:val="center"/>
          </w:tcPr>
          <w:p>
            <w:pPr>
              <w:pStyle w:val="TableContents"/>
              <w:bidi w:val="0"/>
              <w:spacing w:before="0" w:after="283"/>
              <w:jc w:val="left"/>
              <w:rPr>
                <w:sz w:val="4"/>
                <w:szCs w:val="4"/>
              </w:rPr>
            </w:pPr>
            <w:r>
              <w:rPr>
                <w:sz w:val="4"/>
                <w:szCs w:val="4"/>
              </w:rPr>
            </w:r>
          </w:p>
        </w:tc>
        <w:tc>
          <w:tcPr>
            <w:tcW w:w="1909" w:type="dxa"/>
            <w:gridSpan w:val="4"/>
            <w:tcBorders/>
            <w:vAlign w:val="center"/>
          </w:tcPr>
          <w:p>
            <w:pPr>
              <w:pStyle w:val="TableContents"/>
              <w:bidi w:val="0"/>
              <w:spacing w:before="0" w:after="283"/>
              <w:jc w:val="left"/>
              <w:rPr>
                <w:sz w:val="4"/>
                <w:szCs w:val="4"/>
              </w:rPr>
            </w:pPr>
            <w:r>
              <w:rPr>
                <w:sz w:val="4"/>
                <w:szCs w:val="4"/>
              </w:rPr>
            </w:r>
          </w:p>
        </w:tc>
        <w:tc>
          <w:tcPr>
            <w:tcW w:w="193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A. Tatum</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130,000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color w:val="3E3935"/>
              </w:rPr>
            </w:pPr>
            <w:r>
              <w:rPr>
                <w:color w:val="3E3935"/>
              </w:rPr>
              <w:t> </w:t>
            </w:r>
          </w:p>
        </w:tc>
        <w:tc>
          <w:tcPr>
            <w:tcW w:w="1609" w:type="dxa"/>
            <w:tcBorders/>
            <w:vAlign w:val="center"/>
          </w:tcPr>
          <w:p>
            <w:pPr>
              <w:pStyle w:val="TableContents"/>
              <w:bidi w:val="0"/>
              <w:spacing w:before="0" w:after="283"/>
              <w:jc w:val="right"/>
              <w:rPr>
                <w:color w:val="3E3935"/>
              </w:rPr>
            </w:pPr>
            <w:r>
              <w:rPr>
                <w:color w:val="3E3935"/>
              </w:rPr>
              <w:t>208,228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color w:val="3E3935"/>
              </w:rPr>
            </w:pPr>
            <w:r>
              <w:rPr>
                <w:color w:val="3E3935"/>
              </w:rPr>
              <w:t> </w:t>
            </w:r>
          </w:p>
        </w:tc>
        <w:tc>
          <w:tcPr>
            <w:tcW w:w="1618" w:type="dxa"/>
            <w:tcBorders/>
            <w:vAlign w:val="center"/>
          </w:tcPr>
          <w:p>
            <w:pPr>
              <w:pStyle w:val="TableContents"/>
              <w:bidi w:val="0"/>
              <w:spacing w:before="0" w:after="283"/>
              <w:jc w:val="right"/>
              <w:rPr>
                <w:color w:val="3E3935"/>
              </w:rPr>
            </w:pPr>
            <w:r>
              <w:rPr>
                <w:color w:val="3E3935"/>
              </w:rPr>
              <w:t>38,391</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376,619</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774" w:type="dxa"/>
            <w:gridSpan w:val="4"/>
            <w:tcBorders/>
            <w:shd w:fill="CCF2F8" w:val="clear"/>
            <w:vAlign w:val="center"/>
          </w:tcPr>
          <w:p>
            <w:pPr>
              <w:pStyle w:val="TableContents"/>
              <w:bidi w:val="0"/>
              <w:spacing w:before="0" w:after="283"/>
              <w:jc w:val="left"/>
              <w:rPr>
                <w:sz w:val="4"/>
                <w:szCs w:val="4"/>
              </w:rPr>
            </w:pPr>
            <w:r>
              <w:rPr>
                <w:sz w:val="4"/>
                <w:szCs w:val="4"/>
              </w:rPr>
            </w:r>
          </w:p>
        </w:tc>
        <w:tc>
          <w:tcPr>
            <w:tcW w:w="1909" w:type="dxa"/>
            <w:gridSpan w:val="4"/>
            <w:tcBorders/>
            <w:shd w:fill="CCF2F8" w:val="clear"/>
            <w:vAlign w:val="center"/>
          </w:tcPr>
          <w:p>
            <w:pPr>
              <w:pStyle w:val="TableContents"/>
              <w:bidi w:val="0"/>
              <w:spacing w:before="0" w:after="283"/>
              <w:jc w:val="left"/>
              <w:rPr>
                <w:sz w:val="4"/>
                <w:szCs w:val="4"/>
              </w:rPr>
            </w:pPr>
            <w:r>
              <w:rPr>
                <w:sz w:val="4"/>
                <w:szCs w:val="4"/>
              </w:rPr>
            </w:r>
          </w:p>
        </w:tc>
        <w:tc>
          <w:tcPr>
            <w:tcW w:w="1939" w:type="dxa"/>
            <w:gridSpan w:val="4"/>
            <w:tcBorders/>
            <w:shd w:fill="CCF2F8" w:val="clear"/>
            <w:vAlign w:val="center"/>
          </w:tcPr>
          <w:p>
            <w:pPr>
              <w:pStyle w:val="TableContents"/>
              <w:bidi w:val="0"/>
              <w:spacing w:before="0" w:after="283"/>
              <w:jc w:val="left"/>
              <w:rPr>
                <w:sz w:val="4"/>
                <w:szCs w:val="4"/>
              </w:rPr>
            </w:pPr>
            <w:r>
              <w:rPr>
                <w:sz w:val="4"/>
                <w:szCs w:val="4"/>
              </w:rPr>
            </w:r>
          </w:p>
        </w:tc>
        <w:tc>
          <w:tcPr>
            <w:tcW w:w="105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Jan E. Tighe(5)</w:t>
            </w:r>
          </w:p>
        </w:tc>
        <w:tc>
          <w:tcPr>
            <w:tcW w:w="120" w:type="dxa"/>
            <w:tcBorders/>
            <w:shd w:fill="CCF2F8" w:val="clear"/>
            <w:vAlign w:val="center"/>
          </w:tcPr>
          <w:p>
            <w:pPr>
              <w:pStyle w:val="TableContents"/>
              <w:bidi w:val="0"/>
              <w:spacing w:before="0" w:after="283"/>
              <w:jc w:val="left"/>
              <w:rPr/>
            </w:pPr>
            <w:r>
              <w:rPr/>
              <w:t>  </w:t>
            </w:r>
          </w:p>
        </w:tc>
        <w:tc>
          <w:tcPr>
            <w:tcW w:w="111" w:type="dxa"/>
            <w:tcBorders/>
            <w:shd w:fill="CCF2F8" w:val="clear"/>
            <w:vAlign w:val="center"/>
          </w:tcPr>
          <w:p>
            <w:pPr>
              <w:pStyle w:val="TableContents"/>
              <w:bidi w:val="0"/>
              <w:spacing w:before="0" w:after="283"/>
              <w:jc w:val="left"/>
              <w:rPr>
                <w:color w:val="3E3935"/>
              </w:rPr>
            </w:pPr>
            <w:r>
              <w:rPr>
                <w:color w:val="3E3935"/>
              </w:rPr>
              <w:t> </w:t>
            </w:r>
          </w:p>
        </w:tc>
        <w:tc>
          <w:tcPr>
            <w:tcW w:w="1483" w:type="dxa"/>
            <w:tcBorders/>
            <w:shd w:fill="CCF2F8" w:val="clear"/>
            <w:vAlign w:val="center"/>
          </w:tcPr>
          <w:p>
            <w:pPr>
              <w:pStyle w:val="TableContents"/>
              <w:bidi w:val="0"/>
              <w:spacing w:before="0" w:after="283"/>
              <w:jc w:val="right"/>
              <w:rPr>
                <w:color w:val="3E3935"/>
              </w:rPr>
            </w:pPr>
            <w:r>
              <w:rPr>
                <w:color w:val="3E3935"/>
              </w:rPr>
              <w:t>68,900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0" w:type="dxa"/>
            <w:tcBorders/>
            <w:shd w:fill="CCF2F8" w:val="clear"/>
            <w:vAlign w:val="center"/>
          </w:tcPr>
          <w:p>
            <w:pPr>
              <w:pStyle w:val="TableContents"/>
              <w:bidi w:val="0"/>
              <w:spacing w:before="0" w:after="283"/>
              <w:jc w:val="left"/>
              <w:rPr>
                <w:color w:val="3E3935"/>
              </w:rPr>
            </w:pPr>
            <w:r>
              <w:rPr>
                <w:color w:val="3E3935"/>
              </w:rPr>
              <w:t> </w:t>
            </w:r>
          </w:p>
        </w:tc>
        <w:tc>
          <w:tcPr>
            <w:tcW w:w="1609" w:type="dxa"/>
            <w:tcBorders/>
            <w:shd w:fill="CCF2F8" w:val="clear"/>
            <w:vAlign w:val="center"/>
          </w:tcPr>
          <w:p>
            <w:pPr>
              <w:pStyle w:val="TableContents"/>
              <w:bidi w:val="0"/>
              <w:spacing w:before="0" w:after="283"/>
              <w:jc w:val="right"/>
              <w:rPr>
                <w:color w:val="3E3935"/>
              </w:rPr>
            </w:pPr>
            <w:r>
              <w:rPr>
                <w:color w:val="3E3935"/>
              </w:rPr>
              <w:t>110,382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1" w:type="dxa"/>
            <w:tcBorders/>
            <w:shd w:fill="CCF2F8" w:val="clear"/>
            <w:vAlign w:val="center"/>
          </w:tcPr>
          <w:p>
            <w:pPr>
              <w:pStyle w:val="TableContents"/>
              <w:bidi w:val="0"/>
              <w:spacing w:before="0" w:after="283"/>
              <w:jc w:val="left"/>
              <w:rPr>
                <w:color w:val="3E3935"/>
              </w:rPr>
            </w:pPr>
            <w:r>
              <w:rPr>
                <w:color w:val="3E3935"/>
              </w:rPr>
              <w:t> </w:t>
            </w:r>
          </w:p>
        </w:tc>
        <w:tc>
          <w:tcPr>
            <w:tcW w:w="1618" w:type="dxa"/>
            <w:tcBorders/>
            <w:shd w:fill="CCF2F8" w:val="clear"/>
            <w:vAlign w:val="center"/>
          </w:tcPr>
          <w:p>
            <w:pPr>
              <w:pStyle w:val="TableContents"/>
              <w:bidi w:val="0"/>
              <w:spacing w:before="0" w:after="283"/>
              <w:jc w:val="right"/>
              <w:rPr>
                <w:color w:val="3E3935"/>
              </w:rPr>
            </w:pPr>
            <w:r>
              <w:rPr>
                <w:color w:val="3E3935"/>
              </w:rPr>
              <w:t>15,769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195,051</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774" w:type="dxa"/>
            <w:gridSpan w:val="4"/>
            <w:tcBorders/>
            <w:vAlign w:val="center"/>
          </w:tcPr>
          <w:p>
            <w:pPr>
              <w:pStyle w:val="TableContents"/>
              <w:bidi w:val="0"/>
              <w:spacing w:before="0" w:after="283"/>
              <w:jc w:val="left"/>
              <w:rPr>
                <w:sz w:val="4"/>
                <w:szCs w:val="4"/>
              </w:rPr>
            </w:pPr>
            <w:r>
              <w:rPr>
                <w:sz w:val="4"/>
                <w:szCs w:val="4"/>
              </w:rPr>
            </w:r>
          </w:p>
        </w:tc>
        <w:tc>
          <w:tcPr>
            <w:tcW w:w="1909" w:type="dxa"/>
            <w:gridSpan w:val="4"/>
            <w:tcBorders/>
            <w:vAlign w:val="center"/>
          </w:tcPr>
          <w:p>
            <w:pPr>
              <w:pStyle w:val="TableContents"/>
              <w:bidi w:val="0"/>
              <w:spacing w:before="0" w:after="283"/>
              <w:jc w:val="left"/>
              <w:rPr>
                <w:sz w:val="4"/>
                <w:szCs w:val="4"/>
              </w:rPr>
            </w:pPr>
            <w:r>
              <w:rPr>
                <w:sz w:val="4"/>
                <w:szCs w:val="4"/>
              </w:rPr>
            </w:r>
          </w:p>
        </w:tc>
        <w:tc>
          <w:tcPr>
            <w:tcW w:w="193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71CE"/>
            </w:tcBorders>
            <w:tcMar>
              <w:bottom w:w="4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Devin N. Wenig</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1"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483" w:type="dxa"/>
            <w:tcBorders>
              <w:bottom w:val="single" w:sz="6" w:space="0" w:color="0071CE"/>
            </w:tcBorders>
            <w:tcMar>
              <w:bottom w:w="40" w:type="dxa"/>
            </w:tcMar>
            <w:vAlign w:val="center"/>
          </w:tcPr>
          <w:p>
            <w:pPr>
              <w:pStyle w:val="TableContents"/>
              <w:bidi w:val="0"/>
              <w:spacing w:before="0" w:after="283"/>
              <w:jc w:val="right"/>
              <w:rPr>
                <w:color w:val="3E3935"/>
              </w:rPr>
            </w:pPr>
            <w:r>
              <w:rPr>
                <w:color w:val="3E3935"/>
              </w:rPr>
              <w:t>160,000</w:t>
            </w:r>
          </w:p>
        </w:tc>
        <w:tc>
          <w:tcPr>
            <w:tcW w:w="60"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609" w:type="dxa"/>
            <w:tcBorders>
              <w:bottom w:val="single" w:sz="6" w:space="0" w:color="0071CE"/>
            </w:tcBorders>
            <w:tcMar>
              <w:bottom w:w="40" w:type="dxa"/>
            </w:tcMar>
            <w:vAlign w:val="center"/>
          </w:tcPr>
          <w:p>
            <w:pPr>
              <w:pStyle w:val="TableContents"/>
              <w:bidi w:val="0"/>
              <w:spacing w:before="0" w:after="283"/>
              <w:jc w:val="right"/>
              <w:rPr>
                <w:color w:val="3E3935"/>
              </w:rPr>
            </w:pPr>
            <w:r>
              <w:rPr>
                <w:color w:val="3E3935"/>
              </w:rPr>
              <w:t>208,228</w:t>
            </w:r>
          </w:p>
        </w:tc>
        <w:tc>
          <w:tcPr>
            <w:tcW w:w="60"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41"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618" w:type="dxa"/>
            <w:tcBorders>
              <w:bottom w:val="single" w:sz="6" w:space="0" w:color="0071CE"/>
            </w:tcBorders>
            <w:tcMar>
              <w:bottom w:w="40" w:type="dxa"/>
            </w:tcMar>
            <w:vAlign w:val="center"/>
          </w:tcPr>
          <w:p>
            <w:pPr>
              <w:pStyle w:val="TableContents"/>
              <w:bidi w:val="0"/>
              <w:spacing w:before="0" w:after="283"/>
              <w:jc w:val="right"/>
              <w:rPr>
                <w:color w:val="3E3935"/>
              </w:rPr>
            </w:pPr>
            <w:r>
              <w:rPr>
                <w:color w:val="3E3935"/>
              </w:rPr>
              <w:t>32,428</w:t>
            </w:r>
          </w:p>
        </w:tc>
        <w:tc>
          <w:tcPr>
            <w:tcW w:w="60"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800" w:type="dxa"/>
            <w:tcBorders>
              <w:bottom w:val="single" w:sz="6" w:space="0" w:color="0071CE"/>
            </w:tcBorders>
            <w:tcMar>
              <w:bottom w:w="40" w:type="dxa"/>
            </w:tcMar>
            <w:vAlign w:val="center"/>
          </w:tcPr>
          <w:p>
            <w:pPr>
              <w:pStyle w:val="TableContents"/>
              <w:bidi w:val="0"/>
              <w:spacing w:before="0" w:after="283"/>
              <w:jc w:val="right"/>
              <w:rPr>
                <w:color w:val="3E3935"/>
              </w:rPr>
            </w:pPr>
            <w:r>
              <w:rPr>
                <w:color w:val="3E3935"/>
              </w:rPr>
              <w:t>400,656</w:t>
            </w:r>
          </w:p>
        </w:tc>
        <w:tc>
          <w:tcPr>
            <w:tcW w:w="75"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3E3935"/>
              </w:rPr>
            </w:pPr>
            <w:r>
              <w:rPr>
                <w:color w:val="3E3935"/>
              </w:rPr>
              <w:t>(1)</w:t>
            </w:r>
          </w:p>
        </w:tc>
        <w:tc>
          <w:tcPr>
            <w:tcW w:w="996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As described above, a director may elect to defer all or a portion of their annual cash retainer into DSUs. This column reflects director compensation eligible to be paid in cash, which consists of 60 percent (for 2023) of the annual Board retainer and any applicable fees for committee chairs, the Independent Lead Director, and in the case of Mr. Bush, Mr. McNeil, and Mr. Wenig, for service on the GM Cruise Holdings LLC board of directors. Each of the following directors elected to receive DSUs in lieu of such amounts eligible to be paid in cash in the following amounts: Mr. Bhusri — $130,000; Mr. Bush — $185,000; Ms. Crevoiserat — $130,000; Mr. Jimenez — $155,000; Mr. McNeill — $145,900; Ms. Russo — $255,000; Ms. Tighe — $68,900; and Mr. Wenig — $160,000.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olor w:val="3E3935"/>
              </w:rPr>
            </w:pPr>
            <w:r>
              <w:rPr>
                <w:color w:val="3E3935"/>
              </w:rPr>
              <w:t>(2)</w:t>
            </w:r>
          </w:p>
        </w:tc>
        <w:tc>
          <w:tcPr>
            <w:tcW w:w="9956"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Reflects aggregate grant date fair value of DSUs granted in 2023, which does not include any cash fees that directors voluntarily elected to receive as DSUs. Grant date fair value is calculated by multiplying the number of DSUs granted by the closing price of GM common stock on December 29, 2023, which was $35.92. The holders of DSUs may also receive dividend equivalents, which are reinvested in additional DSUs based on the market price of the common stock on the date the dividends are paid. </w:t>
            </w:r>
          </w:p>
        </w:tc>
      </w:tr>
    </w:tbl>
    <w:tbl>
      <w:tblPr>
        <w:tblW w:w="6910" w:type="dxa"/>
        <w:jc w:val="left"/>
        <w:tblInd w:w="0" w:type="dxa"/>
        <w:tblLayout w:type="fixed"/>
        <w:tblCellMar>
          <w:top w:w="0" w:type="dxa"/>
          <w:left w:w="0" w:type="dxa"/>
          <w:bottom w:w="0" w:type="dxa"/>
          <w:right w:w="0" w:type="dxa"/>
        </w:tblCellMar>
      </w:tblPr>
      <w:tblGrid>
        <w:gridCol w:w="305"/>
        <w:gridCol w:w="6605"/>
      </w:tblGrid>
      <w:tr>
        <w:trPr/>
        <w:tc>
          <w:tcPr>
            <w:tcW w:w="305" w:type="dxa"/>
            <w:tcBorders/>
            <w:vAlign w:val="center"/>
          </w:tcPr>
          <w:p>
            <w:pPr>
              <w:pStyle w:val="TableContents"/>
              <w:bidi w:val="0"/>
              <w:spacing w:before="0" w:after="283"/>
              <w:jc w:val="left"/>
              <w:rPr>
                <w:color w:val="3E3935"/>
              </w:rPr>
            </w:pPr>
            <w:r>
              <w:rPr>
                <w:color w:val="3E3935"/>
              </w:rPr>
              <w:t>(3)</w:t>
            </w:r>
          </w:p>
        </w:tc>
        <w:tc>
          <w:tcPr>
            <w:tcW w:w="6605" w:type="dxa"/>
            <w:tcBorders/>
            <w:vAlign w:val="center"/>
          </w:tcPr>
          <w:p>
            <w:pPr>
              <w:pStyle w:val="TableContents"/>
              <w:bidi w:val="0"/>
              <w:spacing w:before="0" w:after="0"/>
              <w:jc w:val="left"/>
              <w:rPr>
                <w:rFonts w:ascii="arial" w:hAnsi="arial"/>
                <w:color w:val="3E3935"/>
                <w:sz w:val="15"/>
              </w:rPr>
            </w:pPr>
            <w:r>
              <w:rPr>
                <w:rFonts w:ascii="arial" w:hAnsi="arial"/>
                <w:color w:val="3E3935"/>
                <w:sz w:val="15"/>
              </w:rPr>
              <w:t xml:space="preserve">The amounts included in the All Other Compensation column are described in the table below. </w:t>
            </w:r>
          </w:p>
        </w:tc>
      </w:tr>
    </w:tbl>
    <w:p>
      <w:pPr>
        <w:pStyle w:val="TextBody"/>
        <w:bidi w:val="0"/>
        <w:spacing w:before="0" w:after="0"/>
        <w:jc w:val="left"/>
        <w:rPr/>
      </w:pPr>
      <w:r>
        <w:rPr/>
        <w:t> </w:t>
      </w:r>
    </w:p>
    <w:tbl>
      <w:tblPr>
        <w:tblW w:w="5298" w:type="dxa"/>
        <w:jc w:val="left"/>
        <w:tblInd w:w="0" w:type="dxa"/>
        <w:tblLayout w:type="fixed"/>
        <w:tblCellMar>
          <w:top w:w="0" w:type="dxa"/>
          <w:left w:w="0" w:type="dxa"/>
          <w:bottom w:w="0" w:type="dxa"/>
          <w:right w:w="0" w:type="dxa"/>
        </w:tblCellMar>
      </w:tblPr>
      <w:tblGrid>
        <w:gridCol w:w="1895"/>
        <w:gridCol w:w="120"/>
        <w:gridCol w:w="97"/>
        <w:gridCol w:w="1107"/>
        <w:gridCol w:w="60"/>
        <w:gridCol w:w="120"/>
        <w:gridCol w:w="122"/>
        <w:gridCol w:w="782"/>
        <w:gridCol w:w="60"/>
        <w:gridCol w:w="120"/>
        <w:gridCol w:w="60"/>
        <w:gridCol w:w="680"/>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Director</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4"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Company</w:t>
              <w:br/>
              <w:t>Vehicle</w:t>
              <w:br/>
              <w:t>Program(a)</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04"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Other(b)</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Total</w:t>
              <w:br/>
              <w: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384"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Aneel Bhusri</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17,167</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3E3935"/>
              </w:rPr>
            </w:pPr>
            <w:r>
              <w:rPr>
                <w:color w:val="3E3935"/>
              </w:rPr>
              <w:t> </w:t>
            </w:r>
          </w:p>
        </w:tc>
        <w:tc>
          <w:tcPr>
            <w:tcW w:w="782" w:type="dxa"/>
            <w:tcBorders/>
            <w:vAlign w:val="center"/>
          </w:tcPr>
          <w:p>
            <w:pPr>
              <w:pStyle w:val="TableContents"/>
              <w:bidi w:val="0"/>
              <w:spacing w:before="0" w:after="283"/>
              <w:jc w:val="right"/>
              <w:rPr>
                <w:color w:val="3E3935"/>
              </w:rPr>
            </w:pPr>
            <w:r>
              <w:rPr>
                <w:color w:val="3E3935"/>
              </w:rPr>
              <w:t>240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680" w:type="dxa"/>
            <w:tcBorders/>
            <w:vAlign w:val="center"/>
          </w:tcPr>
          <w:p>
            <w:pPr>
              <w:pStyle w:val="TableContents"/>
              <w:bidi w:val="0"/>
              <w:spacing w:before="0" w:after="283"/>
              <w:jc w:val="right"/>
              <w:rPr>
                <w:color w:val="3E3935"/>
              </w:rPr>
            </w:pPr>
            <w:r>
              <w:rPr>
                <w:color w:val="3E3935"/>
              </w:rPr>
              <w:t>17,407</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384" w:type="dxa"/>
            <w:gridSpan w:val="4"/>
            <w:tcBorders/>
            <w:shd w:fill="CCF2F8" w:val="clear"/>
            <w:vAlign w:val="center"/>
          </w:tcPr>
          <w:p>
            <w:pPr>
              <w:pStyle w:val="TableContents"/>
              <w:bidi w:val="0"/>
              <w:spacing w:before="0" w:after="283"/>
              <w:jc w:val="left"/>
              <w:rPr>
                <w:sz w:val="4"/>
                <w:szCs w:val="4"/>
              </w:rPr>
            </w:pPr>
            <w:r>
              <w:rPr>
                <w:sz w:val="4"/>
                <w:szCs w:val="4"/>
              </w:rPr>
            </w:r>
          </w:p>
        </w:tc>
        <w:tc>
          <w:tcPr>
            <w:tcW w:w="1084" w:type="dxa"/>
            <w:gridSpan w:val="4"/>
            <w:tcBorders/>
            <w:shd w:fill="CCF2F8" w:val="clear"/>
            <w:vAlign w:val="center"/>
          </w:tcPr>
          <w:p>
            <w:pPr>
              <w:pStyle w:val="TableContents"/>
              <w:bidi w:val="0"/>
              <w:spacing w:before="0" w:after="283"/>
              <w:jc w:val="left"/>
              <w:rPr>
                <w:sz w:val="4"/>
                <w:szCs w:val="4"/>
              </w:rPr>
            </w:pPr>
            <w:r>
              <w:rPr>
                <w:sz w:val="4"/>
                <w:szCs w:val="4"/>
              </w:rPr>
            </w:r>
          </w:p>
        </w:tc>
        <w:tc>
          <w:tcPr>
            <w:tcW w:w="93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Wesley G. Bush</w:t>
            </w:r>
          </w:p>
        </w:tc>
        <w:tc>
          <w:tcPr>
            <w:tcW w:w="120"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27,104</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2" w:type="dxa"/>
            <w:tcBorders/>
            <w:shd w:fill="CCF2F8" w:val="clear"/>
            <w:vAlign w:val="center"/>
          </w:tcPr>
          <w:p>
            <w:pPr>
              <w:pStyle w:val="TableContents"/>
              <w:bidi w:val="0"/>
              <w:spacing w:before="0" w:after="283"/>
              <w:jc w:val="left"/>
              <w:rPr>
                <w:color w:val="3E3935"/>
              </w:rPr>
            </w:pPr>
            <w:r>
              <w:rPr>
                <w:color w:val="3E3935"/>
              </w:rPr>
              <w:t> </w:t>
            </w:r>
          </w:p>
        </w:tc>
        <w:tc>
          <w:tcPr>
            <w:tcW w:w="782" w:type="dxa"/>
            <w:tcBorders/>
            <w:shd w:fill="CCF2F8" w:val="clear"/>
            <w:vAlign w:val="center"/>
          </w:tcPr>
          <w:p>
            <w:pPr>
              <w:pStyle w:val="TableContents"/>
              <w:bidi w:val="0"/>
              <w:spacing w:before="0" w:after="283"/>
              <w:jc w:val="right"/>
              <w:rPr>
                <w:color w:val="3E3935"/>
              </w:rPr>
            </w:pPr>
            <w:r>
              <w:rPr>
                <w:color w:val="3E3935"/>
              </w:rPr>
              <w:t>240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80" w:type="dxa"/>
            <w:tcBorders/>
            <w:shd w:fill="CCF2F8" w:val="clear"/>
            <w:vAlign w:val="center"/>
          </w:tcPr>
          <w:p>
            <w:pPr>
              <w:pStyle w:val="TableContents"/>
              <w:bidi w:val="0"/>
              <w:spacing w:before="0" w:after="283"/>
              <w:jc w:val="right"/>
              <w:rPr>
                <w:color w:val="3E3935"/>
              </w:rPr>
            </w:pPr>
            <w:r>
              <w:rPr>
                <w:color w:val="3E3935"/>
              </w:rPr>
              <w:t>27,344</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384"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Joanne C. Crevoiserat</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25,750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3E3935"/>
              </w:rPr>
            </w:pPr>
            <w:r>
              <w:rPr>
                <w:color w:val="3E3935"/>
              </w:rPr>
              <w:t> </w:t>
            </w:r>
          </w:p>
        </w:tc>
        <w:tc>
          <w:tcPr>
            <w:tcW w:w="782" w:type="dxa"/>
            <w:tcBorders/>
            <w:vAlign w:val="center"/>
          </w:tcPr>
          <w:p>
            <w:pPr>
              <w:pStyle w:val="TableContents"/>
              <w:bidi w:val="0"/>
              <w:spacing w:before="0" w:after="283"/>
              <w:jc w:val="right"/>
              <w:rPr>
                <w:color w:val="3E3935"/>
              </w:rPr>
            </w:pPr>
            <w:r>
              <w:rPr>
                <w:color w:val="3E3935"/>
              </w:rPr>
              <w:t>240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680" w:type="dxa"/>
            <w:tcBorders/>
            <w:vAlign w:val="center"/>
          </w:tcPr>
          <w:p>
            <w:pPr>
              <w:pStyle w:val="TableContents"/>
              <w:bidi w:val="0"/>
              <w:spacing w:before="0" w:after="283"/>
              <w:jc w:val="right"/>
              <w:rPr>
                <w:color w:val="3E3935"/>
              </w:rPr>
            </w:pPr>
            <w:r>
              <w:rPr>
                <w:color w:val="3E3935"/>
              </w:rPr>
              <w:t>25,990</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384" w:type="dxa"/>
            <w:gridSpan w:val="4"/>
            <w:tcBorders/>
            <w:shd w:fill="CCF2F8" w:val="clear"/>
            <w:vAlign w:val="center"/>
          </w:tcPr>
          <w:p>
            <w:pPr>
              <w:pStyle w:val="TableContents"/>
              <w:bidi w:val="0"/>
              <w:spacing w:before="0" w:after="283"/>
              <w:jc w:val="left"/>
              <w:rPr>
                <w:sz w:val="4"/>
                <w:szCs w:val="4"/>
              </w:rPr>
            </w:pPr>
            <w:r>
              <w:rPr>
                <w:sz w:val="4"/>
                <w:szCs w:val="4"/>
              </w:rPr>
            </w:r>
          </w:p>
        </w:tc>
        <w:tc>
          <w:tcPr>
            <w:tcW w:w="1084" w:type="dxa"/>
            <w:gridSpan w:val="4"/>
            <w:tcBorders/>
            <w:shd w:fill="CCF2F8" w:val="clear"/>
            <w:vAlign w:val="center"/>
          </w:tcPr>
          <w:p>
            <w:pPr>
              <w:pStyle w:val="TableContents"/>
              <w:bidi w:val="0"/>
              <w:spacing w:before="0" w:after="283"/>
              <w:jc w:val="left"/>
              <w:rPr>
                <w:sz w:val="4"/>
                <w:szCs w:val="4"/>
              </w:rPr>
            </w:pPr>
            <w:r>
              <w:rPr>
                <w:sz w:val="4"/>
                <w:szCs w:val="4"/>
              </w:rPr>
            </w:r>
          </w:p>
        </w:tc>
        <w:tc>
          <w:tcPr>
            <w:tcW w:w="93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Linda R. Gooden</w:t>
            </w:r>
          </w:p>
        </w:tc>
        <w:tc>
          <w:tcPr>
            <w:tcW w:w="120"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15,250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2" w:type="dxa"/>
            <w:tcBorders/>
            <w:shd w:fill="CCF2F8" w:val="clear"/>
            <w:vAlign w:val="center"/>
          </w:tcPr>
          <w:p>
            <w:pPr>
              <w:pStyle w:val="TableContents"/>
              <w:bidi w:val="0"/>
              <w:spacing w:before="0" w:after="283"/>
              <w:jc w:val="left"/>
              <w:rPr>
                <w:color w:val="3E3935"/>
              </w:rPr>
            </w:pPr>
            <w:r>
              <w:rPr>
                <w:color w:val="3E3935"/>
              </w:rPr>
              <w:t> </w:t>
            </w:r>
          </w:p>
        </w:tc>
        <w:tc>
          <w:tcPr>
            <w:tcW w:w="782" w:type="dxa"/>
            <w:tcBorders/>
            <w:shd w:fill="CCF2F8" w:val="clear"/>
            <w:vAlign w:val="center"/>
          </w:tcPr>
          <w:p>
            <w:pPr>
              <w:pStyle w:val="TableContents"/>
              <w:bidi w:val="0"/>
              <w:spacing w:before="0" w:after="283"/>
              <w:jc w:val="right"/>
              <w:rPr>
                <w:color w:val="3E3935"/>
              </w:rPr>
            </w:pPr>
            <w:r>
              <w:rPr>
                <w:color w:val="3E3935"/>
              </w:rPr>
              <w:t>240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80" w:type="dxa"/>
            <w:tcBorders/>
            <w:shd w:fill="CCF2F8" w:val="clear"/>
            <w:vAlign w:val="center"/>
          </w:tcPr>
          <w:p>
            <w:pPr>
              <w:pStyle w:val="TableContents"/>
              <w:bidi w:val="0"/>
              <w:spacing w:before="0" w:after="283"/>
              <w:jc w:val="right"/>
              <w:rPr>
                <w:color w:val="3E3935"/>
              </w:rPr>
            </w:pPr>
            <w:r>
              <w:rPr>
                <w:color w:val="3E3935"/>
              </w:rPr>
              <w:t>15,490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384"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Joseph Jimenez</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45,811</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3E3935"/>
              </w:rPr>
            </w:pPr>
            <w:r>
              <w:rPr>
                <w:color w:val="3E3935"/>
              </w:rPr>
              <w:t> </w:t>
            </w:r>
          </w:p>
        </w:tc>
        <w:tc>
          <w:tcPr>
            <w:tcW w:w="782" w:type="dxa"/>
            <w:tcBorders/>
            <w:vAlign w:val="center"/>
          </w:tcPr>
          <w:p>
            <w:pPr>
              <w:pStyle w:val="TableContents"/>
              <w:bidi w:val="0"/>
              <w:spacing w:before="0" w:after="283"/>
              <w:jc w:val="right"/>
              <w:rPr>
                <w:color w:val="3E3935"/>
              </w:rPr>
            </w:pPr>
            <w:r>
              <w:rPr>
                <w:color w:val="3E3935"/>
              </w:rPr>
              <w:t>240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680" w:type="dxa"/>
            <w:tcBorders/>
            <w:vAlign w:val="center"/>
          </w:tcPr>
          <w:p>
            <w:pPr>
              <w:pStyle w:val="TableContents"/>
              <w:bidi w:val="0"/>
              <w:spacing w:before="0" w:after="283"/>
              <w:jc w:val="right"/>
              <w:rPr>
                <w:color w:val="3E3935"/>
              </w:rPr>
            </w:pPr>
            <w:r>
              <w:rPr>
                <w:color w:val="3E3935"/>
              </w:rPr>
              <w:t>46,051</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384" w:type="dxa"/>
            <w:gridSpan w:val="4"/>
            <w:tcBorders/>
            <w:shd w:fill="CCF2F8" w:val="clear"/>
            <w:vAlign w:val="center"/>
          </w:tcPr>
          <w:p>
            <w:pPr>
              <w:pStyle w:val="TableContents"/>
              <w:bidi w:val="0"/>
              <w:spacing w:before="0" w:after="283"/>
              <w:jc w:val="left"/>
              <w:rPr>
                <w:sz w:val="4"/>
                <w:szCs w:val="4"/>
              </w:rPr>
            </w:pPr>
            <w:r>
              <w:rPr>
                <w:sz w:val="4"/>
                <w:szCs w:val="4"/>
              </w:rPr>
            </w:r>
          </w:p>
        </w:tc>
        <w:tc>
          <w:tcPr>
            <w:tcW w:w="1084" w:type="dxa"/>
            <w:gridSpan w:val="4"/>
            <w:tcBorders/>
            <w:shd w:fill="CCF2F8" w:val="clear"/>
            <w:vAlign w:val="center"/>
          </w:tcPr>
          <w:p>
            <w:pPr>
              <w:pStyle w:val="TableContents"/>
              <w:bidi w:val="0"/>
              <w:spacing w:before="0" w:after="283"/>
              <w:jc w:val="left"/>
              <w:rPr>
                <w:sz w:val="4"/>
                <w:szCs w:val="4"/>
              </w:rPr>
            </w:pPr>
            <w:r>
              <w:rPr>
                <w:sz w:val="4"/>
                <w:szCs w:val="4"/>
              </w:rPr>
            </w:r>
          </w:p>
        </w:tc>
        <w:tc>
          <w:tcPr>
            <w:tcW w:w="93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Jonathan McNeill</w:t>
            </w:r>
          </w:p>
        </w:tc>
        <w:tc>
          <w:tcPr>
            <w:tcW w:w="120"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12,979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2" w:type="dxa"/>
            <w:tcBorders/>
            <w:shd w:fill="CCF2F8" w:val="clear"/>
            <w:vAlign w:val="center"/>
          </w:tcPr>
          <w:p>
            <w:pPr>
              <w:pStyle w:val="TableContents"/>
              <w:bidi w:val="0"/>
              <w:spacing w:before="0" w:after="283"/>
              <w:jc w:val="left"/>
              <w:rPr>
                <w:color w:val="3E3935"/>
              </w:rPr>
            </w:pPr>
            <w:r>
              <w:rPr>
                <w:color w:val="3E3935"/>
              </w:rPr>
              <w:t> </w:t>
            </w:r>
          </w:p>
        </w:tc>
        <w:tc>
          <w:tcPr>
            <w:tcW w:w="782" w:type="dxa"/>
            <w:tcBorders/>
            <w:shd w:fill="CCF2F8" w:val="clear"/>
            <w:vAlign w:val="center"/>
          </w:tcPr>
          <w:p>
            <w:pPr>
              <w:pStyle w:val="TableContents"/>
              <w:bidi w:val="0"/>
              <w:spacing w:before="0" w:after="283"/>
              <w:jc w:val="right"/>
              <w:rPr>
                <w:color w:val="3E3935"/>
              </w:rPr>
            </w:pPr>
            <w:r>
              <w:rPr>
                <w:color w:val="3E3935"/>
              </w:rPr>
              <w:t>240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80" w:type="dxa"/>
            <w:tcBorders/>
            <w:shd w:fill="CCF2F8" w:val="clear"/>
            <w:vAlign w:val="center"/>
          </w:tcPr>
          <w:p>
            <w:pPr>
              <w:pStyle w:val="TableContents"/>
              <w:bidi w:val="0"/>
              <w:spacing w:before="0" w:after="283"/>
              <w:jc w:val="right"/>
              <w:rPr>
                <w:color w:val="3E3935"/>
              </w:rPr>
            </w:pPr>
            <w:r>
              <w:rPr>
                <w:color w:val="3E3935"/>
              </w:rPr>
              <w:t>13,219</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384"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Judith A. Miscik</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14,458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3E3935"/>
              </w:rPr>
            </w:pPr>
            <w:r>
              <w:rPr>
                <w:color w:val="3E3935"/>
              </w:rPr>
              <w:t> </w:t>
            </w:r>
          </w:p>
        </w:tc>
        <w:tc>
          <w:tcPr>
            <w:tcW w:w="782" w:type="dxa"/>
            <w:tcBorders/>
            <w:vAlign w:val="center"/>
          </w:tcPr>
          <w:p>
            <w:pPr>
              <w:pStyle w:val="TableContents"/>
              <w:bidi w:val="0"/>
              <w:spacing w:before="0" w:after="283"/>
              <w:jc w:val="right"/>
              <w:rPr>
                <w:color w:val="3E3935"/>
              </w:rPr>
            </w:pPr>
            <w:r>
              <w:rPr>
                <w:color w:val="3E3935"/>
              </w:rPr>
              <w:t>240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680" w:type="dxa"/>
            <w:tcBorders/>
            <w:vAlign w:val="center"/>
          </w:tcPr>
          <w:p>
            <w:pPr>
              <w:pStyle w:val="TableContents"/>
              <w:bidi w:val="0"/>
              <w:spacing w:before="0" w:after="283"/>
              <w:jc w:val="right"/>
              <w:rPr>
                <w:color w:val="3E3935"/>
              </w:rPr>
            </w:pPr>
            <w:r>
              <w:rPr>
                <w:color w:val="3E3935"/>
              </w:rPr>
              <w:t>14,698</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384" w:type="dxa"/>
            <w:gridSpan w:val="4"/>
            <w:tcBorders/>
            <w:shd w:fill="CCF2F8" w:val="clear"/>
            <w:vAlign w:val="center"/>
          </w:tcPr>
          <w:p>
            <w:pPr>
              <w:pStyle w:val="TableContents"/>
              <w:bidi w:val="0"/>
              <w:spacing w:before="0" w:after="283"/>
              <w:jc w:val="left"/>
              <w:rPr>
                <w:sz w:val="4"/>
                <w:szCs w:val="4"/>
              </w:rPr>
            </w:pPr>
            <w:r>
              <w:rPr>
                <w:sz w:val="4"/>
                <w:szCs w:val="4"/>
              </w:rPr>
            </w:r>
          </w:p>
        </w:tc>
        <w:tc>
          <w:tcPr>
            <w:tcW w:w="1084" w:type="dxa"/>
            <w:gridSpan w:val="4"/>
            <w:tcBorders/>
            <w:shd w:fill="CCF2F8" w:val="clear"/>
            <w:vAlign w:val="center"/>
          </w:tcPr>
          <w:p>
            <w:pPr>
              <w:pStyle w:val="TableContents"/>
              <w:bidi w:val="0"/>
              <w:spacing w:before="0" w:after="283"/>
              <w:jc w:val="left"/>
              <w:rPr>
                <w:sz w:val="4"/>
                <w:szCs w:val="4"/>
              </w:rPr>
            </w:pPr>
            <w:r>
              <w:rPr>
                <w:sz w:val="4"/>
                <w:szCs w:val="4"/>
              </w:rPr>
            </w:r>
          </w:p>
        </w:tc>
        <w:tc>
          <w:tcPr>
            <w:tcW w:w="93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Patricia F. Russo</w:t>
            </w:r>
          </w:p>
        </w:tc>
        <w:tc>
          <w:tcPr>
            <w:tcW w:w="120"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8,729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2" w:type="dxa"/>
            <w:tcBorders/>
            <w:shd w:fill="CCF2F8" w:val="clear"/>
            <w:vAlign w:val="center"/>
          </w:tcPr>
          <w:p>
            <w:pPr>
              <w:pStyle w:val="TableContents"/>
              <w:bidi w:val="0"/>
              <w:spacing w:before="0" w:after="283"/>
              <w:jc w:val="left"/>
              <w:rPr>
                <w:color w:val="3E3935"/>
              </w:rPr>
            </w:pPr>
            <w:r>
              <w:rPr>
                <w:color w:val="3E3935"/>
              </w:rPr>
              <w:t> </w:t>
            </w:r>
          </w:p>
        </w:tc>
        <w:tc>
          <w:tcPr>
            <w:tcW w:w="782" w:type="dxa"/>
            <w:tcBorders/>
            <w:shd w:fill="CCF2F8" w:val="clear"/>
            <w:vAlign w:val="center"/>
          </w:tcPr>
          <w:p>
            <w:pPr>
              <w:pStyle w:val="TableContents"/>
              <w:bidi w:val="0"/>
              <w:spacing w:before="0" w:after="283"/>
              <w:jc w:val="right"/>
              <w:rPr>
                <w:color w:val="3E3935"/>
              </w:rPr>
            </w:pPr>
            <w:r>
              <w:rPr>
                <w:color w:val="3E3935"/>
              </w:rPr>
              <w:t>240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80" w:type="dxa"/>
            <w:tcBorders/>
            <w:shd w:fill="CCF2F8" w:val="clear"/>
            <w:vAlign w:val="center"/>
          </w:tcPr>
          <w:p>
            <w:pPr>
              <w:pStyle w:val="TableContents"/>
              <w:bidi w:val="0"/>
              <w:spacing w:before="0" w:after="283"/>
              <w:jc w:val="right"/>
              <w:rPr>
                <w:color w:val="3E3935"/>
              </w:rPr>
            </w:pPr>
            <w:r>
              <w:rPr>
                <w:color w:val="3E3935"/>
              </w:rPr>
              <w:t>8,969</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384"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Thomas M. Schoewe</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42,667</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3E3935"/>
              </w:rPr>
            </w:pPr>
            <w:r>
              <w:rPr>
                <w:color w:val="3E3935"/>
              </w:rPr>
              <w:t> </w:t>
            </w:r>
          </w:p>
        </w:tc>
        <w:tc>
          <w:tcPr>
            <w:tcW w:w="782" w:type="dxa"/>
            <w:tcBorders/>
            <w:vAlign w:val="center"/>
          </w:tcPr>
          <w:p>
            <w:pPr>
              <w:pStyle w:val="TableContents"/>
              <w:bidi w:val="0"/>
              <w:spacing w:before="0" w:after="283"/>
              <w:jc w:val="right"/>
              <w:rPr>
                <w:color w:val="3E3935"/>
              </w:rPr>
            </w:pPr>
            <w:r>
              <w:rPr>
                <w:color w:val="3E3935"/>
              </w:rPr>
              <w:t>240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680" w:type="dxa"/>
            <w:tcBorders/>
            <w:vAlign w:val="center"/>
          </w:tcPr>
          <w:p>
            <w:pPr>
              <w:pStyle w:val="TableContents"/>
              <w:bidi w:val="0"/>
              <w:spacing w:before="0" w:after="283"/>
              <w:jc w:val="right"/>
              <w:rPr>
                <w:color w:val="3E3935"/>
              </w:rPr>
            </w:pPr>
            <w:r>
              <w:rPr>
                <w:color w:val="3E3935"/>
              </w:rPr>
              <w:t>42,907</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384" w:type="dxa"/>
            <w:gridSpan w:val="4"/>
            <w:tcBorders/>
            <w:shd w:fill="CCF2F8" w:val="clear"/>
            <w:vAlign w:val="center"/>
          </w:tcPr>
          <w:p>
            <w:pPr>
              <w:pStyle w:val="TableContents"/>
              <w:bidi w:val="0"/>
              <w:spacing w:before="0" w:after="283"/>
              <w:jc w:val="left"/>
              <w:rPr>
                <w:sz w:val="4"/>
                <w:szCs w:val="4"/>
              </w:rPr>
            </w:pPr>
            <w:r>
              <w:rPr>
                <w:sz w:val="4"/>
                <w:szCs w:val="4"/>
              </w:rPr>
            </w:r>
          </w:p>
        </w:tc>
        <w:tc>
          <w:tcPr>
            <w:tcW w:w="1084" w:type="dxa"/>
            <w:gridSpan w:val="4"/>
            <w:tcBorders/>
            <w:shd w:fill="CCF2F8" w:val="clear"/>
            <w:vAlign w:val="center"/>
          </w:tcPr>
          <w:p>
            <w:pPr>
              <w:pStyle w:val="TableContents"/>
              <w:bidi w:val="0"/>
              <w:spacing w:before="0" w:after="283"/>
              <w:jc w:val="left"/>
              <w:rPr>
                <w:sz w:val="4"/>
                <w:szCs w:val="4"/>
              </w:rPr>
            </w:pPr>
            <w:r>
              <w:rPr>
                <w:sz w:val="4"/>
                <w:szCs w:val="4"/>
              </w:rPr>
            </w:r>
          </w:p>
        </w:tc>
        <w:tc>
          <w:tcPr>
            <w:tcW w:w="93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Carol M. Stephenson(4)</w:t>
            </w:r>
          </w:p>
        </w:tc>
        <w:tc>
          <w:tcPr>
            <w:tcW w:w="120"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29,958</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2" w:type="dxa"/>
            <w:tcBorders/>
            <w:shd w:fill="CCF2F8" w:val="clear"/>
            <w:vAlign w:val="center"/>
          </w:tcPr>
          <w:p>
            <w:pPr>
              <w:pStyle w:val="TableContents"/>
              <w:bidi w:val="0"/>
              <w:spacing w:before="0" w:after="283"/>
              <w:jc w:val="left"/>
              <w:rPr>
                <w:color w:val="3E3935"/>
              </w:rPr>
            </w:pPr>
            <w:r>
              <w:rPr>
                <w:color w:val="3E3935"/>
              </w:rPr>
              <w:t> </w:t>
            </w:r>
          </w:p>
        </w:tc>
        <w:tc>
          <w:tcPr>
            <w:tcW w:w="782" w:type="dxa"/>
            <w:tcBorders/>
            <w:shd w:fill="CCF2F8" w:val="clear"/>
            <w:vAlign w:val="center"/>
          </w:tcPr>
          <w:p>
            <w:pPr>
              <w:pStyle w:val="TableContents"/>
              <w:bidi w:val="0"/>
              <w:spacing w:before="0" w:after="283"/>
              <w:jc w:val="right"/>
              <w:rPr>
                <w:color w:val="3E3935"/>
              </w:rPr>
            </w:pPr>
            <w:r>
              <w:rPr>
                <w:color w:val="3E3935"/>
              </w:rPr>
              <w:t>120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80" w:type="dxa"/>
            <w:tcBorders/>
            <w:shd w:fill="CCF2F8" w:val="clear"/>
            <w:vAlign w:val="center"/>
          </w:tcPr>
          <w:p>
            <w:pPr>
              <w:pStyle w:val="TableContents"/>
              <w:bidi w:val="0"/>
              <w:spacing w:before="0" w:after="283"/>
              <w:jc w:val="right"/>
              <w:rPr>
                <w:color w:val="3E3935"/>
              </w:rPr>
            </w:pPr>
            <w:r>
              <w:rPr>
                <w:color w:val="3E3935"/>
              </w:rPr>
              <w:t>30,078</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384"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A. Tatum</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38,151</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3E3935"/>
              </w:rPr>
            </w:pPr>
            <w:r>
              <w:rPr>
                <w:color w:val="3E3935"/>
              </w:rPr>
              <w:t> </w:t>
            </w:r>
          </w:p>
        </w:tc>
        <w:tc>
          <w:tcPr>
            <w:tcW w:w="782" w:type="dxa"/>
            <w:tcBorders/>
            <w:vAlign w:val="center"/>
          </w:tcPr>
          <w:p>
            <w:pPr>
              <w:pStyle w:val="TableContents"/>
              <w:bidi w:val="0"/>
              <w:spacing w:before="0" w:after="283"/>
              <w:jc w:val="right"/>
              <w:rPr>
                <w:color w:val="3E3935"/>
              </w:rPr>
            </w:pPr>
            <w:r>
              <w:rPr>
                <w:color w:val="3E3935"/>
              </w:rPr>
              <w:t>240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680" w:type="dxa"/>
            <w:tcBorders/>
            <w:vAlign w:val="center"/>
          </w:tcPr>
          <w:p>
            <w:pPr>
              <w:pStyle w:val="TableContents"/>
              <w:bidi w:val="0"/>
              <w:spacing w:before="0" w:after="283"/>
              <w:jc w:val="right"/>
              <w:rPr>
                <w:color w:val="3E3935"/>
              </w:rPr>
            </w:pPr>
            <w:r>
              <w:rPr>
                <w:color w:val="3E3935"/>
              </w:rPr>
              <w:t>38,391</w:t>
            </w:r>
          </w:p>
        </w:tc>
        <w:tc>
          <w:tcPr>
            <w:tcW w:w="75" w:type="dxa"/>
            <w:tcBorders/>
            <w:vAlign w:val="center"/>
          </w:tcPr>
          <w:p>
            <w:pPr>
              <w:pStyle w:val="TableContents"/>
              <w:bidi w:val="0"/>
              <w:spacing w:before="0" w:after="283"/>
              <w:jc w:val="left"/>
              <w:rPr>
                <w:color w:val="3E3935"/>
              </w:rPr>
            </w:pPr>
            <w:r>
              <w:rPr>
                <w:color w:val="3E3935"/>
              </w:rPr>
              <w:t> </w:t>
            </w:r>
          </w:p>
        </w:tc>
      </w:tr>
      <w:tr>
        <w:trPr/>
        <w:tc>
          <w:tcPr>
            <w:tcW w:w="1895" w:type="dxa"/>
            <w:tcBorders/>
            <w:shd w:fill="CCF2F8" w:val="clear"/>
            <w:vAlign w:val="center"/>
          </w:tcPr>
          <w:p>
            <w:pPr>
              <w:pStyle w:val="TableContents"/>
              <w:bidi w:val="0"/>
              <w:spacing w:before="0" w:after="283"/>
              <w:jc w:val="left"/>
              <w:rPr>
                <w:sz w:val="4"/>
                <w:szCs w:val="4"/>
              </w:rPr>
            </w:pPr>
            <w:r>
              <w:rPr>
                <w:sz w:val="4"/>
                <w:szCs w:val="4"/>
              </w:rPr>
            </w:r>
          </w:p>
        </w:tc>
        <w:tc>
          <w:tcPr>
            <w:tcW w:w="1384" w:type="dxa"/>
            <w:gridSpan w:val="4"/>
            <w:tcBorders/>
            <w:shd w:fill="CCF2F8" w:val="clear"/>
            <w:vAlign w:val="center"/>
          </w:tcPr>
          <w:p>
            <w:pPr>
              <w:pStyle w:val="TableContents"/>
              <w:bidi w:val="0"/>
              <w:spacing w:before="0" w:after="283"/>
              <w:jc w:val="left"/>
              <w:rPr>
                <w:sz w:val="4"/>
                <w:szCs w:val="4"/>
              </w:rPr>
            </w:pPr>
            <w:r>
              <w:rPr>
                <w:sz w:val="4"/>
                <w:szCs w:val="4"/>
              </w:rPr>
            </w:r>
          </w:p>
        </w:tc>
        <w:tc>
          <w:tcPr>
            <w:tcW w:w="1084" w:type="dxa"/>
            <w:gridSpan w:val="4"/>
            <w:tcBorders/>
            <w:shd w:fill="CCF2F8" w:val="clear"/>
            <w:vAlign w:val="center"/>
          </w:tcPr>
          <w:p>
            <w:pPr>
              <w:pStyle w:val="TableContents"/>
              <w:bidi w:val="0"/>
              <w:spacing w:before="0" w:after="283"/>
              <w:jc w:val="left"/>
              <w:rPr>
                <w:sz w:val="4"/>
                <w:szCs w:val="4"/>
              </w:rPr>
            </w:pPr>
            <w:r>
              <w:rPr>
                <w:sz w:val="4"/>
                <w:szCs w:val="4"/>
              </w:rPr>
            </w:r>
          </w:p>
        </w:tc>
        <w:tc>
          <w:tcPr>
            <w:tcW w:w="93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Jan E. Tighe(5)</w:t>
            </w:r>
          </w:p>
        </w:tc>
        <w:tc>
          <w:tcPr>
            <w:tcW w:w="120"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15,649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2" w:type="dxa"/>
            <w:tcBorders/>
            <w:shd w:fill="CCF2F8" w:val="clear"/>
            <w:vAlign w:val="center"/>
          </w:tcPr>
          <w:p>
            <w:pPr>
              <w:pStyle w:val="TableContents"/>
              <w:bidi w:val="0"/>
              <w:spacing w:before="0" w:after="283"/>
              <w:jc w:val="left"/>
              <w:rPr>
                <w:color w:val="3E3935"/>
              </w:rPr>
            </w:pPr>
            <w:r>
              <w:rPr>
                <w:color w:val="3E3935"/>
              </w:rPr>
              <w:t> </w:t>
            </w:r>
          </w:p>
        </w:tc>
        <w:tc>
          <w:tcPr>
            <w:tcW w:w="782" w:type="dxa"/>
            <w:tcBorders/>
            <w:shd w:fill="CCF2F8" w:val="clear"/>
            <w:vAlign w:val="center"/>
          </w:tcPr>
          <w:p>
            <w:pPr>
              <w:pStyle w:val="TableContents"/>
              <w:bidi w:val="0"/>
              <w:spacing w:before="0" w:after="283"/>
              <w:jc w:val="right"/>
              <w:rPr>
                <w:color w:val="3E3935"/>
              </w:rPr>
            </w:pPr>
            <w:r>
              <w:rPr>
                <w:color w:val="3E3935"/>
              </w:rPr>
              <w:t>120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80" w:type="dxa"/>
            <w:tcBorders/>
            <w:shd w:fill="CCF2F8" w:val="clear"/>
            <w:vAlign w:val="center"/>
          </w:tcPr>
          <w:p>
            <w:pPr>
              <w:pStyle w:val="TableContents"/>
              <w:bidi w:val="0"/>
              <w:spacing w:before="0" w:after="283"/>
              <w:jc w:val="right"/>
              <w:rPr>
                <w:color w:val="3E3935"/>
              </w:rPr>
            </w:pPr>
            <w:r>
              <w:rPr>
                <w:color w:val="3E3935"/>
              </w:rPr>
              <w:t>15,769</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384"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71CE"/>
            </w:tcBorders>
            <w:tcMar>
              <w:bottom w:w="4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Devin N. Wenig</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7"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107" w:type="dxa"/>
            <w:tcBorders>
              <w:bottom w:val="single" w:sz="6" w:space="0" w:color="0071CE"/>
            </w:tcBorders>
            <w:tcMar>
              <w:bottom w:w="40" w:type="dxa"/>
            </w:tcMar>
            <w:vAlign w:val="center"/>
          </w:tcPr>
          <w:p>
            <w:pPr>
              <w:pStyle w:val="TableContents"/>
              <w:bidi w:val="0"/>
              <w:spacing w:before="0" w:after="283"/>
              <w:jc w:val="right"/>
              <w:rPr>
                <w:color w:val="3E3935"/>
              </w:rPr>
            </w:pPr>
            <w:r>
              <w:rPr>
                <w:color w:val="3E3935"/>
              </w:rPr>
              <w:t>32,188</w:t>
            </w:r>
          </w:p>
        </w:tc>
        <w:tc>
          <w:tcPr>
            <w:tcW w:w="60"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2"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782" w:type="dxa"/>
            <w:tcBorders>
              <w:bottom w:val="single" w:sz="6" w:space="0" w:color="0071CE"/>
            </w:tcBorders>
            <w:tcMar>
              <w:bottom w:w="40" w:type="dxa"/>
            </w:tcMar>
            <w:vAlign w:val="center"/>
          </w:tcPr>
          <w:p>
            <w:pPr>
              <w:pStyle w:val="TableContents"/>
              <w:bidi w:val="0"/>
              <w:spacing w:before="0" w:after="283"/>
              <w:jc w:val="right"/>
              <w:rPr>
                <w:color w:val="3E3935"/>
              </w:rPr>
            </w:pPr>
            <w:r>
              <w:rPr>
                <w:color w:val="3E3935"/>
              </w:rPr>
              <w:t>240</w:t>
            </w:r>
          </w:p>
        </w:tc>
        <w:tc>
          <w:tcPr>
            <w:tcW w:w="60"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c>
          <w:tcPr>
            <w:tcW w:w="680" w:type="dxa"/>
            <w:tcBorders>
              <w:bottom w:val="single" w:sz="6" w:space="0" w:color="0071CE"/>
            </w:tcBorders>
            <w:tcMar>
              <w:bottom w:w="40" w:type="dxa"/>
            </w:tcMar>
            <w:vAlign w:val="center"/>
          </w:tcPr>
          <w:p>
            <w:pPr>
              <w:pStyle w:val="TableContents"/>
              <w:bidi w:val="0"/>
              <w:spacing w:before="0" w:after="283"/>
              <w:jc w:val="right"/>
              <w:rPr>
                <w:color w:val="3E3935"/>
              </w:rPr>
            </w:pPr>
            <w:r>
              <w:rPr>
                <w:color w:val="3E3935"/>
              </w:rPr>
              <w:t>32,428</w:t>
            </w:r>
          </w:p>
        </w:tc>
        <w:tc>
          <w:tcPr>
            <w:tcW w:w="75" w:type="dxa"/>
            <w:tcBorders>
              <w:bottom w:val="single" w:sz="6" w:space="0" w:color="0071CE"/>
            </w:tcBorders>
            <w:tcMar>
              <w:bottom w:w="4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olor w:val="3E3935"/>
              </w:rPr>
            </w:pPr>
            <w:r>
              <w:rPr>
                <w:color w:val="3E3935"/>
              </w:rPr>
              <w:t>a.</w:t>
            </w:r>
          </w:p>
        </w:tc>
        <w:tc>
          <w:tcPr>
            <w:tcW w:w="994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Company vehicle program includes the estimated annual lease value of the Company vehicles driven by directors.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the director. </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3E3935"/>
              </w:rPr>
            </w:pPr>
            <w:r>
              <w:rPr>
                <w:color w:val="3E3935"/>
              </w:rPr>
              <w:t>b.</w:t>
            </w:r>
          </w:p>
        </w:tc>
        <w:tc>
          <w:tcPr>
            <w:tcW w:w="993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Reflects the cost of premiums for providing personal accident insurance (annual premium cost of $240 per person is prorated, as applicable, for the period of service). </w:t>
            </w:r>
          </w:p>
        </w:tc>
      </w:tr>
    </w:tbl>
    <w:tbl>
      <w:tblPr>
        <w:tblW w:w="4420" w:type="dxa"/>
        <w:jc w:val="left"/>
        <w:tblInd w:w="0" w:type="dxa"/>
        <w:tblLayout w:type="fixed"/>
        <w:tblCellMar>
          <w:top w:w="0" w:type="dxa"/>
          <w:left w:w="0" w:type="dxa"/>
          <w:bottom w:w="0" w:type="dxa"/>
          <w:right w:w="0" w:type="dxa"/>
        </w:tblCellMar>
      </w:tblPr>
      <w:tblGrid>
        <w:gridCol w:w="305"/>
        <w:gridCol w:w="4115"/>
      </w:tblGrid>
      <w:tr>
        <w:trPr/>
        <w:tc>
          <w:tcPr>
            <w:tcW w:w="305" w:type="dxa"/>
            <w:tcBorders/>
            <w:vAlign w:val="center"/>
          </w:tcPr>
          <w:p>
            <w:pPr>
              <w:pStyle w:val="TableContents"/>
              <w:bidi w:val="0"/>
              <w:spacing w:before="0" w:after="283"/>
              <w:jc w:val="left"/>
              <w:rPr>
                <w:color w:val="3E3935"/>
              </w:rPr>
            </w:pPr>
            <w:r>
              <w:rPr>
                <w:color w:val="3E3935"/>
              </w:rPr>
              <w:t>(4)</w:t>
            </w:r>
          </w:p>
        </w:tc>
        <w:tc>
          <w:tcPr>
            <w:tcW w:w="41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Ms. Stephenson retired from the Board on June 20, 2023. </w:t>
            </w:r>
          </w:p>
        </w:tc>
      </w:tr>
    </w:tbl>
    <w:tbl>
      <w:tblPr>
        <w:tblW w:w="3595" w:type="dxa"/>
        <w:jc w:val="left"/>
        <w:tblInd w:w="0" w:type="dxa"/>
        <w:tblLayout w:type="fixed"/>
        <w:tblCellMar>
          <w:top w:w="0" w:type="dxa"/>
          <w:left w:w="0" w:type="dxa"/>
          <w:bottom w:w="0" w:type="dxa"/>
          <w:right w:w="0" w:type="dxa"/>
        </w:tblCellMar>
      </w:tblPr>
      <w:tblGrid>
        <w:gridCol w:w="305"/>
        <w:gridCol w:w="3290"/>
      </w:tblGrid>
      <w:tr>
        <w:trPr/>
        <w:tc>
          <w:tcPr>
            <w:tcW w:w="305" w:type="dxa"/>
            <w:tcBorders/>
            <w:vAlign w:val="center"/>
          </w:tcPr>
          <w:p>
            <w:pPr>
              <w:pStyle w:val="TableContents"/>
              <w:bidi w:val="0"/>
              <w:spacing w:before="0" w:after="283"/>
              <w:jc w:val="left"/>
              <w:rPr>
                <w:color w:val="3E3935"/>
              </w:rPr>
            </w:pPr>
            <w:r>
              <w:rPr>
                <w:color w:val="3E3935"/>
              </w:rPr>
              <w:t>(5)</w:t>
            </w:r>
          </w:p>
        </w:tc>
        <w:tc>
          <w:tcPr>
            <w:tcW w:w="32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Ms. Tighe joined the Board on June 20, 2023. </w:t>
            </w:r>
          </w:p>
        </w:tc>
      </w:tr>
    </w:tbl>
    <w:p>
      <w:pPr>
        <w:pStyle w:val="TextBody"/>
        <w:bidi w:val="0"/>
        <w:spacing w:before="0" w:after="0"/>
        <w:jc w:val="left"/>
        <w:rPr/>
      </w:pPr>
      <w:r>
        <w:rPr/>
        <w:t> </w:t>
      </w:r>
    </w:p>
    <w:tbl>
      <w:tblPr>
        <w:tblW w:w="6608" w:type="dxa"/>
        <w:jc w:val="left"/>
        <w:tblInd w:w="0" w:type="dxa"/>
        <w:tblLayout w:type="fixed"/>
        <w:tblCellMar>
          <w:top w:w="0" w:type="dxa"/>
          <w:left w:w="0" w:type="dxa"/>
          <w:bottom w:w="0" w:type="dxa"/>
          <w:right w:w="0" w:type="dxa"/>
        </w:tblCellMar>
      </w:tblPr>
      <w:tblGrid>
        <w:gridCol w:w="275"/>
        <w:gridCol w:w="60"/>
        <w:gridCol w:w="192"/>
        <w:gridCol w:w="60"/>
        <w:gridCol w:w="57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20</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5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9" descr=""/>
                          <pic:cNvPicPr>
                            <a:picLocks noChangeAspect="1" noChangeArrowheads="1"/>
                          </pic:cNvPicPr>
                        </pic:nvPicPr>
                        <pic:blipFill>
                          <a:blip r:embed="rId155"/>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center"/>
              <w:rPr>
                <w:b/>
                <w:color w:val="3E3935"/>
              </w:rPr>
            </w:pPr>
            <w:r>
              <w:rPr>
                <w:b/>
                <w:color w:val="3E3935"/>
              </w:rPr>
              <w:t>ITEM NO. 1: ANNUAL ELECTION OF DIRECTORS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arial" w:hAnsi="arial"/>
          <w:color w:val="3E3935"/>
          <w:sz w:val="18"/>
        </w:rPr>
      </w:pPr>
      <w:r>
        <w:rPr>
          <w:rFonts w:ascii="arial" w:hAnsi="arial"/>
          <w:color w:val="3E3935"/>
          <w:sz w:val="18"/>
        </w:rPr>
        <w:t xml:space="preserve">[THIS PAGE INTENTIONALLY LEFT BLANK]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bookmarkStart w:id="10" w:name="toc648661_8"/>
      <w:bookmarkEnd w:id="10"/>
      <w:r>
        <w:rPr>
          <w:rFonts w:ascii="arial" w:hAnsi="arial"/>
          <w:color w:val="3E3935"/>
          <w:sz w:val="64"/>
        </w:rPr>
        <w:t xml:space="preserve">Corporate Governance </w:t>
      </w:r>
    </w:p>
    <w:p>
      <w:pPr>
        <w:pStyle w:val="TextBody"/>
        <w:bidi w:val="0"/>
        <w:spacing w:before="480" w:after="0"/>
        <w:jc w:val="left"/>
        <w:rPr>
          <w:rFonts w:ascii="arial" w:hAnsi="arial"/>
          <w:b/>
          <w:color w:val="0071CE"/>
          <w:sz w:val="28"/>
        </w:rPr>
      </w:pPr>
      <w:bookmarkStart w:id="11" w:name="toc648661_9"/>
      <w:bookmarkEnd w:id="11"/>
      <w:r>
        <w:rPr>
          <w:rFonts w:ascii="arial" w:hAnsi="arial"/>
          <w:b/>
          <w:color w:val="0071CE"/>
          <w:sz w:val="28"/>
        </w:rPr>
        <w:t xml:space="preserve">The Board of Directors </w:t>
      </w:r>
    </w:p>
    <w:p>
      <w:pPr>
        <w:pStyle w:val="TextBody"/>
        <w:bidi w:val="0"/>
        <w:spacing w:before="120" w:after="0"/>
        <w:jc w:val="both"/>
        <w:rPr>
          <w:rFonts w:ascii="arial" w:hAnsi="arial"/>
          <w:color w:val="3E3935"/>
          <w:sz w:val="18"/>
        </w:rPr>
      </w:pPr>
      <w:r>
        <w:rPr>
          <w:rFonts w:ascii="arial" w:hAnsi="arial"/>
          <w:color w:val="3E3935"/>
          <w:sz w:val="18"/>
        </w:rPr>
        <w:t xml:space="preserve">GM is governed by a Board of Directors and committees of the Board that meet throughout the year to ensure that the CEO and other senior management are operating the Company in a prudent and ethical manner. The Board is elected by our shareholders to oversee and provide guidance on the Company’s business and affairs. It is the ultimate decision-making body of the Company, except for those matters reserved for shareholders by law or pursuant to the Company’s corporate governance documents. Among other things, the Board oversees the Company’s strategy and execution of the strategic plan. In addition, it oversees management’s proper safeguarding of the assets 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 </w:t>
      </w:r>
    </w:p>
    <w:p>
      <w:pPr>
        <w:pStyle w:val="TextBody"/>
        <w:bidi w:val="0"/>
        <w:spacing w:before="360" w:after="0"/>
        <w:jc w:val="left"/>
        <w:rPr>
          <w:rFonts w:ascii="arial" w:hAnsi="arial"/>
          <w:b/>
          <w:color w:val="3E3935"/>
          <w:sz w:val="26"/>
        </w:rPr>
      </w:pPr>
      <w:r>
        <w:rPr>
          <w:rFonts w:ascii="arial" w:hAnsi="arial"/>
          <w:b/>
          <w:color w:val="3E3935"/>
          <w:sz w:val="26"/>
        </w:rPr>
        <w:t xml:space="preserve">Board Size </w:t>
      </w:r>
    </w:p>
    <w:p>
      <w:pPr>
        <w:pStyle w:val="TextBody"/>
        <w:bidi w:val="0"/>
        <w:spacing w:before="120" w:after="0"/>
        <w:jc w:val="both"/>
        <w:rPr>
          <w:rFonts w:ascii="arial" w:hAnsi="arial"/>
          <w:color w:val="3E3935"/>
          <w:sz w:val="18"/>
        </w:rPr>
      </w:pPr>
      <w:r>
        <w:rPr>
          <w:rFonts w:ascii="arial" w:hAnsi="arial"/>
          <w:color w:val="3E3935"/>
          <w:sz w:val="18"/>
        </w:rPr>
        <w:t xml:space="preserve">The Board sets the number of directors from time to time by a resolution adopted by a majority of the Board. The Governance Committee reassesses the suitability of the Board’s size at least annually. The Board has the flexibility to increase or decrease the size of the Board as circumstances warrant, though the Company’s Certificate of Incorporation limits the total number of directors to 17. We currently have 13 directors, but following the Annual Meeting we will have 12 directors due to the fact that Mr. Bhusri will not stand for reelection. If any nominee is unable to serve as a director, or if any director leaves the Board between annual meetings, the Board may reduce the number of directors or elect an individual to fill the resulting vacancy. </w:t>
      </w:r>
    </w:p>
    <w:p>
      <w:pPr>
        <w:pStyle w:val="TextBody"/>
        <w:bidi w:val="0"/>
        <w:spacing w:before="360" w:after="0"/>
        <w:jc w:val="left"/>
        <w:rPr>
          <w:rFonts w:ascii="arial" w:hAnsi="arial"/>
          <w:b/>
          <w:color w:val="3E3935"/>
          <w:sz w:val="26"/>
        </w:rPr>
      </w:pPr>
      <w:r>
        <w:rPr>
          <w:rFonts w:ascii="arial" w:hAnsi="arial"/>
          <w:b/>
          <w:color w:val="3E3935"/>
          <w:sz w:val="26"/>
        </w:rPr>
        <w:t xml:space="preserve">Director Independence </w:t>
      </w:r>
    </w:p>
    <w:p>
      <w:pPr>
        <w:pStyle w:val="TextBody"/>
        <w:bidi w:val="0"/>
        <w:spacing w:before="120" w:after="0"/>
        <w:jc w:val="both"/>
        <w:rPr>
          <w:rFonts w:ascii="arial" w:hAnsi="arial"/>
          <w:color w:val="3E3935"/>
          <w:sz w:val="18"/>
        </w:rPr>
      </w:pPr>
      <w:r>
        <w:rPr>
          <w:rFonts w:ascii="arial" w:hAnsi="arial"/>
          <w:color w:val="3E3935"/>
          <w:sz w:val="18"/>
        </w:rPr>
        <w:t xml:space="preserve">GM’s Bylaws and Corporate Governance Guidelines define our standards for director independence and reflect applicable NYSE and SEC requirements. At least two-thirds of our directors must be independent under these standards. In addition, all members of the Audit Committee and the Compensation Committee must meet heightened independence standards under applicable NYSE and SEC rules. For a director to be “independent,” they must have no disqualifying relationships, as defined in the NYSE standards, and the Board must determine that the director has no material relationship with the Company other than the individual’s service as a director. </w:t>
      </w:r>
    </w:p>
    <w:p>
      <w:pPr>
        <w:pStyle w:val="TextBody"/>
        <w:bidi w:val="0"/>
        <w:spacing w:before="120" w:after="0"/>
        <w:jc w:val="both"/>
        <w:rPr>
          <w:rFonts w:ascii="arial" w:hAnsi="arial"/>
          <w:color w:val="3E3935"/>
          <w:sz w:val="18"/>
        </w:rPr>
      </w:pPr>
      <w:r>
        <w:rPr>
          <w:rFonts w:ascii="arial" w:hAnsi="arial"/>
          <w:color w:val="3E3935"/>
          <w:sz w:val="18"/>
        </w:rPr>
        <w:t xml:space="preserve">The Governance Committee completed its annual assessment in February 2024 regarding the independence of each director and made recommendations to the Board. Consistent with the standards described above, the Board has reviewed all relationships between the Company and each director and director nominee and considered all relevant quantitative and qualitative criteria. The Board has affirmatively determined that, other than Ms. Barra who serves as our CEO, all directors are currently independent and, if applicable, were independent throughout 2023. In addition, the Board affirmatively determined that all of the director nominees who currently serve on the Audit Committee and the Compensation Committee are independent as required by the heightened NYSE and SEC criteria described above. </w:t>
      </w:r>
    </w:p>
    <w:p>
      <w:pPr>
        <w:pStyle w:val="TextBody"/>
        <w:bidi w:val="0"/>
        <w:spacing w:before="120" w:after="0"/>
        <w:jc w:val="both"/>
        <w:rPr>
          <w:rFonts w:ascii="arial" w:hAnsi="arial"/>
          <w:color w:val="3E3935"/>
          <w:sz w:val="18"/>
        </w:rPr>
      </w:pPr>
      <w:r>
        <w:rPr>
          <w:rFonts w:ascii="arial" w:hAnsi="arial"/>
          <w:color w:val="3E3935"/>
          <w:sz w:val="18"/>
        </w:rPr>
        <w:t xml:space="preserve">In recommending to the Board that it determine each non-employee director is independent, the Governance Committee considered whether there were any other facts or circumstances that might impair a director’s independence. The Governance Committee also considered that GM, in the ordinary course of 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transactions with these companies. In each case, these transactions were in the ordinary course of business for GM and the other companies involved, and were on terms and conditions available to similarly situated customers and suppliers. Therefore, the Board determined they did not impair such directors’ independence. </w:t>
      </w:r>
    </w:p>
    <w:p>
      <w:pPr>
        <w:pStyle w:val="TextBody"/>
        <w:bidi w:val="0"/>
        <w:spacing w:before="360" w:after="0"/>
        <w:jc w:val="left"/>
        <w:rPr>
          <w:rFonts w:ascii="arial" w:hAnsi="arial"/>
          <w:b/>
          <w:color w:val="0071CE"/>
          <w:sz w:val="28"/>
        </w:rPr>
      </w:pPr>
      <w:bookmarkStart w:id="12" w:name="toc648661_10"/>
      <w:bookmarkEnd w:id="12"/>
      <w:r>
        <w:rPr>
          <w:rFonts w:ascii="arial" w:hAnsi="arial"/>
          <w:b/>
          <w:color w:val="0071CE"/>
          <w:sz w:val="28"/>
        </w:rPr>
        <w:t xml:space="preserve">Board Leadership Structure and Composition </w:t>
      </w:r>
    </w:p>
    <w:p>
      <w:pPr>
        <w:pStyle w:val="TextBody"/>
        <w:bidi w:val="0"/>
        <w:spacing w:before="120" w:after="0"/>
        <w:jc w:val="both"/>
        <w:rPr>
          <w:rFonts w:ascii="arial" w:hAnsi="arial"/>
          <w:color w:val="3E3935"/>
          <w:sz w:val="18"/>
        </w:rPr>
      </w:pPr>
      <w:r>
        <w:rPr>
          <w:rFonts w:ascii="arial" w:hAnsi="arial"/>
          <w:color w:val="3E3935"/>
          <w:sz w:val="18"/>
        </w:rPr>
        <w:t xml:space="preserve">The Board has the flexibility to decide when the positions of Board Chair and CEO should be combined or whether an independent director should serve as Board Chair. This allows the Board to choose the leadership structure that it believes will best serve the interests of our shareholders at any particular time. In January 2016, the Board recombined the positions of Board Chair and CEO under the leadership of Ms. Barra and designated an Independent Lead Director. </w:t>
      </w:r>
    </w:p>
    <w:p>
      <w:pPr>
        <w:pStyle w:val="TextBody"/>
        <w:bidi w:val="0"/>
        <w:spacing w:before="0" w:after="0"/>
        <w:jc w:val="left"/>
        <w:rPr/>
      </w:pPr>
      <w:r>
        <w:rPr/>
        <w:t> </w:t>
      </w:r>
    </w:p>
    <w:tbl>
      <w:tblPr>
        <w:tblW w:w="4238" w:type="dxa"/>
        <w:jc w:val="left"/>
        <w:tblInd w:w="0" w:type="dxa"/>
        <w:tblLayout w:type="fixed"/>
        <w:tblCellMar>
          <w:top w:w="0" w:type="dxa"/>
          <w:left w:w="0" w:type="dxa"/>
          <w:bottom w:w="0" w:type="dxa"/>
          <w:right w:w="0" w:type="dxa"/>
        </w:tblCellMar>
      </w:tblPr>
      <w:tblGrid>
        <w:gridCol w:w="275"/>
        <w:gridCol w:w="60"/>
        <w:gridCol w:w="192"/>
        <w:gridCol w:w="60"/>
        <w:gridCol w:w="341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22</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5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0" descr=""/>
                          <pic:cNvPicPr>
                            <a:picLocks noChangeAspect="1" noChangeArrowheads="1"/>
                          </pic:cNvPicPr>
                        </pic:nvPicPr>
                        <pic:blipFill>
                          <a:blip r:embed="rId156"/>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The Role of the Independent Lead Director </w:t>
      </w:r>
    </w:p>
    <w:p>
      <w:pPr>
        <w:pStyle w:val="TextBody"/>
        <w:bidi w:val="0"/>
        <w:spacing w:before="120" w:after="0"/>
        <w:jc w:val="both"/>
        <w:rPr>
          <w:rFonts w:ascii="arial" w:hAnsi="arial"/>
          <w:color w:val="3E3935"/>
          <w:sz w:val="18"/>
        </w:rPr>
      </w:pPr>
      <w:r>
        <w:rPr>
          <w:rFonts w:ascii="arial" w:hAnsi="arial"/>
          <w:color w:val="3E3935"/>
          <w:sz w:val="18"/>
        </w:rPr>
        <w:t xml:space="preserve">GM’s Board believes that a strong Independent Lead Director role with clearly defined responsibilities provides effective independent management oversight. The independent directors consider several factors, as further outlined below, when annually electing the Lead Independent Director, to ensure balanced leadership and a strong and independent Board. Ms. Russo is the Board’s Independent Lead Director, a role she has held since 2021. Ms. Russo joined our Board in 2009 and previously served as the Independent Lead Director from 2010 to 2014. Her extensive knowledge of GM’s business and experience collaborating with our management team uniquely qualifies her to provide strong, independent leadership and strategic direction to the Board at this time. </w:t>
      </w:r>
    </w:p>
    <w:p>
      <w:pPr>
        <w:pStyle w:val="TextBody"/>
        <w:bidi w:val="0"/>
        <w:spacing w:before="120" w:after="0"/>
        <w:jc w:val="both"/>
        <w:rPr>
          <w:rFonts w:ascii="arial" w:hAnsi="arial"/>
          <w:color w:val="3E3935"/>
          <w:sz w:val="18"/>
        </w:rPr>
      </w:pPr>
      <w:r>
        <w:rPr>
          <w:rFonts w:ascii="arial" w:hAnsi="arial"/>
          <w:color w:val="3E3935"/>
          <w:sz w:val="18"/>
        </w:rPr>
        <w:t xml:space="preserve">Below is a summary of the key duties and responsibilities of GM’s Independent Lead Director: </w:t>
      </w:r>
    </w:p>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4496"/>
        <w:gridCol w:w="120"/>
        <w:gridCol w:w="5589"/>
      </w:tblGrid>
      <w:tr>
        <w:trPr/>
        <w:tc>
          <w:tcPr>
            <w:tcW w:w="4496"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sz w:val="4"/>
                <w:szCs w:val="4"/>
              </w:rPr>
            </w:pPr>
            <w:r>
              <w:rPr>
                <w:sz w:val="4"/>
                <w:szCs w:val="4"/>
              </w:rPr>
            </w:r>
          </w:p>
        </w:tc>
        <w:tc>
          <w:tcPr>
            <w:tcW w:w="5589" w:type="dxa"/>
            <w:tcBorders/>
            <w:shd w:fill="CCF2F8" w:val="clear"/>
            <w:vAlign w:val="center"/>
          </w:tcPr>
          <w:p>
            <w:pPr>
              <w:pStyle w:val="TableContents"/>
              <w:bidi w:val="0"/>
              <w:spacing w:before="0" w:after="283"/>
              <w:jc w:val="left"/>
              <w:rPr>
                <w:sz w:val="4"/>
                <w:szCs w:val="4"/>
              </w:rPr>
            </w:pPr>
            <w:r>
              <w:rPr>
                <w:sz w:val="4"/>
                <w:szCs w:val="4"/>
              </w:rPr>
            </w:r>
          </w:p>
        </w:tc>
      </w:tr>
      <w:tr>
        <w:trPr/>
        <w:tc>
          <w:tcPr>
            <w:tcW w:w="4496" w:type="dxa"/>
            <w:tcBorders/>
            <w:shd w:fill="CCF2F8" w:val="clear"/>
            <w:vAlign w:val="center"/>
          </w:tcPr>
          <w:p>
            <w:pPr>
              <w:pStyle w:val="TableContents"/>
              <w:bidi w:val="0"/>
              <w:spacing w:before="0" w:after="283"/>
              <w:jc w:val="left"/>
              <w:rPr>
                <w:sz w:val="4"/>
                <w:szCs w:val="4"/>
              </w:rPr>
            </w:pPr>
            <w:r>
              <w:rPr>
                <w:sz w:val="4"/>
                <w:szCs w:val="4"/>
              </w:rPr>
            </w:r>
          </w:p>
        </w:tc>
        <w:tc>
          <w:tcPr>
            <w:tcW w:w="5709"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4496"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Presiding over all Board meetings when the Board Chair is not present, including executive sessions of non-management directors, and advising the Board Chair of any actions taken;</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Providing Board leadership if circumstances arise in which the Board Chair actually has, potentially has, or is perceived to have, a conflict of interest;</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Calling executive sessions for non-management directors, relaying feedback from these sessions to the Board Chair, and implementing decisions made by the non-management directors;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Leading non-management directors in the annual evaluation of the CEO’s performance, communicating the results of that evaluation to the CEO, and overseeing CEO succession planning;</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Approving Board meeting agendas to ensure sufficient time for discussion of all items;</w:t>
            </w:r>
          </w:p>
        </w:tc>
        <w:tc>
          <w:tcPr>
            <w:tcW w:w="120" w:type="dxa"/>
            <w:tcBorders/>
            <w:shd w:fill="CCF2F8" w:val="clear"/>
            <w:vAlign w:val="center"/>
          </w:tcPr>
          <w:p>
            <w:pPr>
              <w:pStyle w:val="TableContents"/>
              <w:bidi w:val="0"/>
              <w:spacing w:before="0" w:after="283"/>
              <w:jc w:val="left"/>
              <w:rPr/>
            </w:pPr>
            <w:r>
              <w:rPr/>
              <w:t>  </w:t>
            </w:r>
          </w:p>
        </w:tc>
        <w:tc>
          <w:tcPr>
            <w:tcW w:w="558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Advising on the scope, quality, quantity, and timeliness of the flow of information between management and the Board;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Serving as a liaison between non-management directors and the Board Chair when requested to do so (although all non-management directors have direct and complete access to the Board Chair at any time they may deem necessary or appropriate);</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Interviewing all director candidates and making recommendations to the Governance Committee and the Board;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Being available to advise the Board committee chairs in fulfilling their designated roles and responsibilities to the Board; and</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Engaging, when requested to do so, with shareholders.</w:t>
            </w:r>
          </w:p>
        </w:tc>
      </w:tr>
    </w:tbl>
    <w:p>
      <w:pPr>
        <w:pStyle w:val="TextBody"/>
        <w:bidi w:val="0"/>
        <w:spacing w:before="360" w:after="0"/>
        <w:jc w:val="left"/>
        <w:rPr>
          <w:rFonts w:ascii="arial" w:hAnsi="arial"/>
          <w:b/>
          <w:color w:val="0071CE"/>
          <w:sz w:val="28"/>
        </w:rPr>
      </w:pPr>
      <w:bookmarkStart w:id="13" w:name="toc648661_11"/>
      <w:bookmarkEnd w:id="13"/>
      <w:r>
        <w:rPr>
          <w:rFonts w:ascii="arial" w:hAnsi="arial"/>
          <w:b/>
          <w:color w:val="0071CE"/>
          <w:sz w:val="28"/>
        </w:rPr>
        <w:t xml:space="preserve">Board Committees </w:t>
      </w:r>
    </w:p>
    <w:p>
      <w:pPr>
        <w:pStyle w:val="TextBody"/>
        <w:bidi w:val="0"/>
        <w:spacing w:before="120" w:after="0"/>
        <w:jc w:val="both"/>
        <w:rPr>
          <w:rFonts w:ascii="arial" w:hAnsi="arial"/>
          <w:sz w:val="18"/>
        </w:rPr>
      </w:pPr>
      <w:r>
        <w:rPr>
          <w:rFonts w:ascii="arial" w:hAnsi="arial"/>
          <w:color w:val="3E3935"/>
          <w:sz w:val="18"/>
        </w:rPr>
        <w:t xml:space="preserve">The Board has six standing committees: Audit, Executive, Executive Compensation, Finance, Governance and Corporate Responsibility, and Risk and Cybersecurity. The key responsibilities, recent activities, and focus areas of each committee, together with their current membership and the number of meetings held in 2023, are set forth below. In addition to committee meetings, each committee chair regularly meets with management throughout the year to discuss and preview committee business, shape agendas, and facilitate efficient meetings. The Board Chair, Ms. Barra, and the Independent Lead Director, Ms. Russo, attend all committee meetings to serve as a resource and to identify topics requiring the Board’s attention. The Board has determined that each member of the Audit, Compensation, Finance, Governance, and Risk and Cybersecurity Committees is independent according to applicable SEC and NYSE requirements and our Corporate Governance Guidelines. Each committee’s charter is available at </w:t>
      </w:r>
      <w:r>
        <w:rPr>
          <w:rFonts w:ascii="arial" w:hAnsi="arial"/>
          <w:i/>
          <w:color w:val="0071CE"/>
          <w:sz w:val="18"/>
        </w:rPr>
        <w:t>investor.gm.com/governanceandsustainability</w:t>
      </w:r>
      <w:r>
        <w:rPr>
          <w:rFonts w:ascii="arial" w:hAnsi="arial"/>
          <w:color w:val="3E3935"/>
          <w:sz w:val="18"/>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Board and Committee Meetings and Attendance </w:t>
      </w:r>
    </w:p>
    <w:p>
      <w:pPr>
        <w:pStyle w:val="TextBody"/>
        <w:bidi w:val="0"/>
        <w:spacing w:before="120" w:after="0"/>
        <w:jc w:val="both"/>
        <w:rPr>
          <w:rFonts w:ascii="arial" w:hAnsi="arial"/>
          <w:color w:val="3E3935"/>
          <w:sz w:val="18"/>
        </w:rPr>
      </w:pPr>
      <w:r>
        <w:rPr>
          <w:rFonts w:ascii="arial" w:hAnsi="arial"/>
          <w:color w:val="3E3935"/>
          <w:sz w:val="18"/>
        </w:rPr>
        <w:t xml:space="preserve">In 2023, the Board conducted seven meetings and held regular informational sessions between formal meetings. In addition, the Board’s committees held a combined 26 meetings throughout the year. The average director attendance at Board and committee meetings was 98 percent. Each director standing for re-election attended at least 91 percent of the total meetings of the Board and the respective committees on which they served in 2023. </w:t>
      </w:r>
    </w:p>
    <w:p>
      <w:pPr>
        <w:pStyle w:val="TextBody"/>
        <w:bidi w:val="0"/>
        <w:spacing w:before="120" w:after="0"/>
        <w:jc w:val="both"/>
        <w:rPr>
          <w:rFonts w:ascii="arial" w:hAnsi="arial"/>
          <w:color w:val="3E3935"/>
          <w:sz w:val="18"/>
        </w:rPr>
      </w:pPr>
      <w:r>
        <w:rPr>
          <w:rFonts w:ascii="arial" w:hAnsi="arial"/>
          <w:color w:val="3E3935"/>
          <w:sz w:val="18"/>
        </w:rPr>
        <w:t xml:space="preserve">Directors are encouraged to attend our annual meetings of shareholders. All directors that stood for election in 2023 attended the 2023 annual meeting. </w:t>
      </w:r>
    </w:p>
    <w:p>
      <w:pPr>
        <w:pStyle w:val="TextBody"/>
        <w:bidi w:val="0"/>
        <w:spacing w:before="360" w:after="0"/>
        <w:jc w:val="left"/>
        <w:rPr>
          <w:rFonts w:ascii="arial" w:hAnsi="arial"/>
          <w:b/>
          <w:color w:val="3E3935"/>
          <w:sz w:val="26"/>
        </w:rPr>
      </w:pPr>
      <w:r>
        <w:rPr>
          <w:rFonts w:ascii="arial" w:hAnsi="arial"/>
          <w:b/>
          <w:color w:val="3E3935"/>
          <w:sz w:val="26"/>
        </w:rPr>
        <w:t xml:space="preserve">Executive Sessions </w:t>
      </w:r>
    </w:p>
    <w:p>
      <w:pPr>
        <w:pStyle w:val="TextBody"/>
        <w:bidi w:val="0"/>
        <w:spacing w:before="120" w:after="0"/>
        <w:jc w:val="both"/>
        <w:rPr>
          <w:rFonts w:ascii="arial" w:hAnsi="arial"/>
          <w:color w:val="3E3935"/>
          <w:sz w:val="18"/>
        </w:rPr>
      </w:pPr>
      <w:r>
        <w:rPr>
          <w:rFonts w:ascii="arial" w:hAnsi="arial"/>
          <w:color w:val="3E3935"/>
          <w:sz w:val="18"/>
        </w:rPr>
        <w:t xml:space="preserve">Independent directors have an opportunity to meet in executive session without management present as part of each regularly scheduled Board and committee meeting. Executive sessions are chaired by our Independent Lead Director or the respective committee chair. </w:t>
      </w:r>
    </w:p>
    <w:p>
      <w:pPr>
        <w:pStyle w:val="TextBody"/>
        <w:bidi w:val="0"/>
        <w:spacing w:before="0" w:after="0"/>
        <w:jc w:val="left"/>
        <w:rPr/>
      </w:pPr>
      <w:r>
        <w:rPr/>
        <w:t> </w:t>
      </w:r>
    </w:p>
    <w:tbl>
      <w:tblPr>
        <w:tblW w:w="6421" w:type="dxa"/>
        <w:jc w:val="left"/>
        <w:tblInd w:w="0" w:type="dxa"/>
        <w:tblLayout w:type="fixed"/>
        <w:tblCellMar>
          <w:top w:w="0" w:type="dxa"/>
          <w:left w:w="0" w:type="dxa"/>
          <w:bottom w:w="0" w:type="dxa"/>
          <w:right w:w="0" w:type="dxa"/>
        </w:tblCellMar>
      </w:tblPr>
      <w:tblGrid>
        <w:gridCol w:w="38"/>
        <w:gridCol w:w="60"/>
        <w:gridCol w:w="23"/>
        <w:gridCol w:w="60"/>
        <w:gridCol w:w="341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23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During executive sessions of the Board, the independent directors may review CEO performance, compensation, and succession planning; strategy; key enterprise risks; future Board agendas and the flow of information to directors; corporate governance matters; and any other matters of importance to the Company raised during a meeting or otherwise presented by the independent directors. </w:t>
      </w:r>
    </w:p>
    <w:p>
      <w:pPr>
        <w:pStyle w:val="TextBody"/>
        <w:bidi w:val="0"/>
        <w:spacing w:before="120" w:after="0"/>
        <w:jc w:val="both"/>
        <w:rPr>
          <w:rFonts w:ascii="arial" w:hAnsi="arial"/>
          <w:color w:val="3E3935"/>
          <w:sz w:val="18"/>
        </w:rPr>
      </w:pPr>
      <w:r>
        <w:rPr>
          <w:rFonts w:ascii="arial" w:hAnsi="arial"/>
          <w:color w:val="3E3935"/>
          <w:sz w:val="18"/>
        </w:rPr>
        <w:t xml:space="preserve">The non-management directors, all of whom are independent, met in executive session of the Board six times in 2023, in addition to numerous executive sessions of the committees. </w:t>
      </w:r>
    </w:p>
    <w:p>
      <w:pPr>
        <w:pStyle w:val="TextBody"/>
        <w:bidi w:val="0"/>
        <w:spacing w:before="360" w:after="0"/>
        <w:jc w:val="left"/>
        <w:rPr>
          <w:rFonts w:ascii="arial" w:hAnsi="arial"/>
          <w:b/>
          <w:color w:val="3E3935"/>
          <w:sz w:val="26"/>
        </w:rPr>
      </w:pPr>
      <w:r>
        <w:rPr>
          <w:rFonts w:ascii="arial" w:hAnsi="arial"/>
          <w:b/>
          <w:color w:val="3E3935"/>
          <w:sz w:val="26"/>
        </w:rPr>
        <w:t xml:space="preserve">Delegation and Access to Outside Advisors </w:t>
      </w:r>
    </w:p>
    <w:p>
      <w:pPr>
        <w:pStyle w:val="TextBody"/>
        <w:bidi w:val="0"/>
        <w:spacing w:before="120" w:after="0"/>
        <w:jc w:val="both"/>
        <w:rPr>
          <w:rFonts w:ascii="arial" w:hAnsi="arial"/>
          <w:color w:val="3E3935"/>
          <w:sz w:val="18"/>
        </w:rPr>
      </w:pPr>
      <w:r>
        <w:rPr>
          <w:rFonts w:ascii="arial" w:hAnsi="arial"/>
          <w:color w:val="3E3935"/>
          <w:sz w:val="18"/>
        </w:rPr>
        <w:t xml:space="preserve">Each committee may delegate its authority to members of management and also form and delegate authority to subcommittees consisting of one or more members when it deems it appropriate. The Board and each committee can also select and retain the services of outside advisors at the Company’s expense. </w:t>
      </w:r>
    </w:p>
    <w:p>
      <w:pPr>
        <w:pStyle w:val="TextBody"/>
        <w:bidi w:val="0"/>
        <w:spacing w:before="360" w:after="0"/>
        <w:jc w:val="left"/>
        <w:rPr>
          <w:rFonts w:ascii="arial" w:hAnsi="arial"/>
          <w:b/>
          <w:color w:val="3E3935"/>
          <w:sz w:val="26"/>
        </w:rPr>
      </w:pPr>
      <w:r>
        <w:rPr>
          <w:rFonts w:ascii="arial" w:hAnsi="arial"/>
          <w:b/>
          <w:color w:val="3E3935"/>
          <w:sz w:val="26"/>
        </w:rPr>
        <w:t xml:space="preserve">Committee Overview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9"/>
        <w:gridCol w:w="60"/>
        <w:gridCol w:w="339"/>
        <w:gridCol w:w="60"/>
        <w:gridCol w:w="7847"/>
      </w:tblGrid>
      <w:tr>
        <w:trPr/>
        <w:tc>
          <w:tcPr>
            <w:tcW w:w="1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47" w:type="dxa"/>
            <w:tcBorders/>
            <w:vAlign w:val="center"/>
          </w:tcPr>
          <w:p>
            <w:pPr>
              <w:pStyle w:val="TableContents"/>
              <w:bidi w:val="0"/>
              <w:spacing w:before="0" w:after="283"/>
              <w:jc w:val="left"/>
              <w:rPr>
                <w:sz w:val="4"/>
                <w:szCs w:val="4"/>
              </w:rPr>
            </w:pPr>
            <w:r>
              <w:rPr>
                <w:sz w:val="4"/>
                <w:szCs w:val="4"/>
              </w:rPr>
            </w:r>
          </w:p>
        </w:tc>
      </w:tr>
      <w:tr>
        <w:trPr/>
        <w:tc>
          <w:tcPr>
            <w:tcW w:w="1899" w:type="dxa"/>
            <w:vMerge w:val="restart"/>
            <w:tcBorders/>
            <w:vAlign w:val="center"/>
          </w:tcPr>
          <w:p>
            <w:pPr>
              <w:pStyle w:val="TableContents"/>
              <w:bidi w:val="0"/>
              <w:spacing w:before="0" w:after="0"/>
              <w:jc w:val="both"/>
              <w:rPr/>
            </w:pPr>
            <w:r>
              <w:rPr/>
              <w:drawing>
                <wp:inline distT="0" distB="0" distL="0" distR="0">
                  <wp:extent cx="74295" cy="74295"/>
                  <wp:effectExtent l="0" t="0" r="0" b="0"/>
                  <wp:docPr id="16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1" descr=""/>
                          <pic:cNvPicPr>
                            <a:picLocks noChangeAspect="1" noChangeArrowheads="1"/>
                          </pic:cNvPicPr>
                        </pic:nvPicPr>
                        <pic:blipFill>
                          <a:blip r:embed="rId157"/>
                          <a:stretch>
                            <a:fillRect/>
                          </a:stretch>
                        </pic:blipFill>
                        <pic:spPr bwMode="auto">
                          <a:xfrm>
                            <a:off x="0" y="0"/>
                            <a:ext cx="74295" cy="742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Thomas M. Schoewe</w:t>
            </w:r>
          </w:p>
          <w:p>
            <w:pPr>
              <w:pStyle w:val="TableContents"/>
              <w:bidi w:val="0"/>
              <w:spacing w:before="0" w:after="0"/>
              <w:jc w:val="left"/>
              <w:rPr>
                <w:rFonts w:ascii="arial" w:hAnsi="arial"/>
                <w:color w:val="3E3935"/>
                <w:sz w:val="18"/>
              </w:rPr>
            </w:pPr>
            <w:r>
              <w:rPr>
                <w:rFonts w:ascii="arial" w:hAnsi="arial"/>
                <w:color w:val="3E3935"/>
                <w:sz w:val="18"/>
              </w:rPr>
              <w:t>Chair</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Committee Members:</w:t>
            </w:r>
          </w:p>
          <w:p>
            <w:pPr>
              <w:pStyle w:val="TableContents"/>
              <w:bidi w:val="0"/>
              <w:spacing w:before="0" w:after="0"/>
              <w:jc w:val="left"/>
              <w:rPr>
                <w:rFonts w:ascii="arial" w:hAnsi="arial"/>
                <w:color w:val="3E3935"/>
                <w:sz w:val="18"/>
              </w:rPr>
            </w:pPr>
            <w:r>
              <w:rPr>
                <w:rFonts w:ascii="arial" w:hAnsi="arial"/>
                <w:color w:val="3E3935"/>
                <w:sz w:val="18"/>
              </w:rPr>
              <w:t>Wesley G. Bush</w:t>
            </w:r>
          </w:p>
          <w:p>
            <w:pPr>
              <w:pStyle w:val="TableContents"/>
              <w:bidi w:val="0"/>
              <w:spacing w:before="0" w:after="0"/>
              <w:jc w:val="left"/>
              <w:rPr>
                <w:rFonts w:ascii="arial" w:hAnsi="arial"/>
                <w:color w:val="3E3935"/>
                <w:sz w:val="18"/>
              </w:rPr>
            </w:pPr>
            <w:r>
              <w:rPr>
                <w:rFonts w:ascii="arial" w:hAnsi="arial"/>
                <w:color w:val="3E3935"/>
                <w:sz w:val="18"/>
              </w:rPr>
              <w:t>Joanne C. Crevoiserat</w:t>
            </w:r>
          </w:p>
          <w:p>
            <w:pPr>
              <w:pStyle w:val="TableContents"/>
              <w:bidi w:val="0"/>
              <w:spacing w:before="0" w:after="0"/>
              <w:jc w:val="left"/>
              <w:rPr>
                <w:rFonts w:ascii="arial" w:hAnsi="arial"/>
                <w:color w:val="3E3935"/>
                <w:sz w:val="18"/>
              </w:rPr>
            </w:pPr>
            <w:r>
              <w:rPr>
                <w:rFonts w:ascii="arial" w:hAnsi="arial"/>
                <w:color w:val="3E3935"/>
                <w:sz w:val="18"/>
              </w:rPr>
              <w:t>Linda R. Gooden</w:t>
            </w:r>
          </w:p>
          <w:p>
            <w:pPr>
              <w:pStyle w:val="TableContents"/>
              <w:bidi w:val="0"/>
              <w:spacing w:before="0" w:after="0"/>
              <w:jc w:val="left"/>
              <w:rPr>
                <w:rFonts w:ascii="arial" w:hAnsi="arial"/>
                <w:color w:val="3E3935"/>
                <w:sz w:val="18"/>
              </w:rPr>
            </w:pPr>
            <w:r>
              <w:rPr>
                <w:rFonts w:ascii="arial" w:hAnsi="arial"/>
                <w:color w:val="3E3935"/>
                <w:sz w:val="18"/>
              </w:rPr>
              <w:t>Thomas M. Schoewe</w:t>
            </w:r>
          </w:p>
          <w:p>
            <w:pPr>
              <w:pStyle w:val="TableContents"/>
              <w:bidi w:val="0"/>
              <w:spacing w:before="0" w:after="0"/>
              <w:jc w:val="left"/>
              <w:rPr>
                <w:rFonts w:ascii="arial" w:hAnsi="arial"/>
                <w:color w:val="3E3935"/>
                <w:sz w:val="18"/>
              </w:rPr>
            </w:pPr>
            <w:r>
              <w:rPr>
                <w:rFonts w:ascii="arial" w:hAnsi="arial"/>
                <w:color w:val="3E3935"/>
                <w:sz w:val="18"/>
              </w:rPr>
              <w:t>Mark A. Tatum</w:t>
            </w:r>
          </w:p>
          <w:p>
            <w:pPr>
              <w:pStyle w:val="TableContents"/>
              <w:bidi w:val="0"/>
              <w:spacing w:before="0" w:after="0"/>
              <w:jc w:val="left"/>
              <w:rPr>
                <w:rFonts w:ascii="arial" w:hAnsi="arial"/>
                <w:color w:val="3E3935"/>
                <w:sz w:val="18"/>
              </w:rPr>
            </w:pPr>
            <w:r>
              <w:rPr>
                <w:rFonts w:ascii="arial" w:hAnsi="arial"/>
                <w:color w:val="3E3935"/>
                <w:sz w:val="18"/>
              </w:rPr>
              <w:t>Jan E. Tighe</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Meetings held in 2023:</w:t>
            </w:r>
          </w:p>
          <w:p>
            <w:pPr>
              <w:pStyle w:val="TableContents"/>
              <w:bidi w:val="0"/>
              <w:spacing w:before="0" w:after="20"/>
              <w:jc w:val="left"/>
              <w:rPr>
                <w:rFonts w:ascii="arial" w:hAnsi="arial"/>
                <w:color w:val="3E3935"/>
                <w:sz w:val="18"/>
              </w:rPr>
            </w:pPr>
            <w:r>
              <w:rPr>
                <w:rFonts w:ascii="arial" w:hAnsi="arial"/>
                <w:color w:val="3E3935"/>
                <w:sz w:val="18"/>
              </w:rPr>
              <w:t>8</w:t>
            </w:r>
          </w:p>
        </w:tc>
        <w:tc>
          <w:tcPr>
            <w:tcW w:w="6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0"/>
              <w:jc w:val="both"/>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847" w:type="dxa"/>
            <w:tcBorders/>
            <w:vAlign w:val="center"/>
          </w:tcPr>
          <w:p>
            <w:pPr>
              <w:pStyle w:val="TableContents"/>
              <w:bidi w:val="0"/>
              <w:spacing w:before="0" w:after="0"/>
              <w:jc w:val="left"/>
              <w:rPr>
                <w:rFonts w:ascii="arial" w:hAnsi="arial"/>
                <w:b/>
                <w:color w:val="3E3935"/>
                <w:sz w:val="30"/>
              </w:rPr>
            </w:pPr>
            <w:r>
              <w:rPr>
                <w:rFonts w:ascii="arial" w:hAnsi="arial"/>
                <w:b/>
                <w:color w:val="3E3935"/>
                <w:sz w:val="30"/>
              </w:rPr>
              <w:t>AUDIT</w:t>
            </w:r>
          </w:p>
          <w:p>
            <w:pPr>
              <w:pStyle w:val="TableContents"/>
              <w:bidi w:val="0"/>
              <w:spacing w:before="0" w:after="0"/>
              <w:jc w:val="left"/>
              <w:rPr/>
            </w:pPr>
            <w:r>
              <w:rPr/>
              <w:t> </w:t>
            </w:r>
          </w:p>
          <w:p>
            <w:pPr>
              <w:pStyle w:val="TableContents"/>
              <w:bidi w:val="0"/>
              <w:spacing w:before="0" w:after="0"/>
              <w:jc w:val="left"/>
              <w:rPr>
                <w:rFonts w:ascii="arial" w:hAnsi="arial"/>
                <w:b/>
                <w:color w:val="3E3935"/>
                <w:sz w:val="18"/>
              </w:rPr>
            </w:pPr>
            <w:r>
              <w:rPr>
                <w:rFonts w:ascii="arial" w:hAnsi="arial"/>
                <w:b/>
                <w:color w:val="3E3935"/>
                <w:sz w:val="18"/>
              </w:rPr>
              <w:t>Key Responsibilities: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Monitors the effectiveness of GM’s financial reporting processes and systems, as well as disclosure and internal controls;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Selects and engages GM’s external auditors and reviews and evaluates the audit process;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and evaluates the scope and performance of the internal audit function;</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Facilitates ongoing communications about GM’s financial position and affairs among the Board and the external auditors, GM’s financial and senior management, and GM’s internal audit staff;</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GM’s policies and procedures regarding ethics and compliance, including the office of the Chief Compliance Officer;</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GM’s sustainability reporting processes and control procedures and annually approves GM’s Sustainability Report (along with the Governance Committee); and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Oversees the preparation of the Audit Committee Report and related disclosures for the annual proxy statement.</w:t>
            </w:r>
          </w:p>
          <w:p>
            <w:pPr>
              <w:pStyle w:val="TableContents"/>
              <w:bidi w:val="0"/>
              <w:spacing w:before="0" w:after="20"/>
              <w:jc w:val="left"/>
              <w:rPr/>
            </w:pPr>
            <w:r>
              <w:rPr/>
              <w:t> </w:t>
            </w:r>
          </w:p>
        </w:tc>
      </w:tr>
      <w:tr>
        <w:trPr/>
        <w:tc>
          <w:tcPr>
            <w:tcW w:w="189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847" w:type="dxa"/>
            <w:tcBorders/>
            <w:shd w:fill="CCF2F8" w:val="clear"/>
            <w:vAlign w:val="center"/>
          </w:tcPr>
          <w:p>
            <w:pPr>
              <w:pStyle w:val="TableContents"/>
              <w:bidi w:val="0"/>
              <w:spacing w:lineRule="atLeast" w:line="400" w:before="0" w:after="0"/>
              <w:jc w:val="center"/>
              <w:rPr>
                <w:rFonts w:ascii="arial" w:hAnsi="arial"/>
                <w:b/>
                <w:color w:val="0071CE"/>
                <w:sz w:val="18"/>
              </w:rPr>
            </w:pPr>
            <w:r>
              <w:rPr>
                <w:rFonts w:ascii="arial" w:hAnsi="arial"/>
                <w:b/>
                <w:color w:val="0071CE"/>
                <w:sz w:val="18"/>
              </w:rPr>
              <w:t>RECENT ACTIVITIES AND KEY FOCUS AREAS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Oversaw the assessment of emerging SEC disclosure requirements, including potential impacts of rules related to new and existing requirements on insider trading, share repurchases, cybersecurity, climate, human capital, clawbacks, and board diversity.</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Monitored the maturation of the Inflation Reduction Act of 2022 and oversaw its anticipated impacts on the Company as well as its financial statements, customers, and suppliers.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Reviewed the Company’s earnings releases and quarterly and annual reports, including financial statements on Forms 10-Q and 10-K prior to filing with the SEC.</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Supervised the ethics and compliance and internal audit services programs, with regular reviews and approved staffing and budgets.</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4238" w:type="dxa"/>
        <w:jc w:val="left"/>
        <w:tblInd w:w="0" w:type="dxa"/>
        <w:tblLayout w:type="fixed"/>
        <w:tblCellMar>
          <w:top w:w="0" w:type="dxa"/>
          <w:left w:w="0" w:type="dxa"/>
          <w:bottom w:w="0" w:type="dxa"/>
          <w:right w:w="0" w:type="dxa"/>
        </w:tblCellMar>
      </w:tblPr>
      <w:tblGrid>
        <w:gridCol w:w="275"/>
        <w:gridCol w:w="60"/>
        <w:gridCol w:w="192"/>
        <w:gridCol w:w="60"/>
        <w:gridCol w:w="341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24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6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2" descr=""/>
                          <pic:cNvPicPr>
                            <a:picLocks noChangeAspect="1" noChangeArrowheads="1"/>
                          </pic:cNvPicPr>
                        </pic:nvPicPr>
                        <pic:blipFill>
                          <a:blip r:embed="rId158"/>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892"/>
        <w:gridCol w:w="60"/>
        <w:gridCol w:w="309"/>
        <w:gridCol w:w="60"/>
        <w:gridCol w:w="7884"/>
      </w:tblGrid>
      <w:tr>
        <w:trPr/>
        <w:tc>
          <w:tcPr>
            <w:tcW w:w="1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84" w:type="dxa"/>
            <w:tcBorders/>
            <w:vAlign w:val="center"/>
          </w:tcPr>
          <w:p>
            <w:pPr>
              <w:pStyle w:val="TableContents"/>
              <w:bidi w:val="0"/>
              <w:spacing w:before="0" w:after="283"/>
              <w:jc w:val="left"/>
              <w:rPr>
                <w:sz w:val="4"/>
                <w:szCs w:val="4"/>
              </w:rPr>
            </w:pPr>
            <w:r>
              <w:rPr>
                <w:sz w:val="4"/>
                <w:szCs w:val="4"/>
              </w:rPr>
            </w:r>
          </w:p>
        </w:tc>
      </w:tr>
      <w:tr>
        <w:trPr/>
        <w:tc>
          <w:tcPr>
            <w:tcW w:w="1892" w:type="dxa"/>
            <w:vMerge w:val="restart"/>
            <w:tcBorders/>
            <w:vAlign w:val="center"/>
          </w:tcPr>
          <w:p>
            <w:pPr>
              <w:pStyle w:val="TableContents"/>
              <w:bidi w:val="0"/>
              <w:spacing w:before="0" w:after="0"/>
              <w:jc w:val="both"/>
              <w:rPr/>
            </w:pPr>
            <w:r>
              <w:rPr/>
              <w:drawing>
                <wp:inline distT="0" distB="0" distL="0" distR="0">
                  <wp:extent cx="74295" cy="74295"/>
                  <wp:effectExtent l="0" t="0" r="0" b="0"/>
                  <wp:docPr id="16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3" descr=""/>
                          <pic:cNvPicPr>
                            <a:picLocks noChangeAspect="1" noChangeArrowheads="1"/>
                          </pic:cNvPicPr>
                        </pic:nvPicPr>
                        <pic:blipFill>
                          <a:blip r:embed="rId159"/>
                          <a:stretch>
                            <a:fillRect/>
                          </a:stretch>
                        </pic:blipFill>
                        <pic:spPr bwMode="auto">
                          <a:xfrm>
                            <a:off x="0" y="0"/>
                            <a:ext cx="74295" cy="742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Wesley G. Bush</w:t>
            </w:r>
          </w:p>
          <w:p>
            <w:pPr>
              <w:pStyle w:val="TableContents"/>
              <w:bidi w:val="0"/>
              <w:spacing w:before="0" w:after="0"/>
              <w:jc w:val="left"/>
              <w:rPr>
                <w:rFonts w:ascii="arial" w:hAnsi="arial"/>
                <w:color w:val="3E3935"/>
                <w:sz w:val="18"/>
              </w:rPr>
            </w:pPr>
            <w:r>
              <w:rPr>
                <w:rFonts w:ascii="arial" w:hAnsi="arial"/>
                <w:color w:val="3E3935"/>
                <w:sz w:val="18"/>
              </w:rPr>
              <w:t>Chair</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Committee Members:</w:t>
            </w:r>
          </w:p>
          <w:p>
            <w:pPr>
              <w:pStyle w:val="TableContents"/>
              <w:bidi w:val="0"/>
              <w:spacing w:before="0" w:after="0"/>
              <w:jc w:val="left"/>
              <w:rPr>
                <w:rFonts w:ascii="arial" w:hAnsi="arial"/>
                <w:color w:val="3E3935"/>
                <w:sz w:val="18"/>
              </w:rPr>
            </w:pPr>
            <w:r>
              <w:rPr>
                <w:rFonts w:ascii="arial" w:hAnsi="arial"/>
                <w:color w:val="3E3935"/>
                <w:sz w:val="18"/>
              </w:rPr>
              <w:t>Aneel Bhusri</w:t>
            </w:r>
          </w:p>
          <w:p>
            <w:pPr>
              <w:pStyle w:val="TableContents"/>
              <w:bidi w:val="0"/>
              <w:spacing w:before="0" w:after="0"/>
              <w:jc w:val="left"/>
              <w:rPr>
                <w:rFonts w:ascii="arial" w:hAnsi="arial"/>
                <w:color w:val="3E3935"/>
                <w:sz w:val="18"/>
              </w:rPr>
            </w:pPr>
            <w:r>
              <w:rPr>
                <w:rFonts w:ascii="arial" w:hAnsi="arial"/>
                <w:color w:val="3E3935"/>
                <w:sz w:val="18"/>
              </w:rPr>
              <w:t>Wesley G. Bush</w:t>
            </w:r>
          </w:p>
          <w:p>
            <w:pPr>
              <w:pStyle w:val="TableContents"/>
              <w:bidi w:val="0"/>
              <w:spacing w:before="0" w:after="0"/>
              <w:jc w:val="left"/>
              <w:rPr>
                <w:rFonts w:ascii="arial" w:hAnsi="arial"/>
                <w:color w:val="3E3935"/>
                <w:sz w:val="18"/>
              </w:rPr>
            </w:pPr>
            <w:r>
              <w:rPr>
                <w:rFonts w:ascii="arial" w:hAnsi="arial"/>
                <w:color w:val="3E3935"/>
                <w:sz w:val="18"/>
              </w:rPr>
              <w:t>Joseph Jimenez</w:t>
            </w:r>
          </w:p>
          <w:p>
            <w:pPr>
              <w:pStyle w:val="TableContents"/>
              <w:bidi w:val="0"/>
              <w:spacing w:before="0" w:after="0"/>
              <w:jc w:val="left"/>
              <w:rPr>
                <w:rFonts w:ascii="arial" w:hAnsi="arial"/>
                <w:color w:val="3E3935"/>
                <w:sz w:val="18"/>
              </w:rPr>
            </w:pPr>
            <w:r>
              <w:rPr>
                <w:rFonts w:ascii="arial" w:hAnsi="arial"/>
                <w:color w:val="3E3935"/>
                <w:sz w:val="18"/>
              </w:rPr>
              <w:t>Patricia F. Russo</w:t>
            </w:r>
          </w:p>
          <w:p>
            <w:pPr>
              <w:pStyle w:val="TableContents"/>
              <w:bidi w:val="0"/>
              <w:spacing w:before="0" w:after="0"/>
              <w:jc w:val="left"/>
              <w:rPr>
                <w:rFonts w:ascii="arial" w:hAnsi="arial"/>
                <w:color w:val="3E3935"/>
                <w:sz w:val="18"/>
              </w:rPr>
            </w:pPr>
            <w:r>
              <w:rPr>
                <w:rFonts w:ascii="arial" w:hAnsi="arial"/>
                <w:color w:val="3E3935"/>
                <w:sz w:val="18"/>
              </w:rPr>
              <w:t>Devin N. Wenig</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Meetings held in 2023:</w:t>
            </w:r>
          </w:p>
          <w:p>
            <w:pPr>
              <w:pStyle w:val="TableContents"/>
              <w:bidi w:val="0"/>
              <w:spacing w:before="0" w:after="20"/>
              <w:jc w:val="left"/>
              <w:rPr>
                <w:rFonts w:ascii="arial" w:hAnsi="arial"/>
                <w:color w:val="3E3935"/>
                <w:sz w:val="18"/>
              </w:rPr>
            </w:pPr>
            <w:r>
              <w:rPr>
                <w:rFonts w:ascii="arial" w:hAnsi="arial"/>
                <w:color w:val="3E3935"/>
                <w:sz w:val="18"/>
              </w:rPr>
              <w:t>4</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0"/>
              <w:jc w:val="both"/>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884" w:type="dxa"/>
            <w:tcBorders/>
            <w:vAlign w:val="center"/>
          </w:tcPr>
          <w:p>
            <w:pPr>
              <w:pStyle w:val="TableContents"/>
              <w:bidi w:val="0"/>
              <w:spacing w:before="0" w:after="0"/>
              <w:jc w:val="left"/>
              <w:rPr>
                <w:rFonts w:ascii="arial" w:hAnsi="arial"/>
                <w:b/>
                <w:color w:val="3E3935"/>
                <w:sz w:val="30"/>
              </w:rPr>
            </w:pPr>
            <w:r>
              <w:rPr>
                <w:rFonts w:ascii="arial" w:hAnsi="arial"/>
                <w:b/>
                <w:color w:val="3E3935"/>
                <w:sz w:val="30"/>
              </w:rPr>
              <w:t>EXECUTIVE COMPENSATION</w:t>
            </w:r>
          </w:p>
          <w:p>
            <w:pPr>
              <w:pStyle w:val="TableContents"/>
              <w:bidi w:val="0"/>
              <w:spacing w:before="0" w:after="0"/>
              <w:jc w:val="left"/>
              <w:rPr/>
            </w:pPr>
            <w:r>
              <w:rPr/>
              <w:t> </w:t>
            </w:r>
          </w:p>
          <w:p>
            <w:pPr>
              <w:pStyle w:val="TableContents"/>
              <w:bidi w:val="0"/>
              <w:spacing w:before="0" w:after="0"/>
              <w:jc w:val="left"/>
              <w:rPr>
                <w:rFonts w:ascii="arial" w:hAnsi="arial"/>
                <w:b/>
                <w:color w:val="3E3935"/>
                <w:sz w:val="18"/>
              </w:rPr>
            </w:pPr>
            <w:r>
              <w:rPr>
                <w:rFonts w:ascii="arial" w:hAnsi="arial"/>
                <w:b/>
                <w:color w:val="3E3935"/>
                <w:sz w:val="18"/>
              </w:rPr>
              <w:t>Key Responsibilities: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Company’s executive compensation policies, practices, and programs;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and approves corporate goals and objectives for compensation, evaluates performance (along with the full Board), and determines compensation levels for the CEO;</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and approves compensation of NEOs, executive officers, and other senior leaders under its purview;</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compensation policies and practices so that the plans do not encourage unnecessary or excessive risk-taking; and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Company’s compensation policies and practices in an effort to promote diversity and inclusion.</w:t>
            </w:r>
          </w:p>
          <w:p>
            <w:pPr>
              <w:pStyle w:val="TableContents"/>
              <w:bidi w:val="0"/>
              <w:spacing w:before="0" w:after="20"/>
              <w:jc w:val="left"/>
              <w:rPr/>
            </w:pPr>
            <w:r>
              <w:rPr/>
              <w:t> </w:t>
            </w:r>
          </w:p>
        </w:tc>
      </w:tr>
      <w:tr>
        <w:trPr/>
        <w:tc>
          <w:tcPr>
            <w:tcW w:w="189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884" w:type="dxa"/>
            <w:tcBorders/>
            <w:shd w:fill="CCF2F8" w:val="clear"/>
            <w:vAlign w:val="center"/>
          </w:tcPr>
          <w:p>
            <w:pPr>
              <w:pStyle w:val="TableContents"/>
              <w:bidi w:val="0"/>
              <w:spacing w:lineRule="atLeast" w:line="400" w:before="0" w:after="0"/>
              <w:jc w:val="center"/>
              <w:rPr>
                <w:rFonts w:ascii="arial" w:hAnsi="arial"/>
                <w:b/>
                <w:color w:val="0071CE"/>
                <w:sz w:val="18"/>
              </w:rPr>
            </w:pPr>
            <w:r>
              <w:rPr>
                <w:rFonts w:ascii="arial" w:hAnsi="arial"/>
                <w:b/>
                <w:color w:val="0071CE"/>
                <w:sz w:val="18"/>
              </w:rPr>
              <w:t>RECENT ACTIVITIES AND KEY FOCUS AREAS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Conducted shareholder engagements to seek feedback on the Company’s oversight of succession planning and its executive compensation plans.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Performed an in-depth analysis of GM’s incentive compensation plans, resulting in adjustments to the performance measures that further align incentives to the Company’s strategic pillars, and adjustments to the structure of awards to remain competitive in acquiring the talent we need, while efficiently utilizing the shares available in the equity plan.</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In collaboration with the Audit Committee, provided oversight of the SEC’s Pay versus Performance disclosures.</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Reviewed the Company’s compensation program’s competitiveness to ensure the program continues to support talent attraction and retention, leading to the onboarding of senior leaders in key areas, including Software, Marketing, Manufacturing, Batteries, and Communications.</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01"/>
        <w:gridCol w:w="60"/>
        <w:gridCol w:w="345"/>
        <w:gridCol w:w="60"/>
        <w:gridCol w:w="7839"/>
      </w:tblGrid>
      <w:tr>
        <w:trPr/>
        <w:tc>
          <w:tcPr>
            <w:tcW w:w="1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39" w:type="dxa"/>
            <w:tcBorders/>
            <w:vAlign w:val="center"/>
          </w:tcPr>
          <w:p>
            <w:pPr>
              <w:pStyle w:val="TableContents"/>
              <w:bidi w:val="0"/>
              <w:spacing w:before="0" w:after="283"/>
              <w:jc w:val="left"/>
              <w:rPr>
                <w:sz w:val="4"/>
                <w:szCs w:val="4"/>
              </w:rPr>
            </w:pPr>
            <w:r>
              <w:rPr>
                <w:sz w:val="4"/>
                <w:szCs w:val="4"/>
              </w:rPr>
            </w:r>
          </w:p>
        </w:tc>
      </w:tr>
      <w:tr>
        <w:trPr/>
        <w:tc>
          <w:tcPr>
            <w:tcW w:w="1901" w:type="dxa"/>
            <w:vMerge w:val="restart"/>
            <w:tcBorders/>
            <w:vAlign w:val="center"/>
          </w:tcPr>
          <w:p>
            <w:pPr>
              <w:pStyle w:val="TableContents"/>
              <w:bidi w:val="0"/>
              <w:spacing w:before="0" w:after="0"/>
              <w:jc w:val="both"/>
              <w:rPr/>
            </w:pPr>
            <w:r>
              <w:rPr/>
              <w:drawing>
                <wp:inline distT="0" distB="0" distL="0" distR="0">
                  <wp:extent cx="74295" cy="74295"/>
                  <wp:effectExtent l="0" t="0" r="0" b="0"/>
                  <wp:docPr id="16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4" descr=""/>
                          <pic:cNvPicPr>
                            <a:picLocks noChangeAspect="1" noChangeArrowheads="1"/>
                          </pic:cNvPicPr>
                        </pic:nvPicPr>
                        <pic:blipFill>
                          <a:blip r:embed="rId160"/>
                          <a:stretch>
                            <a:fillRect/>
                          </a:stretch>
                        </pic:blipFill>
                        <pic:spPr bwMode="auto">
                          <a:xfrm>
                            <a:off x="0" y="0"/>
                            <a:ext cx="74295" cy="742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Joseph Jimenez</w:t>
            </w:r>
          </w:p>
          <w:p>
            <w:pPr>
              <w:pStyle w:val="TableContents"/>
              <w:bidi w:val="0"/>
              <w:spacing w:before="0" w:after="0"/>
              <w:jc w:val="left"/>
              <w:rPr>
                <w:rFonts w:ascii="arial" w:hAnsi="arial"/>
                <w:color w:val="3E3935"/>
                <w:sz w:val="18"/>
              </w:rPr>
            </w:pPr>
            <w:r>
              <w:rPr>
                <w:rFonts w:ascii="arial" w:hAnsi="arial"/>
                <w:color w:val="3E3935"/>
                <w:sz w:val="18"/>
              </w:rPr>
              <w:t>Chair</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Committee Members:</w:t>
            </w:r>
          </w:p>
          <w:p>
            <w:pPr>
              <w:pStyle w:val="TableContents"/>
              <w:bidi w:val="0"/>
              <w:spacing w:before="0" w:after="0"/>
              <w:jc w:val="left"/>
              <w:rPr>
                <w:rFonts w:ascii="arial" w:hAnsi="arial"/>
                <w:color w:val="3E3935"/>
                <w:sz w:val="18"/>
              </w:rPr>
            </w:pPr>
            <w:r>
              <w:rPr>
                <w:rFonts w:ascii="arial" w:hAnsi="arial"/>
                <w:color w:val="3E3935"/>
                <w:sz w:val="18"/>
              </w:rPr>
              <w:t>Wesley G. Bush</w:t>
            </w:r>
          </w:p>
          <w:p>
            <w:pPr>
              <w:pStyle w:val="TableContents"/>
              <w:bidi w:val="0"/>
              <w:spacing w:before="0" w:after="0"/>
              <w:jc w:val="left"/>
              <w:rPr>
                <w:rFonts w:ascii="arial" w:hAnsi="arial"/>
                <w:color w:val="3E3935"/>
                <w:sz w:val="18"/>
              </w:rPr>
            </w:pPr>
            <w:r>
              <w:rPr>
                <w:rFonts w:ascii="arial" w:hAnsi="arial"/>
                <w:color w:val="3E3935"/>
                <w:sz w:val="18"/>
              </w:rPr>
              <w:t>Joanne C. Crevoiserat</w:t>
            </w:r>
          </w:p>
          <w:p>
            <w:pPr>
              <w:pStyle w:val="TableContents"/>
              <w:bidi w:val="0"/>
              <w:spacing w:before="0" w:after="0"/>
              <w:jc w:val="left"/>
              <w:rPr>
                <w:rFonts w:ascii="arial" w:hAnsi="arial"/>
                <w:color w:val="3E3935"/>
                <w:sz w:val="18"/>
              </w:rPr>
            </w:pPr>
            <w:r>
              <w:rPr>
                <w:rFonts w:ascii="arial" w:hAnsi="arial"/>
                <w:color w:val="3E3935"/>
                <w:sz w:val="18"/>
              </w:rPr>
              <w:t>Joseph Jimenez</w:t>
            </w:r>
          </w:p>
          <w:p>
            <w:pPr>
              <w:pStyle w:val="TableContents"/>
              <w:bidi w:val="0"/>
              <w:spacing w:before="0" w:after="0"/>
              <w:jc w:val="left"/>
              <w:rPr>
                <w:rFonts w:ascii="arial" w:hAnsi="arial"/>
                <w:color w:val="3E3935"/>
                <w:sz w:val="18"/>
              </w:rPr>
            </w:pPr>
            <w:r>
              <w:rPr>
                <w:rFonts w:ascii="arial" w:hAnsi="arial"/>
                <w:color w:val="3E3935"/>
                <w:sz w:val="18"/>
              </w:rPr>
              <w:t>Judith A. Miscik</w:t>
            </w:r>
          </w:p>
          <w:p>
            <w:pPr>
              <w:pStyle w:val="TableContents"/>
              <w:bidi w:val="0"/>
              <w:spacing w:before="0" w:after="0"/>
              <w:jc w:val="left"/>
              <w:rPr>
                <w:rFonts w:ascii="arial" w:hAnsi="arial"/>
                <w:color w:val="3E3935"/>
                <w:sz w:val="18"/>
              </w:rPr>
            </w:pPr>
            <w:r>
              <w:rPr>
                <w:rFonts w:ascii="arial" w:hAnsi="arial"/>
                <w:color w:val="3E3935"/>
                <w:sz w:val="18"/>
              </w:rPr>
              <w:t>Patricia F. Russo</w:t>
            </w:r>
          </w:p>
          <w:p>
            <w:pPr>
              <w:pStyle w:val="TableContents"/>
              <w:bidi w:val="0"/>
              <w:spacing w:before="0" w:after="0"/>
              <w:jc w:val="left"/>
              <w:rPr>
                <w:rFonts w:ascii="arial" w:hAnsi="arial"/>
                <w:color w:val="3E3935"/>
                <w:sz w:val="18"/>
              </w:rPr>
            </w:pPr>
            <w:r>
              <w:rPr>
                <w:rFonts w:ascii="arial" w:hAnsi="arial"/>
                <w:color w:val="3E3935"/>
                <w:sz w:val="18"/>
              </w:rPr>
              <w:t>Thomas M. Schoewe</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Meetings held in 2023:</w:t>
            </w:r>
          </w:p>
          <w:p>
            <w:pPr>
              <w:pStyle w:val="TableContents"/>
              <w:bidi w:val="0"/>
              <w:spacing w:before="0" w:after="20"/>
              <w:jc w:val="left"/>
              <w:rPr>
                <w:rFonts w:ascii="arial" w:hAnsi="arial"/>
                <w:color w:val="3E3935"/>
                <w:sz w:val="18"/>
              </w:rPr>
            </w:pPr>
            <w:r>
              <w:rPr>
                <w:rFonts w:ascii="arial" w:hAnsi="arial"/>
                <w:color w:val="3E3935"/>
                <w:sz w:val="18"/>
              </w:rPr>
              <w:t>5</w:t>
            </w:r>
          </w:p>
        </w:tc>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both"/>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839" w:type="dxa"/>
            <w:tcBorders/>
            <w:vAlign w:val="center"/>
          </w:tcPr>
          <w:p>
            <w:pPr>
              <w:pStyle w:val="TableContents"/>
              <w:bidi w:val="0"/>
              <w:spacing w:before="0" w:after="0"/>
              <w:jc w:val="left"/>
              <w:rPr>
                <w:rFonts w:ascii="arial" w:hAnsi="arial"/>
                <w:b/>
                <w:color w:val="3E3935"/>
                <w:sz w:val="30"/>
              </w:rPr>
            </w:pPr>
            <w:r>
              <w:rPr>
                <w:rFonts w:ascii="arial" w:hAnsi="arial"/>
                <w:b/>
                <w:color w:val="3E3935"/>
                <w:sz w:val="30"/>
              </w:rPr>
              <w:t>FINANCE</w:t>
            </w:r>
          </w:p>
          <w:p>
            <w:pPr>
              <w:pStyle w:val="TableContents"/>
              <w:bidi w:val="0"/>
              <w:spacing w:before="0" w:after="0"/>
              <w:jc w:val="left"/>
              <w:rPr/>
            </w:pPr>
            <w:r>
              <w:rPr/>
              <w:t> </w:t>
            </w:r>
          </w:p>
          <w:p>
            <w:pPr>
              <w:pStyle w:val="TableContents"/>
              <w:bidi w:val="0"/>
              <w:spacing w:before="0" w:after="0"/>
              <w:jc w:val="left"/>
              <w:rPr>
                <w:rFonts w:ascii="arial" w:hAnsi="arial"/>
                <w:b/>
                <w:color w:val="3E3935"/>
                <w:sz w:val="18"/>
              </w:rPr>
            </w:pPr>
            <w:r>
              <w:rPr>
                <w:rFonts w:ascii="arial" w:hAnsi="arial"/>
                <w:b/>
                <w:color w:val="3E3935"/>
                <w:sz w:val="18"/>
              </w:rPr>
              <w:t>Key Responsibilities: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financial policies, strategies, and capital structure;</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Company’s cash management policies and proposed capital allocation plans, capital expenditures, dividend actions, stock repurchase programs, issuances of debt or equity securities, and credit facility and other borrowings;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any significant financial exposures and risks, including foreign exchange, interest rate, and commodities exposures, and the use of derivatives to hedge those exposures;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regulatory compliance, administration, financing, investment performance, risk and liability profile, and funding of the Company’s pension obligations; and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any strategic investments and similar transactions, including investments in our battery supply chain.</w:t>
            </w:r>
          </w:p>
          <w:p>
            <w:pPr>
              <w:pStyle w:val="TableContents"/>
              <w:bidi w:val="0"/>
              <w:spacing w:before="0" w:after="20"/>
              <w:jc w:val="left"/>
              <w:rPr/>
            </w:pPr>
            <w:r>
              <w:rPr/>
              <w:t> </w:t>
            </w:r>
          </w:p>
        </w:tc>
      </w:tr>
      <w:tr>
        <w:trPr/>
        <w:tc>
          <w:tcPr>
            <w:tcW w:w="190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839" w:type="dxa"/>
            <w:tcBorders/>
            <w:shd w:fill="CCF2F8" w:val="clear"/>
            <w:vAlign w:val="center"/>
          </w:tcPr>
          <w:p>
            <w:pPr>
              <w:pStyle w:val="TableContents"/>
              <w:bidi w:val="0"/>
              <w:spacing w:lineRule="atLeast" w:line="400" w:before="0" w:after="0"/>
              <w:jc w:val="center"/>
              <w:rPr>
                <w:rFonts w:ascii="arial" w:hAnsi="arial"/>
                <w:b/>
                <w:color w:val="0071CE"/>
                <w:sz w:val="18"/>
              </w:rPr>
            </w:pPr>
            <w:r>
              <w:rPr>
                <w:rFonts w:ascii="arial" w:hAnsi="arial"/>
                <w:b/>
                <w:color w:val="0071CE"/>
                <w:sz w:val="18"/>
              </w:rPr>
              <w:t>RECENT ACTIVITIES AND KEY FOCUS AREAS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Reviewed the Company’s capital allocation framework and recommended the Board approve a $10 billion accelerated share repurchase program in Q4 2023 and a 33% increase to the Company’s quarterly dividend starting in Q1 2024.</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Regularly reviewed the financial performance of the Company’s ICE and EV portfolios and monitored progress on EV sales and program profitability.</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Supported the Company’s battery raw material strategy, which included review of strategic transactions that diversified the supply chain and enhanced resiliency.</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Oversaw the Company’s long-term plan and monitored efforts to create structural cost savings and fixed cost reduction.</w:t>
            </w:r>
          </w:p>
        </w:tc>
      </w:tr>
    </w:tbl>
    <w:p>
      <w:pPr>
        <w:pStyle w:val="TextBody"/>
        <w:bidi w:val="0"/>
        <w:spacing w:before="0" w:after="0"/>
        <w:jc w:val="left"/>
        <w:rPr/>
      </w:pPr>
      <w:r>
        <w:rPr/>
        <w:t> </w:t>
      </w:r>
    </w:p>
    <w:tbl>
      <w:tblPr>
        <w:tblW w:w="6421" w:type="dxa"/>
        <w:jc w:val="left"/>
        <w:tblInd w:w="0" w:type="dxa"/>
        <w:tblLayout w:type="fixed"/>
        <w:tblCellMar>
          <w:top w:w="0" w:type="dxa"/>
          <w:left w:w="0" w:type="dxa"/>
          <w:bottom w:w="0" w:type="dxa"/>
          <w:right w:w="0" w:type="dxa"/>
        </w:tblCellMar>
      </w:tblPr>
      <w:tblGrid>
        <w:gridCol w:w="38"/>
        <w:gridCol w:w="60"/>
        <w:gridCol w:w="23"/>
        <w:gridCol w:w="60"/>
        <w:gridCol w:w="341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25</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903"/>
        <w:gridCol w:w="60"/>
        <w:gridCol w:w="355"/>
        <w:gridCol w:w="60"/>
        <w:gridCol w:w="7827"/>
      </w:tblGrid>
      <w:tr>
        <w:trPr/>
        <w:tc>
          <w:tcPr>
            <w:tcW w:w="19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27" w:type="dxa"/>
            <w:tcBorders/>
            <w:vAlign w:val="center"/>
          </w:tcPr>
          <w:p>
            <w:pPr>
              <w:pStyle w:val="TableContents"/>
              <w:bidi w:val="0"/>
              <w:spacing w:before="0" w:after="283"/>
              <w:jc w:val="left"/>
              <w:rPr>
                <w:sz w:val="4"/>
                <w:szCs w:val="4"/>
              </w:rPr>
            </w:pPr>
            <w:r>
              <w:rPr>
                <w:sz w:val="4"/>
                <w:szCs w:val="4"/>
              </w:rPr>
            </w:r>
          </w:p>
        </w:tc>
      </w:tr>
      <w:tr>
        <w:trPr/>
        <w:tc>
          <w:tcPr>
            <w:tcW w:w="1903" w:type="dxa"/>
            <w:vMerge w:val="restart"/>
            <w:tcBorders/>
            <w:vAlign w:val="center"/>
          </w:tcPr>
          <w:p>
            <w:pPr>
              <w:pStyle w:val="TableContents"/>
              <w:bidi w:val="0"/>
              <w:spacing w:before="0" w:after="0"/>
              <w:jc w:val="both"/>
              <w:rPr/>
            </w:pPr>
            <w:r>
              <w:rPr/>
              <w:drawing>
                <wp:inline distT="0" distB="0" distL="0" distR="0">
                  <wp:extent cx="74295" cy="74295"/>
                  <wp:effectExtent l="0" t="0" r="0" b="0"/>
                  <wp:docPr id="16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5" descr=""/>
                          <pic:cNvPicPr>
                            <a:picLocks noChangeAspect="1" noChangeArrowheads="1"/>
                          </pic:cNvPicPr>
                        </pic:nvPicPr>
                        <pic:blipFill>
                          <a:blip r:embed="rId161"/>
                          <a:stretch>
                            <a:fillRect/>
                          </a:stretch>
                        </pic:blipFill>
                        <pic:spPr bwMode="auto">
                          <a:xfrm>
                            <a:off x="0" y="0"/>
                            <a:ext cx="74295" cy="742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Patricia F. Russo</w:t>
            </w:r>
          </w:p>
          <w:p>
            <w:pPr>
              <w:pStyle w:val="TableContents"/>
              <w:bidi w:val="0"/>
              <w:spacing w:before="0" w:after="0"/>
              <w:jc w:val="left"/>
              <w:rPr>
                <w:rFonts w:ascii="arial" w:hAnsi="arial"/>
                <w:color w:val="3E3935"/>
                <w:sz w:val="18"/>
              </w:rPr>
            </w:pPr>
            <w:r>
              <w:rPr>
                <w:rFonts w:ascii="arial" w:hAnsi="arial"/>
                <w:color w:val="3E3935"/>
                <w:sz w:val="18"/>
              </w:rPr>
              <w:t>Chair</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Committee Members:</w:t>
            </w:r>
          </w:p>
          <w:p>
            <w:pPr>
              <w:pStyle w:val="TableContents"/>
              <w:bidi w:val="0"/>
              <w:spacing w:before="0" w:after="0"/>
              <w:jc w:val="left"/>
              <w:rPr>
                <w:rFonts w:ascii="arial" w:hAnsi="arial"/>
                <w:color w:val="3E3935"/>
                <w:sz w:val="18"/>
              </w:rPr>
            </w:pPr>
            <w:r>
              <w:rPr>
                <w:rFonts w:ascii="arial" w:hAnsi="arial"/>
                <w:color w:val="3E3935"/>
                <w:sz w:val="18"/>
              </w:rPr>
              <w:t>Aneel Bhusri</w:t>
            </w:r>
          </w:p>
          <w:p>
            <w:pPr>
              <w:pStyle w:val="TableContents"/>
              <w:bidi w:val="0"/>
              <w:spacing w:before="0" w:after="0"/>
              <w:jc w:val="left"/>
              <w:rPr>
                <w:rFonts w:ascii="arial" w:hAnsi="arial"/>
                <w:color w:val="3E3935"/>
                <w:sz w:val="18"/>
              </w:rPr>
            </w:pPr>
            <w:r>
              <w:rPr>
                <w:rFonts w:ascii="arial" w:hAnsi="arial"/>
                <w:color w:val="3E3935"/>
                <w:sz w:val="18"/>
              </w:rPr>
              <w:t>Joanne C. Crevoiserat</w:t>
            </w:r>
          </w:p>
          <w:p>
            <w:pPr>
              <w:pStyle w:val="TableContents"/>
              <w:bidi w:val="0"/>
              <w:spacing w:before="0" w:after="0"/>
              <w:jc w:val="left"/>
              <w:rPr>
                <w:rFonts w:ascii="arial" w:hAnsi="arial"/>
                <w:color w:val="3E3935"/>
                <w:sz w:val="18"/>
              </w:rPr>
            </w:pPr>
            <w:r>
              <w:rPr>
                <w:rFonts w:ascii="arial" w:hAnsi="arial"/>
                <w:color w:val="3E3935"/>
                <w:sz w:val="18"/>
              </w:rPr>
              <w:t>Jon McNeill</w:t>
            </w:r>
          </w:p>
          <w:p>
            <w:pPr>
              <w:pStyle w:val="TableContents"/>
              <w:bidi w:val="0"/>
              <w:spacing w:before="0" w:after="0"/>
              <w:jc w:val="left"/>
              <w:rPr>
                <w:rFonts w:ascii="arial" w:hAnsi="arial"/>
                <w:color w:val="3E3935"/>
                <w:sz w:val="18"/>
              </w:rPr>
            </w:pPr>
            <w:r>
              <w:rPr>
                <w:rFonts w:ascii="arial" w:hAnsi="arial"/>
                <w:color w:val="3E3935"/>
                <w:sz w:val="18"/>
              </w:rPr>
              <w:t>Patricia F. Russo</w:t>
            </w:r>
          </w:p>
          <w:p>
            <w:pPr>
              <w:pStyle w:val="TableContents"/>
              <w:bidi w:val="0"/>
              <w:spacing w:before="0" w:after="0"/>
              <w:jc w:val="left"/>
              <w:rPr>
                <w:rFonts w:ascii="arial" w:hAnsi="arial"/>
                <w:color w:val="3E3935"/>
                <w:sz w:val="18"/>
              </w:rPr>
            </w:pPr>
            <w:r>
              <w:rPr>
                <w:rFonts w:ascii="arial" w:hAnsi="arial"/>
                <w:color w:val="3E3935"/>
                <w:sz w:val="18"/>
              </w:rPr>
              <w:t>Mark A. Tatum</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Meetings held in 2023:</w:t>
            </w:r>
          </w:p>
          <w:p>
            <w:pPr>
              <w:pStyle w:val="TableContents"/>
              <w:bidi w:val="0"/>
              <w:spacing w:before="0" w:after="20"/>
              <w:jc w:val="left"/>
              <w:rPr>
                <w:rFonts w:ascii="arial" w:hAnsi="arial"/>
                <w:color w:val="3E3935"/>
                <w:sz w:val="18"/>
              </w:rPr>
            </w:pPr>
            <w:r>
              <w:rPr>
                <w:rFonts w:ascii="arial" w:hAnsi="arial"/>
                <w:color w:val="3E3935"/>
                <w:sz w:val="18"/>
              </w:rPr>
              <w:t>4</w:t>
            </w:r>
          </w:p>
        </w:tc>
        <w:tc>
          <w:tcPr>
            <w:tcW w:w="6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both"/>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827" w:type="dxa"/>
            <w:tcBorders/>
            <w:vAlign w:val="center"/>
          </w:tcPr>
          <w:p>
            <w:pPr>
              <w:pStyle w:val="TableContents"/>
              <w:bidi w:val="0"/>
              <w:spacing w:before="0" w:after="0"/>
              <w:jc w:val="left"/>
              <w:rPr>
                <w:rFonts w:ascii="arial" w:hAnsi="arial"/>
                <w:b/>
                <w:color w:val="3E3935"/>
                <w:sz w:val="30"/>
              </w:rPr>
            </w:pPr>
            <w:r>
              <w:rPr>
                <w:rFonts w:ascii="arial" w:hAnsi="arial"/>
                <w:b/>
                <w:color w:val="3E3935"/>
                <w:sz w:val="30"/>
              </w:rPr>
              <w:t>GOVERNANCE AND CORPORATE RESPONSIBILITY</w:t>
            </w:r>
          </w:p>
          <w:p>
            <w:pPr>
              <w:pStyle w:val="TableContents"/>
              <w:bidi w:val="0"/>
              <w:spacing w:before="0" w:after="0"/>
              <w:jc w:val="left"/>
              <w:rPr/>
            </w:pPr>
            <w:r>
              <w:rPr/>
              <w:t> </w:t>
            </w:r>
          </w:p>
          <w:p>
            <w:pPr>
              <w:pStyle w:val="TableContents"/>
              <w:bidi w:val="0"/>
              <w:spacing w:before="0" w:after="0"/>
              <w:jc w:val="left"/>
              <w:rPr>
                <w:rFonts w:ascii="arial" w:hAnsi="arial"/>
                <w:b/>
                <w:color w:val="3E3935"/>
                <w:sz w:val="18"/>
              </w:rPr>
            </w:pPr>
            <w:r>
              <w:rPr>
                <w:rFonts w:ascii="arial" w:hAnsi="arial"/>
                <w:b/>
                <w:color w:val="3E3935"/>
                <w:sz w:val="18"/>
              </w:rPr>
              <w:t>Key Responsibilities: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Company’s corporate governance framework, including all significant governance policies and procedures;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Monitors Company policies and strategies related to corporate responsibility, sustainability, and political contributions and lobbying activities;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appropriate composition of the Board and recommends director nominees;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Monitors the self-evaluation process of the Board and committees;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Recommends compensation of non-employee directors to the Board;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and approves, in consultation with the Audit Committee, the Company’s annual Sustainability Report; and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and approves related party transactions and any potential director conflicts of interest, as applicable.</w:t>
            </w:r>
          </w:p>
          <w:p>
            <w:pPr>
              <w:pStyle w:val="TableContents"/>
              <w:bidi w:val="0"/>
              <w:spacing w:before="0" w:after="20"/>
              <w:jc w:val="left"/>
              <w:rPr/>
            </w:pPr>
            <w:r>
              <w:rPr/>
              <w:t> </w:t>
            </w:r>
          </w:p>
        </w:tc>
      </w:tr>
      <w:tr>
        <w:trPr/>
        <w:tc>
          <w:tcPr>
            <w:tcW w:w="190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827" w:type="dxa"/>
            <w:tcBorders/>
            <w:shd w:fill="CCF2F8" w:val="clear"/>
            <w:vAlign w:val="center"/>
          </w:tcPr>
          <w:p>
            <w:pPr>
              <w:pStyle w:val="TableContents"/>
              <w:bidi w:val="0"/>
              <w:spacing w:lineRule="atLeast" w:line="400" w:before="0" w:after="0"/>
              <w:jc w:val="center"/>
              <w:rPr>
                <w:rFonts w:ascii="arial" w:hAnsi="arial"/>
                <w:b/>
                <w:color w:val="0071CE"/>
                <w:sz w:val="18"/>
              </w:rPr>
            </w:pPr>
            <w:r>
              <w:rPr>
                <w:rFonts w:ascii="arial" w:hAnsi="arial"/>
                <w:b/>
                <w:color w:val="0071CE"/>
                <w:sz w:val="18"/>
              </w:rPr>
              <w:t>RECENT ACTIVITIES AND KEY FOCUS AREAS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Led the Board’s continuous succession planning process, including the refreshment of Committee assignments, which ensures the successful transition of institutional knowledge.</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Recommended and oversaw implementation of “best practice” corporate governance initiatives, including reducing the Company’s threshold to call a special meeting to 15%.</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Received regular updates on various aspects of the Company’s public policy advocacy workstreams and monitored the Company’s Political Action Committee priorities and its lobbying spend.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Continued oversight of the Company’s sustainability strategy and monitored progress on certain key sustainability goals, including those related to emission reductions and energy efficiency.</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Oversaw the shareholder engagement program, which facilitated important feedback to the Board regarding sustainability, governance, and executive compensation issues.</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5"/>
        <w:gridCol w:w="60"/>
        <w:gridCol w:w="322"/>
        <w:gridCol w:w="60"/>
        <w:gridCol w:w="7868"/>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68" w:type="dxa"/>
            <w:tcBorders/>
            <w:vAlign w:val="center"/>
          </w:tcPr>
          <w:p>
            <w:pPr>
              <w:pStyle w:val="TableContents"/>
              <w:bidi w:val="0"/>
              <w:spacing w:before="0" w:after="283"/>
              <w:jc w:val="left"/>
              <w:rPr>
                <w:sz w:val="4"/>
                <w:szCs w:val="4"/>
              </w:rPr>
            </w:pPr>
            <w:r>
              <w:rPr>
                <w:sz w:val="4"/>
                <w:szCs w:val="4"/>
              </w:rPr>
            </w:r>
          </w:p>
        </w:tc>
      </w:tr>
      <w:tr>
        <w:trPr/>
        <w:tc>
          <w:tcPr>
            <w:tcW w:w="1895" w:type="dxa"/>
            <w:vMerge w:val="restart"/>
            <w:tcBorders/>
            <w:vAlign w:val="center"/>
          </w:tcPr>
          <w:p>
            <w:pPr>
              <w:pStyle w:val="TableContents"/>
              <w:bidi w:val="0"/>
              <w:spacing w:before="0" w:after="0"/>
              <w:jc w:val="both"/>
              <w:rPr/>
            </w:pPr>
            <w:r>
              <w:rPr/>
              <w:drawing>
                <wp:inline distT="0" distB="0" distL="0" distR="0">
                  <wp:extent cx="74295" cy="74295"/>
                  <wp:effectExtent l="0" t="0" r="0" b="0"/>
                  <wp:docPr id="16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6" descr=""/>
                          <pic:cNvPicPr>
                            <a:picLocks noChangeAspect="1" noChangeArrowheads="1"/>
                          </pic:cNvPicPr>
                        </pic:nvPicPr>
                        <pic:blipFill>
                          <a:blip r:embed="rId162"/>
                          <a:stretch>
                            <a:fillRect/>
                          </a:stretch>
                        </pic:blipFill>
                        <pic:spPr bwMode="auto">
                          <a:xfrm>
                            <a:off x="0" y="0"/>
                            <a:ext cx="74295" cy="742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Linda R. Gooden</w:t>
            </w:r>
          </w:p>
          <w:p>
            <w:pPr>
              <w:pStyle w:val="TableContents"/>
              <w:bidi w:val="0"/>
              <w:spacing w:before="0" w:after="0"/>
              <w:jc w:val="left"/>
              <w:rPr>
                <w:rFonts w:ascii="arial" w:hAnsi="arial"/>
                <w:color w:val="3E3935"/>
                <w:sz w:val="18"/>
              </w:rPr>
            </w:pPr>
            <w:r>
              <w:rPr>
                <w:rFonts w:ascii="arial" w:hAnsi="arial"/>
                <w:color w:val="3E3935"/>
                <w:sz w:val="18"/>
              </w:rPr>
              <w:t>Chair</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Committee Members:</w:t>
            </w:r>
          </w:p>
          <w:p>
            <w:pPr>
              <w:pStyle w:val="TableContents"/>
              <w:bidi w:val="0"/>
              <w:spacing w:before="0" w:after="0"/>
              <w:jc w:val="left"/>
              <w:rPr>
                <w:rFonts w:ascii="arial" w:hAnsi="arial"/>
                <w:color w:val="3E3935"/>
                <w:sz w:val="18"/>
              </w:rPr>
            </w:pPr>
            <w:r>
              <w:rPr>
                <w:rFonts w:ascii="arial" w:hAnsi="arial"/>
                <w:color w:val="3E3935"/>
                <w:sz w:val="18"/>
              </w:rPr>
              <w:t>Linda R. Gooden</w:t>
            </w:r>
          </w:p>
          <w:p>
            <w:pPr>
              <w:pStyle w:val="TableContents"/>
              <w:bidi w:val="0"/>
              <w:spacing w:before="0" w:after="0"/>
              <w:jc w:val="left"/>
              <w:rPr>
                <w:rFonts w:ascii="arial" w:hAnsi="arial"/>
                <w:color w:val="3E3935"/>
                <w:sz w:val="18"/>
              </w:rPr>
            </w:pPr>
            <w:r>
              <w:rPr>
                <w:rFonts w:ascii="arial" w:hAnsi="arial"/>
                <w:color w:val="3E3935"/>
                <w:sz w:val="18"/>
              </w:rPr>
              <w:t>Joseph Jimenez</w:t>
            </w:r>
          </w:p>
          <w:p>
            <w:pPr>
              <w:pStyle w:val="TableContents"/>
              <w:bidi w:val="0"/>
              <w:spacing w:before="0" w:after="0"/>
              <w:jc w:val="left"/>
              <w:rPr>
                <w:rFonts w:ascii="arial" w:hAnsi="arial"/>
                <w:color w:val="3E3935"/>
                <w:sz w:val="18"/>
              </w:rPr>
            </w:pPr>
            <w:r>
              <w:rPr>
                <w:rFonts w:ascii="arial" w:hAnsi="arial"/>
                <w:color w:val="3E3935"/>
                <w:sz w:val="18"/>
              </w:rPr>
              <w:t>Judith A. Miscik</w:t>
            </w:r>
          </w:p>
          <w:p>
            <w:pPr>
              <w:pStyle w:val="TableContents"/>
              <w:bidi w:val="0"/>
              <w:spacing w:before="0" w:after="0"/>
              <w:jc w:val="left"/>
              <w:rPr>
                <w:rFonts w:ascii="arial" w:hAnsi="arial"/>
                <w:color w:val="3E3935"/>
                <w:sz w:val="18"/>
              </w:rPr>
            </w:pPr>
            <w:r>
              <w:rPr>
                <w:rFonts w:ascii="arial" w:hAnsi="arial"/>
                <w:color w:val="3E3935"/>
                <w:sz w:val="18"/>
              </w:rPr>
              <w:t>Thomas M. Schoewe</w:t>
            </w:r>
          </w:p>
          <w:p>
            <w:pPr>
              <w:pStyle w:val="TableContents"/>
              <w:bidi w:val="0"/>
              <w:spacing w:before="0" w:after="0"/>
              <w:jc w:val="left"/>
              <w:rPr>
                <w:rFonts w:ascii="arial" w:hAnsi="arial"/>
                <w:color w:val="3E3935"/>
                <w:sz w:val="18"/>
              </w:rPr>
            </w:pPr>
            <w:r>
              <w:rPr>
                <w:rFonts w:ascii="arial" w:hAnsi="arial"/>
                <w:color w:val="3E3935"/>
                <w:sz w:val="18"/>
              </w:rPr>
              <w:t>Jan E. Tighe</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Meetings held in 2023:</w:t>
            </w:r>
          </w:p>
          <w:p>
            <w:pPr>
              <w:pStyle w:val="TableContents"/>
              <w:bidi w:val="0"/>
              <w:spacing w:before="0" w:after="20"/>
              <w:jc w:val="left"/>
              <w:rPr>
                <w:rFonts w:ascii="arial" w:hAnsi="arial"/>
                <w:color w:val="3E3935"/>
                <w:sz w:val="18"/>
              </w:rPr>
            </w:pPr>
            <w:r>
              <w:rPr>
                <w:rFonts w:ascii="arial" w:hAnsi="arial"/>
                <w:color w:val="3E3935"/>
                <w:sz w:val="18"/>
              </w:rPr>
              <w:t>3</w:t>
            </w:r>
          </w:p>
        </w:tc>
        <w:tc>
          <w:tcPr>
            <w:tcW w:w="6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both"/>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868" w:type="dxa"/>
            <w:tcBorders/>
            <w:vAlign w:val="center"/>
          </w:tcPr>
          <w:p>
            <w:pPr>
              <w:pStyle w:val="TableContents"/>
              <w:bidi w:val="0"/>
              <w:spacing w:before="0" w:after="0"/>
              <w:jc w:val="left"/>
              <w:rPr>
                <w:rFonts w:ascii="arial" w:hAnsi="arial"/>
                <w:b/>
                <w:color w:val="3E3935"/>
                <w:sz w:val="30"/>
              </w:rPr>
            </w:pPr>
            <w:r>
              <w:rPr>
                <w:rFonts w:ascii="arial" w:hAnsi="arial"/>
                <w:b/>
                <w:color w:val="3E3935"/>
                <w:sz w:val="30"/>
              </w:rPr>
              <w:t>RISK AND CYBERSECURITY</w:t>
            </w:r>
          </w:p>
          <w:p>
            <w:pPr>
              <w:pStyle w:val="TableContents"/>
              <w:bidi w:val="0"/>
              <w:spacing w:before="0" w:after="0"/>
              <w:jc w:val="left"/>
              <w:rPr/>
            </w:pPr>
            <w:r>
              <w:rPr/>
              <w:t> </w:t>
            </w:r>
          </w:p>
          <w:p>
            <w:pPr>
              <w:pStyle w:val="TableContents"/>
              <w:bidi w:val="0"/>
              <w:spacing w:before="0" w:after="0"/>
              <w:jc w:val="left"/>
              <w:rPr>
                <w:rFonts w:ascii="arial" w:hAnsi="arial"/>
                <w:b/>
                <w:color w:val="3E3935"/>
                <w:sz w:val="18"/>
              </w:rPr>
            </w:pPr>
            <w:r>
              <w:rPr>
                <w:rFonts w:ascii="arial" w:hAnsi="arial"/>
                <w:b/>
                <w:color w:val="3E3935"/>
                <w:sz w:val="18"/>
              </w:rPr>
              <w:t>Key Responsibilities: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Company’s key strategic, enterprise, and cybersecurity and privacy risks;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Company’s risk management framework and management’s implementation of risk policies, procedures, and governance to assess their effectiveness;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management’s evaluation of strategic and operating risks, including risk concentrations, product safety, quarterly information security reports, mitigating measures, and the types and levels of risk that are acceptable in the pursuit and protection of shareholder value; and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Company’s risk culture, including the integration of risk management into the Company’s behaviors, decision-making, and processes.</w:t>
            </w:r>
          </w:p>
          <w:p>
            <w:pPr>
              <w:pStyle w:val="TableContents"/>
              <w:bidi w:val="0"/>
              <w:spacing w:before="0" w:after="20"/>
              <w:jc w:val="left"/>
              <w:rPr/>
            </w:pPr>
            <w:r>
              <w:rPr/>
              <w:t> </w:t>
            </w:r>
          </w:p>
        </w:tc>
      </w:tr>
      <w:tr>
        <w:trPr/>
        <w:tc>
          <w:tcPr>
            <w:tcW w:w="18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868" w:type="dxa"/>
            <w:tcBorders/>
            <w:shd w:fill="CCF2F8" w:val="clear"/>
            <w:vAlign w:val="center"/>
          </w:tcPr>
          <w:p>
            <w:pPr>
              <w:pStyle w:val="TableContents"/>
              <w:bidi w:val="0"/>
              <w:spacing w:lineRule="atLeast" w:line="400" w:before="0" w:after="0"/>
              <w:jc w:val="center"/>
              <w:rPr>
                <w:rFonts w:ascii="arial" w:hAnsi="arial"/>
                <w:b/>
                <w:color w:val="0071CE"/>
                <w:sz w:val="18"/>
              </w:rPr>
            </w:pPr>
            <w:r>
              <w:rPr>
                <w:rFonts w:ascii="arial" w:hAnsi="arial"/>
                <w:b/>
                <w:color w:val="0071CE"/>
                <w:sz w:val="18"/>
              </w:rPr>
              <w:t>RECENT ACTIVITIES AND KEY FOCUS AREAS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Conducted reviews of key enterprise risks, including product safety, regulatory, and electric grid reliability and identified focus areas for further monitoring in 2024.</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Approved the Company’s 2024 cybersecurity budget and oversaw preparation for, and implementation of, the SEC’s new cybersecurity reporting rules.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Evaluated emerging public policy, geopolitical and region-specific risks and reviewed mitigating actions taken by management to protect shareholder value.</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Regularly reviewed the Company’s cybersecurity maturity scorecard and conducted reviews of Company preparedness, including with respect to 5G technology and “zero trust.”</w:t>
            </w:r>
          </w:p>
        </w:tc>
      </w:tr>
    </w:tbl>
    <w:p>
      <w:pPr>
        <w:pStyle w:val="TextBody"/>
        <w:bidi w:val="0"/>
        <w:spacing w:before="0" w:after="0"/>
        <w:jc w:val="left"/>
        <w:rPr/>
      </w:pPr>
      <w:r>
        <w:rPr/>
        <w:t> </w:t>
      </w:r>
    </w:p>
    <w:p>
      <w:pPr>
        <w:pStyle w:val="TextBody"/>
        <w:bidi w:val="0"/>
        <w:spacing w:before="0" w:after="0"/>
        <w:jc w:val="left"/>
        <w:rPr/>
      </w:pPr>
      <w:r>
        <w:rPr/>
        <w:t> </w:t>
      </w:r>
    </w:p>
    <w:tbl>
      <w:tblPr>
        <w:tblW w:w="4238" w:type="dxa"/>
        <w:jc w:val="left"/>
        <w:tblInd w:w="0" w:type="dxa"/>
        <w:tblLayout w:type="fixed"/>
        <w:tblCellMar>
          <w:top w:w="0" w:type="dxa"/>
          <w:left w:w="0" w:type="dxa"/>
          <w:bottom w:w="0" w:type="dxa"/>
          <w:right w:w="0" w:type="dxa"/>
        </w:tblCellMar>
      </w:tblPr>
      <w:tblGrid>
        <w:gridCol w:w="275"/>
        <w:gridCol w:w="60"/>
        <w:gridCol w:w="192"/>
        <w:gridCol w:w="60"/>
        <w:gridCol w:w="341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26</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6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7" descr=""/>
                          <pic:cNvPicPr>
                            <a:picLocks noChangeAspect="1" noChangeArrowheads="1"/>
                          </pic:cNvPicPr>
                        </pic:nvPicPr>
                        <pic:blipFill>
                          <a:blip r:embed="rId163"/>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0"/>
        <w:gridCol w:w="60"/>
        <w:gridCol w:w="420"/>
        <w:gridCol w:w="60"/>
        <w:gridCol w:w="7745"/>
      </w:tblGrid>
      <w:tr>
        <w:trPr/>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1920" w:type="dxa"/>
            <w:tcBorders/>
            <w:vAlign w:val="center"/>
          </w:tcPr>
          <w:p>
            <w:pPr>
              <w:pStyle w:val="TableContents"/>
              <w:bidi w:val="0"/>
              <w:spacing w:before="0" w:after="0"/>
              <w:jc w:val="both"/>
              <w:rPr/>
            </w:pPr>
            <w:r>
              <w:rPr/>
              <w:drawing>
                <wp:inline distT="0" distB="0" distL="0" distR="0">
                  <wp:extent cx="74295" cy="74295"/>
                  <wp:effectExtent l="0" t="0" r="0" b="0"/>
                  <wp:docPr id="16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8" descr=""/>
                          <pic:cNvPicPr>
                            <a:picLocks noChangeAspect="1" noChangeArrowheads="1"/>
                          </pic:cNvPicPr>
                        </pic:nvPicPr>
                        <pic:blipFill>
                          <a:blip r:embed="rId164"/>
                          <a:stretch>
                            <a:fillRect/>
                          </a:stretch>
                        </pic:blipFill>
                        <pic:spPr bwMode="auto">
                          <a:xfrm>
                            <a:off x="0" y="0"/>
                            <a:ext cx="74295" cy="742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3E3935"/>
                <w:sz w:val="18"/>
              </w:rPr>
            </w:pPr>
            <w:r>
              <w:rPr>
                <w:rFonts w:ascii="arial" w:hAnsi="arial"/>
                <w:color w:val="3E3935"/>
                <w:sz w:val="18"/>
              </w:rPr>
              <w:t>Mary T. Barra</w:t>
            </w:r>
          </w:p>
          <w:p>
            <w:pPr>
              <w:pStyle w:val="TableContents"/>
              <w:bidi w:val="0"/>
              <w:spacing w:before="0" w:after="0"/>
              <w:jc w:val="left"/>
              <w:rPr>
                <w:rFonts w:ascii="arial" w:hAnsi="arial"/>
                <w:color w:val="3E3935"/>
                <w:sz w:val="18"/>
              </w:rPr>
            </w:pPr>
            <w:r>
              <w:rPr>
                <w:rFonts w:ascii="arial" w:hAnsi="arial"/>
                <w:color w:val="3E3935"/>
                <w:sz w:val="18"/>
              </w:rPr>
              <w:t>Chair</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Committee Members:</w:t>
            </w:r>
          </w:p>
          <w:p>
            <w:pPr>
              <w:pStyle w:val="TableContents"/>
              <w:bidi w:val="0"/>
              <w:spacing w:before="0" w:after="0"/>
              <w:jc w:val="left"/>
              <w:rPr>
                <w:rFonts w:ascii="arial" w:hAnsi="arial"/>
                <w:color w:val="3E3935"/>
                <w:sz w:val="18"/>
              </w:rPr>
            </w:pPr>
            <w:r>
              <w:rPr>
                <w:rFonts w:ascii="arial" w:hAnsi="arial"/>
                <w:color w:val="3E3935"/>
                <w:sz w:val="18"/>
              </w:rPr>
              <w:t>Mary T. Barra</w:t>
            </w:r>
          </w:p>
          <w:p>
            <w:pPr>
              <w:pStyle w:val="TableContents"/>
              <w:bidi w:val="0"/>
              <w:spacing w:before="0" w:after="0"/>
              <w:jc w:val="left"/>
              <w:rPr>
                <w:rFonts w:ascii="arial" w:hAnsi="arial"/>
                <w:color w:val="3E3935"/>
                <w:sz w:val="18"/>
              </w:rPr>
            </w:pPr>
            <w:r>
              <w:rPr>
                <w:rFonts w:ascii="arial" w:hAnsi="arial"/>
                <w:color w:val="3E3935"/>
                <w:sz w:val="18"/>
              </w:rPr>
              <w:t>Wesley G. Bush</w:t>
            </w:r>
          </w:p>
          <w:p>
            <w:pPr>
              <w:pStyle w:val="TableContents"/>
              <w:bidi w:val="0"/>
              <w:spacing w:before="0" w:after="0"/>
              <w:jc w:val="left"/>
              <w:rPr>
                <w:rFonts w:ascii="arial" w:hAnsi="arial"/>
                <w:color w:val="3E3935"/>
                <w:sz w:val="18"/>
              </w:rPr>
            </w:pPr>
            <w:r>
              <w:rPr>
                <w:rFonts w:ascii="arial" w:hAnsi="arial"/>
                <w:color w:val="3E3935"/>
                <w:sz w:val="18"/>
              </w:rPr>
              <w:t>Linda R. Gooden</w:t>
            </w:r>
          </w:p>
          <w:p>
            <w:pPr>
              <w:pStyle w:val="TableContents"/>
              <w:bidi w:val="0"/>
              <w:spacing w:before="0" w:after="0"/>
              <w:jc w:val="left"/>
              <w:rPr>
                <w:rFonts w:ascii="arial" w:hAnsi="arial"/>
                <w:color w:val="3E3935"/>
                <w:sz w:val="18"/>
              </w:rPr>
            </w:pPr>
            <w:r>
              <w:rPr>
                <w:rFonts w:ascii="arial" w:hAnsi="arial"/>
                <w:color w:val="3E3935"/>
                <w:sz w:val="18"/>
              </w:rPr>
              <w:t>Joseph Jimenez</w:t>
            </w:r>
          </w:p>
          <w:p>
            <w:pPr>
              <w:pStyle w:val="TableContents"/>
              <w:bidi w:val="0"/>
              <w:spacing w:before="0" w:after="0"/>
              <w:jc w:val="left"/>
              <w:rPr>
                <w:rFonts w:ascii="arial" w:hAnsi="arial"/>
                <w:color w:val="3E3935"/>
                <w:sz w:val="18"/>
              </w:rPr>
            </w:pPr>
            <w:r>
              <w:rPr>
                <w:rFonts w:ascii="arial" w:hAnsi="arial"/>
                <w:color w:val="3E3935"/>
                <w:sz w:val="18"/>
              </w:rPr>
              <w:t>Patricia F. Russo</w:t>
            </w:r>
          </w:p>
          <w:p>
            <w:pPr>
              <w:pStyle w:val="TableContents"/>
              <w:bidi w:val="0"/>
              <w:spacing w:before="0" w:after="0"/>
              <w:jc w:val="left"/>
              <w:rPr>
                <w:rFonts w:ascii="arial" w:hAnsi="arial"/>
                <w:color w:val="3E3935"/>
                <w:sz w:val="18"/>
              </w:rPr>
            </w:pPr>
            <w:r>
              <w:rPr>
                <w:rFonts w:ascii="arial" w:hAnsi="arial"/>
                <w:color w:val="3E3935"/>
                <w:sz w:val="18"/>
              </w:rPr>
              <w:t>Thomas M. Schoewe</w:t>
            </w:r>
          </w:p>
          <w:p>
            <w:pPr>
              <w:pStyle w:val="TableContents"/>
              <w:bidi w:val="0"/>
              <w:spacing w:before="0" w:after="0"/>
              <w:jc w:val="left"/>
              <w:rPr/>
            </w:pPr>
            <w:r>
              <w:rPr/>
              <w:t> </w:t>
            </w:r>
          </w:p>
          <w:p>
            <w:pPr>
              <w:pStyle w:val="TableContents"/>
              <w:bidi w:val="0"/>
              <w:spacing w:before="0" w:after="0"/>
              <w:jc w:val="left"/>
              <w:rPr>
                <w:rFonts w:ascii="arial" w:hAnsi="arial"/>
                <w:b/>
                <w:color w:val="0071CE"/>
                <w:sz w:val="18"/>
              </w:rPr>
            </w:pPr>
            <w:r>
              <w:rPr>
                <w:rFonts w:ascii="arial" w:hAnsi="arial"/>
                <w:b/>
                <w:color w:val="0071CE"/>
                <w:sz w:val="18"/>
              </w:rPr>
              <w:t>Meetings held in 2023:</w:t>
            </w:r>
          </w:p>
          <w:p>
            <w:pPr>
              <w:pStyle w:val="TableContents"/>
              <w:bidi w:val="0"/>
              <w:spacing w:before="0" w:after="20"/>
              <w:jc w:val="left"/>
              <w:rPr>
                <w:rFonts w:ascii="arial" w:hAnsi="arial"/>
                <w:color w:val="3E3935"/>
                <w:sz w:val="18"/>
              </w:rPr>
            </w:pPr>
            <w:r>
              <w:rPr>
                <w:rFonts w:ascii="arial" w:hAnsi="arial"/>
                <w:color w:val="3E3935"/>
                <w:sz w:val="18"/>
              </w:rPr>
              <w:t>2</w:t>
            </w:r>
          </w:p>
        </w:tc>
        <w:tc>
          <w:tcPr>
            <w:tcW w:w="6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0"/>
              <w:jc w:val="both"/>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arial" w:hAnsi="arial"/>
                <w:b/>
                <w:color w:val="3E3935"/>
                <w:sz w:val="30"/>
              </w:rPr>
            </w:pPr>
            <w:r>
              <w:rPr>
                <w:rFonts w:ascii="arial" w:hAnsi="arial"/>
                <w:b/>
                <w:color w:val="3E3935"/>
                <w:sz w:val="30"/>
              </w:rPr>
              <w:t>EXECUTIVE</w:t>
            </w:r>
          </w:p>
          <w:p>
            <w:pPr>
              <w:pStyle w:val="TableContents"/>
              <w:bidi w:val="0"/>
              <w:spacing w:before="0" w:after="0"/>
              <w:jc w:val="left"/>
              <w:rPr/>
            </w:pPr>
            <w:r>
              <w:rPr/>
              <w:t> </w:t>
            </w:r>
          </w:p>
          <w:p>
            <w:pPr>
              <w:pStyle w:val="TableContents"/>
              <w:bidi w:val="0"/>
              <w:spacing w:before="0" w:after="0"/>
              <w:jc w:val="left"/>
              <w:rPr>
                <w:rFonts w:ascii="arial" w:hAnsi="arial"/>
                <w:b/>
                <w:color w:val="3E3935"/>
                <w:sz w:val="18"/>
              </w:rPr>
            </w:pPr>
            <w:r>
              <w:rPr>
                <w:rFonts w:ascii="arial" w:hAnsi="arial"/>
                <w:b/>
                <w:color w:val="3E3935"/>
                <w:sz w:val="18"/>
              </w:rPr>
              <w:t>Key Responsibilities: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Composed of the Board Chair and CEO, the Independent Lead Director, and the chairs of all other standing committees;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Chaired by Ms. Barra and acts on certain limited matters for the full Board in intervals between meetings of the Board; and</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Meets as necessary, and all actions by the Executive Committee are reported and ratified at the next succeeding Board meeting.</w:t>
            </w:r>
          </w:p>
          <w:p>
            <w:pPr>
              <w:pStyle w:val="TableContents"/>
              <w:bidi w:val="0"/>
              <w:spacing w:before="0" w:after="20"/>
              <w:jc w:val="left"/>
              <w:rPr/>
            </w:pPr>
            <w:r>
              <w:rPr/>
              <w:t> </w:t>
            </w:r>
          </w:p>
        </w:tc>
      </w:tr>
    </w:tbl>
    <w:p>
      <w:pPr>
        <w:pStyle w:val="TextBody"/>
        <w:bidi w:val="0"/>
        <w:spacing w:before="0" w:after="0"/>
        <w:jc w:val="left"/>
        <w:rPr/>
      </w:pPr>
      <w:r>
        <w:rPr/>
        <w:t> </w:t>
      </w:r>
    </w:p>
    <w:tbl>
      <w:tblPr>
        <w:tblW w:w="6421" w:type="dxa"/>
        <w:jc w:val="left"/>
        <w:tblInd w:w="0" w:type="dxa"/>
        <w:tblLayout w:type="fixed"/>
        <w:tblCellMar>
          <w:top w:w="0" w:type="dxa"/>
          <w:left w:w="0" w:type="dxa"/>
          <w:bottom w:w="0" w:type="dxa"/>
          <w:right w:w="0" w:type="dxa"/>
        </w:tblCellMar>
      </w:tblPr>
      <w:tblGrid>
        <w:gridCol w:w="38"/>
        <w:gridCol w:w="60"/>
        <w:gridCol w:w="23"/>
        <w:gridCol w:w="60"/>
        <w:gridCol w:w="341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27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14" w:name="toc648661_12"/>
      <w:bookmarkEnd w:id="14"/>
      <w:r>
        <w:rPr>
          <w:rFonts w:ascii="arial" w:hAnsi="arial"/>
          <w:b/>
          <w:color w:val="0071CE"/>
          <w:sz w:val="28"/>
        </w:rPr>
        <w:t xml:space="preserve">Board and Committee Oversight of Risk </w:t>
      </w:r>
    </w:p>
    <w:p>
      <w:pPr>
        <w:pStyle w:val="TextBody"/>
        <w:bidi w:val="0"/>
        <w:spacing w:before="360" w:after="0"/>
        <w:jc w:val="left"/>
        <w:rPr>
          <w:rFonts w:ascii="arial" w:hAnsi="arial"/>
          <w:b/>
          <w:color w:val="3E3935"/>
          <w:sz w:val="26"/>
        </w:rPr>
      </w:pPr>
      <w:r>
        <w:rPr>
          <w:rFonts w:ascii="arial" w:hAnsi="arial"/>
          <w:b/>
          <w:color w:val="3E3935"/>
          <w:sz w:val="26"/>
        </w:rPr>
        <w:t xml:space="preserve">Role of the Board of Directors </w:t>
      </w:r>
    </w:p>
    <w:p>
      <w:pPr>
        <w:pStyle w:val="TextBody"/>
        <w:bidi w:val="0"/>
        <w:spacing w:before="120" w:after="0"/>
        <w:jc w:val="both"/>
        <w:rPr>
          <w:rFonts w:ascii="arial" w:hAnsi="arial"/>
          <w:color w:val="3E3935"/>
          <w:sz w:val="18"/>
        </w:rPr>
      </w:pPr>
      <w:r>
        <w:rPr>
          <w:rFonts w:ascii="arial" w:hAnsi="arial"/>
          <w:color w:val="3E3935"/>
          <w:sz w:val="18"/>
        </w:rPr>
        <w:t xml:space="preserve">The Board has overall responsibility for risk oversight and focuses on the most significant risks facing the Company. The Board discharges its risk oversight responsibilities, in part, through delegation to its committees. The Company’s risk governance is facilitated through a top-down and bottom-up communication structure, with the tone established at the top by Ms. Barra, our Board Chair and CEO, and other members of management, specifically the Senior Leadership Team. The Senior Leadership Team also utilizes our Risk Advisory Council, an executive-level body with delegates from each business unit, to discuss and monitor the most significant enterprise and emerging risks in a cross-functional setting. They are tasked with championing risk management practices and integrating them into their functional or regional business units.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5900" cy="333375"/>
            <wp:effectExtent l="0" t="0" r="0" b="0"/>
            <wp:docPr id="16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9" descr=""/>
                    <pic:cNvPicPr>
                      <a:picLocks noChangeAspect="1" noChangeArrowheads="1"/>
                    </pic:cNvPicPr>
                  </pic:nvPicPr>
                  <pic:blipFill>
                    <a:blip r:embed="rId165"/>
                    <a:stretch>
                      <a:fillRect/>
                    </a:stretch>
                  </pic:blipFill>
                  <pic:spPr bwMode="auto">
                    <a:xfrm>
                      <a:off x="0" y="0"/>
                      <a:ext cx="215900" cy="333375"/>
                    </a:xfrm>
                    <a:prstGeom prst="rect">
                      <a:avLst/>
                    </a:prstGeom>
                  </pic:spPr>
                </pic:pic>
              </a:graphicData>
            </a:graphic>
          </wp:inline>
        </w:drawing>
      </w:r>
      <w:r>
        <w:rPr/>
        <w:t xml:space="preserve"> </w:t>
      </w:r>
    </w:p>
    <w:p>
      <w:pPr>
        <w:pStyle w:val="TextBody"/>
        <w:bidi w:val="0"/>
        <w:spacing w:before="360" w:after="0"/>
        <w:jc w:val="left"/>
        <w:rPr>
          <w:rFonts w:ascii="arial" w:hAnsi="arial"/>
          <w:b/>
          <w:color w:val="3E3935"/>
          <w:sz w:val="28"/>
        </w:rPr>
      </w:pPr>
      <w:r>
        <w:rPr>
          <w:rFonts w:ascii="arial" w:hAnsi="arial"/>
          <w:b/>
          <w:color w:val="3E3935"/>
          <w:sz w:val="28"/>
        </w:rPr>
        <w:t xml:space="preserve">Role of the Board Committees </w:t>
      </w:r>
    </w:p>
    <w:p>
      <w:pPr>
        <w:pStyle w:val="TextBody"/>
        <w:bidi w:val="0"/>
        <w:spacing w:before="120" w:after="0"/>
        <w:jc w:val="both"/>
        <w:rPr>
          <w:rFonts w:ascii="arial" w:hAnsi="arial"/>
          <w:color w:val="3E3935"/>
          <w:sz w:val="18"/>
        </w:rPr>
      </w:pPr>
      <w:r>
        <w:rPr>
          <w:rFonts w:ascii="arial" w:hAnsi="arial"/>
          <w:color w:val="3E3935"/>
          <w:sz w:val="18"/>
        </w:rPr>
        <w:t xml:space="preserve">Each of the Board’s committees has a critical role to play in the overall execution of the Board’s risk oversight duties. The Board delegates oversight for certain risks to each committee based on the risk categories relevant to the subject matter of the committee. The Risk and Cybersecurity Committee Chair coordinates with the chairs of the other committees to support them in managing the relationship between risk management policies and practices and their respective oversight responsibilities. The Risk and Cybersecurity Committee also assists the Board by monitoring the overall effectiveness of the Company’s risk management framework and processes. For example, GM’s Strategic Risk Management team conducts an annual risk assessment, which the Risk and Cybersecurity Committee reviews and receives detailed management updates regularly throughout the year. </w:t>
      </w:r>
    </w:p>
    <w:p>
      <w:pPr>
        <w:pStyle w:val="TextBody"/>
        <w:bidi w:val="0"/>
        <w:spacing w:before="240" w:after="0"/>
        <w:jc w:val="both"/>
        <w:rPr>
          <w:rFonts w:ascii="arial" w:hAnsi="arial"/>
          <w:color w:val="3E3935"/>
          <w:sz w:val="18"/>
        </w:rPr>
      </w:pPr>
      <w:r>
        <w:rPr>
          <w:rFonts w:ascii="arial" w:hAnsi="arial"/>
          <w:color w:val="3E3935"/>
          <w:sz w:val="18"/>
        </w:rPr>
        <w:t xml:space="preserve">Below is a summary of the key risk oversight responsibilities that the Board has delegated to its committees.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b/>
                <w:color w:val="3E3935"/>
                <w:sz w:val="18"/>
              </w:rPr>
              <w:t>Audit Committee:</w:t>
            </w:r>
            <w:r>
              <w:rPr>
                <w:rFonts w:ascii="arial" w:hAnsi="arial"/>
                <w:color w:val="3E3935"/>
                <w:sz w:val="18"/>
              </w:rPr>
              <w:t xml:space="preserve"> Oversees risks related to (i) financial reporting, internal disclosure controls (including with respect to ESG issues, reporting, and disclosures), and auditing matters; and (ii) legal, regulatory, and compliance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b/>
                <w:color w:val="3E3935"/>
                <w:sz w:val="18"/>
              </w:rPr>
              <w:t>Executive Compensation Committee:</w:t>
            </w:r>
            <w:r>
              <w:rPr>
                <w:rFonts w:ascii="arial" w:hAnsi="arial"/>
                <w:color w:val="3E3935"/>
                <w:sz w:val="18"/>
              </w:rPr>
              <w:t xml:space="preserve"> Oversees risks related to executive and employee compensation plans, including through the design of compensation plans that promote prudent risk management and do not encourage excessive risk-taking.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b/>
                <w:color w:val="3E3935"/>
                <w:sz w:val="18"/>
              </w:rPr>
              <w:t>Finance Committee:</w:t>
            </w:r>
            <w:r>
              <w:rPr>
                <w:rFonts w:ascii="arial" w:hAnsi="arial"/>
                <w:color w:val="3E3935"/>
                <w:sz w:val="18"/>
              </w:rPr>
              <w:t xml:space="preserve"> Oversees risks related to (i) significant financial exposures and contingent liabilities of the Company; (ii) regulatory compliance of employee-defined benefit plans; and (iii) M&amp;A activity and impacts from changes to the Company’s shareholder base. </w:t>
            </w:r>
          </w:p>
        </w:tc>
      </w:tr>
    </w:tbl>
    <w:p>
      <w:pPr>
        <w:pStyle w:val="TextBody"/>
        <w:bidi w:val="0"/>
        <w:spacing w:before="0" w:after="0"/>
        <w:jc w:val="left"/>
        <w:rPr/>
      </w:pPr>
      <w:r>
        <w:rPr/>
        <w:t> </w:t>
      </w:r>
    </w:p>
    <w:tbl>
      <w:tblPr>
        <w:tblW w:w="4238" w:type="dxa"/>
        <w:jc w:val="left"/>
        <w:tblInd w:w="0" w:type="dxa"/>
        <w:tblLayout w:type="fixed"/>
        <w:tblCellMar>
          <w:top w:w="0" w:type="dxa"/>
          <w:left w:w="0" w:type="dxa"/>
          <w:bottom w:w="0" w:type="dxa"/>
          <w:right w:w="0" w:type="dxa"/>
        </w:tblCellMar>
      </w:tblPr>
      <w:tblGrid>
        <w:gridCol w:w="275"/>
        <w:gridCol w:w="60"/>
        <w:gridCol w:w="192"/>
        <w:gridCol w:w="60"/>
        <w:gridCol w:w="341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28</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6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0" descr=""/>
                          <pic:cNvPicPr>
                            <a:picLocks noChangeAspect="1" noChangeArrowheads="1"/>
                          </pic:cNvPicPr>
                        </pic:nvPicPr>
                        <pic:blipFill>
                          <a:blip r:embed="rId166"/>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b/>
                <w:color w:val="3E3935"/>
                <w:sz w:val="18"/>
              </w:rPr>
              <w:t>Governance and Corporate Responsibility Committee:</w:t>
            </w:r>
            <w:r>
              <w:rPr>
                <w:rFonts w:ascii="arial" w:hAnsi="arial"/>
                <w:color w:val="3E3935"/>
                <w:sz w:val="18"/>
              </w:rPr>
              <w:t xml:space="preserve"> Oversees risks related to (i) public policy and political activities; (ii) director independence and related party transactions; (iii) the sustainability of our operations and products; and (iv) sustainability disclosures in consultation with the Audit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b/>
                <w:color w:val="3E3935"/>
                <w:sz w:val="18"/>
              </w:rPr>
              <w:t>Risk and Cybersecurity Committee:</w:t>
            </w:r>
            <w:r>
              <w:rPr>
                <w:rFonts w:ascii="arial" w:hAnsi="arial"/>
                <w:color w:val="3E3935"/>
                <w:sz w:val="18"/>
              </w:rPr>
              <w:t xml:space="preserve"> Oversees risks related to the Company’s key strategic, enterprise, and cybersecurity risks, including climate change, workplace and product safety, and privacy. </w:t>
            </w:r>
          </w:p>
        </w:tc>
      </w:tr>
    </w:tbl>
    <w:p>
      <w:pPr>
        <w:pStyle w:val="TextBody"/>
        <w:bidi w:val="0"/>
        <w:spacing w:before="360" w:after="0"/>
        <w:jc w:val="left"/>
        <w:rPr>
          <w:rFonts w:ascii="arial" w:hAnsi="arial"/>
          <w:b/>
          <w:color w:val="3E3935"/>
          <w:sz w:val="26"/>
        </w:rPr>
      </w:pPr>
      <w:r>
        <w:rPr>
          <w:rFonts w:ascii="arial" w:hAnsi="arial"/>
          <w:b/>
          <w:color w:val="3E3935"/>
          <w:sz w:val="26"/>
        </w:rPr>
        <w:t xml:space="preserve">Cybersecurity Risk Oversight </w:t>
      </w:r>
    </w:p>
    <w:p>
      <w:pPr>
        <w:pStyle w:val="TextBody"/>
        <w:bidi w:val="0"/>
        <w:spacing w:before="120" w:after="0"/>
        <w:jc w:val="both"/>
        <w:rPr>
          <w:rFonts w:ascii="arial" w:hAnsi="arial"/>
          <w:color w:val="3E3935"/>
          <w:sz w:val="18"/>
        </w:rPr>
      </w:pPr>
      <w:r>
        <w:rPr>
          <w:rFonts w:ascii="arial" w:hAnsi="arial"/>
          <w:color w:val="3E3935"/>
          <w:sz w:val="18"/>
        </w:rPr>
        <w:t xml:space="preserve">Material risks from cybersecurity threats are managed across GM, GM Financial, Cruise, and third-party suppliers and vendors, and monitoring such risks and threats is integrated into the Company’s overall risk management program. In addition, the Board has assigned its Risk and Cybersecurity Committee with the specific responsibility for overseeing cybersecurity threats. The Company’s cybersecurity organization is led by the Chief Cybersecurity Officer (“CCO”), who is responsible for assessing and managing material risks from cybersecurity threats and reports to GM’s Executive Vice President, Legal, Policy, Cybersecurity, and Corporate Secretary, as well as to the Risk and Cybersecurity Committee. GM also has a Cybersecurity Management Board that brings together representatives from senior management across the Company’s Software and Services, Product Development, Information Technology, Manufacturing, Finance, Communications, Human Resources, Legal, and Public Policy organizations to provide guidance and monitor overall company cybersecurity risk. The Company’s cybersecurity maturity scorecard, cybersecurity threats, and certain incident information are reviewed by the CCO, the Risk and Cybersecurity Committee, and the Cybersecurity Management Board during standing meetings, as well as in impromptu sessions, when appropriate. During the reviews, various topics are discussed, which may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implementation and maturity of the Company’s cybersecurity program, risk management framework, including cybersecurity risk policies, procedures, and governance;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cybersecurity and privacy risk, including potential impact to the Company’s employees, customers, supply chain, joint ventures, and other stakeholders;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intelligence briefings on notable cyber events;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cybersecurity budget and resource allocation, including industry benchmarking and economic modeling of various potential cybersecurity events. </w:t>
            </w:r>
          </w:p>
        </w:tc>
      </w:tr>
    </w:tbl>
    <w:p>
      <w:pPr>
        <w:pStyle w:val="TextBody"/>
        <w:bidi w:val="0"/>
        <w:spacing w:before="120" w:after="0"/>
        <w:jc w:val="both"/>
        <w:rPr>
          <w:rFonts w:ascii="arial" w:hAnsi="arial"/>
          <w:color w:val="3E3935"/>
          <w:sz w:val="18"/>
        </w:rPr>
      </w:pPr>
      <w:r>
        <w:rPr>
          <w:rFonts w:ascii="arial" w:hAnsi="arial"/>
          <w:color w:val="3E3935"/>
          <w:sz w:val="18"/>
        </w:rPr>
        <w:t xml:space="preserve">The CCO and the Cybersecurity Management Board monitor the prevention, mitigation, detection, and remediation of cybersecurity incidents through their management of, and participation in, the cybersecurity risk management processes described above, including through the operation of the Company’s incident response plans, which include escalation to the CCO and the Cybersecurity Management Board, as appropriate. </w:t>
      </w:r>
    </w:p>
    <w:p>
      <w:pPr>
        <w:pStyle w:val="TextBody"/>
        <w:bidi w:val="0"/>
        <w:spacing w:before="0" w:after="0"/>
        <w:jc w:val="left"/>
        <w:rPr/>
      </w:pPr>
      <w:r>
        <w:rPr/>
        <w:t> </w:t>
      </w:r>
    </w:p>
    <w:tbl>
      <w:tblPr>
        <w:tblW w:w="6421" w:type="dxa"/>
        <w:jc w:val="left"/>
        <w:tblInd w:w="0" w:type="dxa"/>
        <w:tblLayout w:type="fixed"/>
        <w:tblCellMar>
          <w:top w:w="0" w:type="dxa"/>
          <w:left w:w="0" w:type="dxa"/>
          <w:bottom w:w="0" w:type="dxa"/>
          <w:right w:w="0" w:type="dxa"/>
        </w:tblCellMar>
      </w:tblPr>
      <w:tblGrid>
        <w:gridCol w:w="38"/>
        <w:gridCol w:w="60"/>
        <w:gridCol w:w="23"/>
        <w:gridCol w:w="60"/>
        <w:gridCol w:w="341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29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Sustainability Risk Oversight </w:t>
      </w:r>
    </w:p>
    <w:p>
      <w:pPr>
        <w:pStyle w:val="TextBody"/>
        <w:bidi w:val="0"/>
        <w:spacing w:before="120" w:after="0"/>
        <w:jc w:val="both"/>
        <w:rPr>
          <w:rFonts w:ascii="arial" w:hAnsi="arial"/>
          <w:color w:val="3E3935"/>
          <w:sz w:val="18"/>
        </w:rPr>
      </w:pPr>
      <w:r>
        <w:rPr>
          <w:rFonts w:ascii="arial" w:hAnsi="arial"/>
          <w:color w:val="3E3935"/>
          <w:sz w:val="18"/>
        </w:rPr>
        <w:t xml:space="preserve">The Board oversees sustainability principles throughout the enterprise and has delegated specific oversight responsibilities to each of its committees. In 2021, the committees further incorporated sustainability responsibilities by revising their charters in recognition that sustainability risks impact all aspects of the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5"/>
        <w:gridCol w:w="60"/>
        <w:gridCol w:w="807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075" w:type="dxa"/>
            <w:tcBorders>
              <w:top w:val="single" w:sz="6" w:space="0" w:color="0071CE"/>
            </w:tcBorders>
            <w:tcMar>
              <w:top w:w="28" w:type="dxa"/>
            </w:tcMar>
            <w:vAlign w:val="center"/>
          </w:tcPr>
          <w:p>
            <w:pPr>
              <w:pStyle w:val="TableContents"/>
              <w:bidi w:val="0"/>
              <w:spacing w:before="0" w:after="283"/>
              <w:jc w:val="left"/>
              <w:rPr/>
            </w:pPr>
            <w:r>
              <w:rPr/>
              <w:t> </w:t>
            </w:r>
          </w:p>
        </w:tc>
        <w:tc>
          <w:tcPr>
            <w:tcW w:w="8130" w:type="dxa"/>
            <w:gridSpan w:val="2"/>
            <w:tcBorders>
              <w:top w:val="single" w:sz="6" w:space="0" w:color="0071CE"/>
            </w:tcBorders>
            <w:tcMar>
              <w:top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Audit Committee</w:t>
            </w:r>
          </w:p>
        </w:tc>
        <w:tc>
          <w:tcPr>
            <w:tcW w:w="60"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the processes and control procedures over sustainability disclosures;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Oversees the internal audit function, which includes coverage of controls around sustainability disclosures; and</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Reviews and approves the annual Sustainability Report.</w:t>
            </w:r>
          </w:p>
        </w:tc>
      </w:tr>
      <w:tr>
        <w:trPr/>
        <w:tc>
          <w:tcPr>
            <w:tcW w:w="2075" w:type="dxa"/>
            <w:tcBorders/>
            <w:shd w:fill="CCF2F8" w:val="clear"/>
            <w:vAlign w:val="center"/>
          </w:tcPr>
          <w:p>
            <w:pPr>
              <w:pStyle w:val="TableContents"/>
              <w:bidi w:val="0"/>
              <w:spacing w:before="0" w:after="283"/>
              <w:jc w:val="left"/>
              <w:rPr>
                <w:sz w:val="4"/>
                <w:szCs w:val="4"/>
              </w:rPr>
            </w:pPr>
            <w:r>
              <w:rPr>
                <w:sz w:val="4"/>
                <w:szCs w:val="4"/>
              </w:rPr>
            </w:r>
          </w:p>
        </w:tc>
        <w:tc>
          <w:tcPr>
            <w:tcW w:w="81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07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Compensation Committee</w:t>
            </w:r>
          </w:p>
        </w:tc>
        <w:tc>
          <w:tcPr>
            <w:tcW w:w="60" w:type="dxa"/>
            <w:tcBorders/>
            <w:shd w:fill="CCF2F8" w:val="clear"/>
            <w:vAlign w:val="center"/>
          </w:tcPr>
          <w:p>
            <w:pPr>
              <w:pStyle w:val="TableContents"/>
              <w:bidi w:val="0"/>
              <w:spacing w:before="0" w:after="283"/>
              <w:jc w:val="left"/>
              <w:rPr/>
            </w:pPr>
            <w:r>
              <w:rPr/>
              <w:t> </w:t>
            </w:r>
          </w:p>
        </w:tc>
        <w:tc>
          <w:tcPr>
            <w:tcW w:w="8070"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Makes an annual determination as to whether the Company’s sustainability goals and milestones are effectively integrated into compensation programs; and</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Considers shareholder feedback relative to the alignment of GM’s sustainability goals.</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13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Finance Committee</w:t>
            </w:r>
          </w:p>
        </w:tc>
        <w:tc>
          <w:tcPr>
            <w:tcW w:w="60"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changes to our shareholder composition, including the impact of sustainability-oriented investors.</w:t>
            </w:r>
          </w:p>
        </w:tc>
      </w:tr>
      <w:tr>
        <w:trPr/>
        <w:tc>
          <w:tcPr>
            <w:tcW w:w="2075" w:type="dxa"/>
            <w:tcBorders/>
            <w:shd w:fill="CCF2F8" w:val="clear"/>
            <w:vAlign w:val="center"/>
          </w:tcPr>
          <w:p>
            <w:pPr>
              <w:pStyle w:val="TableContents"/>
              <w:bidi w:val="0"/>
              <w:spacing w:before="0" w:after="283"/>
              <w:jc w:val="left"/>
              <w:rPr>
                <w:sz w:val="4"/>
                <w:szCs w:val="4"/>
              </w:rPr>
            </w:pPr>
            <w:r>
              <w:rPr>
                <w:sz w:val="4"/>
                <w:szCs w:val="4"/>
              </w:rPr>
            </w:r>
          </w:p>
        </w:tc>
        <w:tc>
          <w:tcPr>
            <w:tcW w:w="81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07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Governance Committee</w:t>
            </w:r>
          </w:p>
        </w:tc>
        <w:tc>
          <w:tcPr>
            <w:tcW w:w="60" w:type="dxa"/>
            <w:tcBorders/>
            <w:shd w:fill="CCF2F8" w:val="clear"/>
            <w:vAlign w:val="center"/>
          </w:tcPr>
          <w:p>
            <w:pPr>
              <w:pStyle w:val="TableContents"/>
              <w:bidi w:val="0"/>
              <w:spacing w:before="0" w:after="283"/>
              <w:jc w:val="left"/>
              <w:rPr/>
            </w:pPr>
            <w:r>
              <w:rPr/>
              <w:t> </w:t>
            </w:r>
          </w:p>
        </w:tc>
        <w:tc>
          <w:tcPr>
            <w:tcW w:w="8070"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Oversees sustainability initiatives, strategies, and policies that have a material impact on the Company;</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Conducts annual reviews of sustainability topics;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Manages the Board’s shareholder engagement program; and</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Reviews and approves the annual Sustainability Report.</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13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6" w:space="0" w:color="0071CE"/>
            </w:tcBorders>
            <w:tcMar>
              <w:bottom w:w="8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Risk and Cybersecurity Committee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070" w:type="dxa"/>
            <w:tcBorders>
              <w:bottom w:val="single" w:sz="6" w:space="0" w:color="0071CE"/>
            </w:tcBorders>
            <w:tcMar>
              <w:bottom w:w="80" w:type="dxa"/>
            </w:tcM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Reviews GM’s strategic, operational, and cybersecurity risks, including workplace safety, vehicle cybersecurity safety, climate change, and privacy risk; and</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Considers climate change as part of its key strategic and operational risk management framework.</w:t>
            </w:r>
          </w:p>
        </w:tc>
      </w:tr>
    </w:tbl>
    <w:p>
      <w:pPr>
        <w:pStyle w:val="TextBody"/>
        <w:bidi w:val="0"/>
        <w:spacing w:before="240" w:after="0"/>
        <w:jc w:val="both"/>
        <w:rPr>
          <w:rFonts w:ascii="arial" w:hAnsi="arial"/>
          <w:color w:val="3E3935"/>
          <w:sz w:val="18"/>
        </w:rPr>
      </w:pPr>
      <w:r>
        <w:rPr>
          <w:rFonts w:ascii="arial" w:hAnsi="arial"/>
          <w:color w:val="3E3935"/>
          <w:sz w:val="18"/>
        </w:rPr>
        <w:t xml:space="preserve">At the management level, GM’s Senior Leadership Team establishes and executes the Company’s sustainability strategy. This cross-functional group of senior leaders drives GM’s sustainability initiatives throughout the Company – from global product development, portfolio planning, manufacturing, and supply chain to human resources (including DE&amp;I and other workforce matters), legal, compliance, social, and community impact projects. </w:t>
      </w:r>
    </w:p>
    <w:p>
      <w:pPr>
        <w:pStyle w:val="TextBody"/>
        <w:bidi w:val="0"/>
        <w:spacing w:before="120" w:after="0"/>
        <w:jc w:val="both"/>
        <w:rPr>
          <w:rFonts w:ascii="arial" w:hAnsi="arial"/>
          <w:color w:val="3E3935"/>
          <w:sz w:val="18"/>
        </w:rPr>
      </w:pPr>
      <w:r>
        <w:rPr>
          <w:rFonts w:ascii="arial" w:hAnsi="arial"/>
          <w:color w:val="3E3935"/>
          <w:sz w:val="18"/>
        </w:rPr>
        <w:t xml:space="preserve">GM’s Chief Sustainability Officer, reporting to the Executive Vice President of Global Manufacturing and Sustainability, is the enterprise-wide leader for sustainability initiatives. She develops and coordinates sustainability strategy and efforts across the Company. GM’s Chief of Diversity, Equity, and Inclusion, reporting to the Senior Vice President and Chief People Officer, is the enterprise-wide leader for DE&amp;I initiatives. She develops and coordinates DE&amp;I strategy and efforts across the Company. </w:t>
      </w:r>
    </w:p>
    <w:p>
      <w:pPr>
        <w:pStyle w:val="TextBody"/>
        <w:bidi w:val="0"/>
        <w:spacing w:before="0" w:after="0"/>
        <w:jc w:val="left"/>
        <w:rPr/>
      </w:pPr>
      <w:r>
        <w:rPr/>
        <w:t> </w:t>
      </w:r>
    </w:p>
    <w:tbl>
      <w:tblPr>
        <w:tblW w:w="4238" w:type="dxa"/>
        <w:jc w:val="left"/>
        <w:tblInd w:w="0" w:type="dxa"/>
        <w:tblLayout w:type="fixed"/>
        <w:tblCellMar>
          <w:top w:w="0" w:type="dxa"/>
          <w:left w:w="0" w:type="dxa"/>
          <w:bottom w:w="0" w:type="dxa"/>
          <w:right w:w="0" w:type="dxa"/>
        </w:tblCellMar>
      </w:tblPr>
      <w:tblGrid>
        <w:gridCol w:w="275"/>
        <w:gridCol w:w="60"/>
        <w:gridCol w:w="192"/>
        <w:gridCol w:w="60"/>
        <w:gridCol w:w="341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30</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7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1" descr=""/>
                          <pic:cNvPicPr>
                            <a:picLocks noChangeAspect="1" noChangeArrowheads="1"/>
                          </pic:cNvPicPr>
                        </pic:nvPicPr>
                        <pic:blipFill>
                          <a:blip r:embed="rId167"/>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15" w:name="toc648661_13"/>
      <w:bookmarkEnd w:id="15"/>
      <w:r>
        <w:rPr>
          <w:rFonts w:ascii="arial" w:hAnsi="arial"/>
          <w:b/>
          <w:color w:val="0071CE"/>
          <w:sz w:val="28"/>
        </w:rPr>
        <w:t xml:space="preserve">The Board’s Governance Policies and Practices </w:t>
      </w:r>
    </w:p>
    <w:p>
      <w:pPr>
        <w:pStyle w:val="TextBody"/>
        <w:bidi w:val="0"/>
        <w:spacing w:before="360" w:after="0"/>
        <w:jc w:val="left"/>
        <w:rPr>
          <w:rFonts w:ascii="arial" w:hAnsi="arial"/>
          <w:b/>
          <w:color w:val="3E3935"/>
          <w:sz w:val="26"/>
        </w:rPr>
      </w:pPr>
      <w:r>
        <w:rPr>
          <w:rFonts w:ascii="arial" w:hAnsi="arial"/>
          <w:b/>
          <w:color w:val="3E3935"/>
          <w:sz w:val="26"/>
        </w:rPr>
        <w:t xml:space="preserve">Code of Conduct: “Winning with Integrity” </w:t>
      </w:r>
    </w:p>
    <w:p>
      <w:pPr>
        <w:pStyle w:val="TextBody"/>
        <w:bidi w:val="0"/>
        <w:spacing w:before="0" w:after="0"/>
        <w:jc w:val="left"/>
        <w:rPr/>
      </w:pPr>
      <w:r>
        <w:rPr/>
        <w:t> </w:t>
      </w:r>
    </w:p>
    <w:p>
      <w:pPr>
        <w:pStyle w:val="TextBody"/>
        <w:bidi w:val="0"/>
        <w:spacing w:before="0" w:after="0"/>
        <w:jc w:val="both"/>
        <w:rPr>
          <w:rFonts w:ascii="arial" w:hAnsi="arial"/>
          <w:color w:val="3E3935"/>
          <w:sz w:val="18"/>
        </w:rPr>
      </w:pPr>
      <w:r>
        <w:drawing>
          <wp:anchor behindDoc="0" distT="0" distB="0" distL="171450" distR="0" simplePos="0" locked="0" layoutInCell="1" allowOverlap="1" relativeHeight="308">
            <wp:simplePos x="0" y="0"/>
            <wp:positionH relativeFrom="column">
              <wp:align>right</wp:align>
            </wp:positionH>
            <wp:positionV relativeFrom="line">
              <wp:posOffset>635</wp:posOffset>
            </wp:positionV>
            <wp:extent cx="157480" cy="111760"/>
            <wp:effectExtent l="0" t="0" r="0" b="0"/>
            <wp:wrapSquare wrapText="left"/>
            <wp:docPr id="17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2" descr=""/>
                    <pic:cNvPicPr>
                      <a:picLocks noChangeAspect="1" noChangeArrowheads="1"/>
                    </pic:cNvPicPr>
                  </pic:nvPicPr>
                  <pic:blipFill>
                    <a:blip r:embed="rId168"/>
                    <a:stretch>
                      <a:fillRect/>
                    </a:stretch>
                  </pic:blipFill>
                  <pic:spPr bwMode="auto">
                    <a:xfrm>
                      <a:off x="0" y="0"/>
                      <a:ext cx="157480" cy="111760"/>
                    </a:xfrm>
                    <a:prstGeom prst="rect">
                      <a:avLst/>
                    </a:prstGeom>
                  </pic:spPr>
                </pic:pic>
              </a:graphicData>
            </a:graphic>
          </wp:anchor>
        </w:drawing>
      </w:r>
      <w:r>
        <w:rPr>
          <w:rFonts w:ascii="arial" w:hAnsi="arial"/>
          <w:color w:val="3E3935"/>
          <w:sz w:val="18"/>
        </w:rPr>
        <w:t xml:space="preserve">The Board is committed to the highest legal and ethical standards in fulfilling its responsibilities. We have adopted a code of business conduct and ethics, “Winning with Integrity,” that applies to everyone in our Company, at every level, including employees, executives, Board members and, as applicable, subsidiaries that GM controls. This Code of Conduct forms the foundation for compliance with corporate policies and procedures and creates a Company-wide focus on uncompromising integrity in every aspect of our operations. In 2024, Ethisphere recognized GM for the fifth consecutive year in a row, as one of the World’s Most Ethical Companies. This award highlights how “Winning with Integrity” embodies our expectations on a number of topics, including workplace and vehicle safety; DE&amp;I; conflicts of interest; protection of confidential information; insider trading; competition and fair dealing; human rights; community involvement and corporate citizenship; political activities and lobbying; preservation and use of Company assets; and compliance with laws and regulations. Employees are expected to report any conduct that they believe in good faith to be an actual or apparent violation of our Code of Conduct. The Code of Conduct is available at </w:t>
      </w:r>
      <w:r>
        <w:rPr>
          <w:rFonts w:ascii="arial" w:hAnsi="arial"/>
          <w:i/>
          <w:color w:val="0071CE"/>
          <w:sz w:val="18"/>
        </w:rPr>
        <w:t>investor.gm.com/governanceandsustainability</w:t>
      </w:r>
      <w:r>
        <w:rPr>
          <w:rFonts w:ascii="arial" w:hAnsi="arial"/>
          <w:color w:val="3E3935"/>
          <w:sz w:val="18"/>
        </w:rPr>
        <w:t xml:space="preserve">. </w:t>
      </w:r>
    </w:p>
    <w:p>
      <w:pPr>
        <w:pStyle w:val="TextBody"/>
        <w:bidi w:val="0"/>
        <w:spacing w:before="120" w:after="0"/>
        <w:jc w:val="both"/>
        <w:rPr>
          <w:rFonts w:ascii="arial" w:hAnsi="arial"/>
          <w:color w:val="3E3935"/>
          <w:sz w:val="18"/>
        </w:rPr>
      </w:pPr>
      <w:r>
        <w:rPr>
          <w:rFonts w:ascii="arial" w:hAnsi="arial"/>
          <w:color w:val="3E3935"/>
          <w:sz w:val="18"/>
        </w:rPr>
        <w:t xml:space="preserve">In addition, GM’s Insider Trading Policy prohibits all GM directors and employees, including executive officers, from trading in GM securities while in possession of material non-public information about the Company, trading any GM derivatives (e.g., put or call options), engaging in short sales, or otherwise engaging in hedging activities, and pledging of GM securities. </w:t>
      </w:r>
    </w:p>
    <w:p>
      <w:pPr>
        <w:pStyle w:val="TextBody"/>
        <w:bidi w:val="0"/>
        <w:spacing w:before="0" w:after="0"/>
        <w:jc w:val="left"/>
        <w:rPr/>
      </w:pPr>
      <w:r>
        <w:rPr/>
        <w:t> </w:t>
      </w:r>
    </w:p>
    <w:p>
      <w:pPr>
        <w:pStyle w:val="TextBody"/>
        <w:bidi w:val="0"/>
        <w:spacing w:before="360" w:after="0"/>
        <w:jc w:val="left"/>
        <w:rPr>
          <w:rFonts w:ascii="arial" w:hAnsi="arial"/>
          <w:b/>
          <w:color w:val="3E3935"/>
          <w:sz w:val="26"/>
        </w:rPr>
      </w:pPr>
      <w:r>
        <w:rPr>
          <w:rFonts w:ascii="arial" w:hAnsi="arial"/>
          <w:b/>
          <w:color w:val="3E3935"/>
          <w:sz w:val="26"/>
        </w:rPr>
        <w:t xml:space="preserve">Corporate Governance Guidelines </w:t>
      </w:r>
    </w:p>
    <w:p>
      <w:pPr>
        <w:pStyle w:val="TextBody"/>
        <w:bidi w:val="0"/>
        <w:spacing w:before="120" w:after="0"/>
        <w:jc w:val="both"/>
        <w:rPr>
          <w:rFonts w:ascii="arial" w:hAnsi="arial"/>
          <w:color w:val="3E3935"/>
          <w:sz w:val="18"/>
        </w:rPr>
      </w:pPr>
      <w:r>
        <w:rPr>
          <w:rFonts w:ascii="arial" w:hAnsi="arial"/>
          <w:color w:val="3E3935"/>
          <w:sz w:val="18"/>
        </w:rPr>
        <w:t xml:space="preserve">Our Corporate Governance Guidelines form a transparent framework for the effective governance of the Company. The Corporate Governance Guidelines address matters such as the respective roles and responsibilities of the Board and management, the Board’s leadership structure, the responsibilities of the Independent Lead Director, director independence, Board membership criteria, Board committees, and Board and CEO evaluations. The Governance Committee annually reviews the Corporate Governance Guidelines and periodically recommends to the Board the adoption of amendments in response to changing regulations, evolving best practices, and shareholder concerns. No changes were made to our Corporate Governance Guidelines as a result of this review in 2023. In 2022, this review led to a number of enhancements and refinements, including, among other changes: adding context to the Board’s oversight of sustainability and risk management; clarifying that a former CEO can remain on the Board if serving as executive chair; supplementing the Board’s diversity policy and its perspectives on recruitment of candidates from minority groups; adding more insight into the Board’s perspective on its retirement policy; and disclosing the Governance Committee’s practice of reviewing each director’s time and availability commitments. A summary of our corporate governance best practices is discussed in the “Governance Highlights” section of this Proxy Summary. </w:t>
      </w:r>
    </w:p>
    <w:p>
      <w:pPr>
        <w:pStyle w:val="TextBody"/>
        <w:bidi w:val="0"/>
        <w:spacing w:before="360" w:after="0"/>
        <w:jc w:val="left"/>
        <w:rPr>
          <w:rFonts w:ascii="arial" w:hAnsi="arial"/>
          <w:b/>
          <w:color w:val="3E3935"/>
          <w:sz w:val="26"/>
        </w:rPr>
      </w:pPr>
      <w:r>
        <w:rPr>
          <w:rFonts w:ascii="arial" w:hAnsi="arial"/>
          <w:b/>
          <w:color w:val="3E3935"/>
          <w:sz w:val="26"/>
        </w:rPr>
        <w:t xml:space="preserve">CEO Succession Planning </w:t>
      </w:r>
    </w:p>
    <w:p>
      <w:pPr>
        <w:pStyle w:val="TextBody"/>
        <w:bidi w:val="0"/>
        <w:spacing w:before="120" w:after="0"/>
        <w:jc w:val="both"/>
        <w:rPr>
          <w:rFonts w:ascii="arial" w:hAnsi="arial"/>
          <w:color w:val="3E3935"/>
          <w:sz w:val="18"/>
        </w:rPr>
      </w:pPr>
      <w:r>
        <w:rPr>
          <w:rFonts w:ascii="arial" w:hAnsi="arial"/>
          <w:color w:val="3E3935"/>
          <w:sz w:val="18"/>
        </w:rPr>
        <w:t xml:space="preserve">Our Independent Lead Director oversees the CEO succession planning process and leads, at least annually, the Board’s discussion of CEO succession planning. During this review, our CEO provides the Board with recommendations for, and evaluations of, potential CEO successors and discusses developmental plans for these successors. Directors engage with CEO candidates and senior management talent at Board and committee meetings and other forums to enable directors to personally assess candidates. The Board reviews management succession planning in the ordinary course of business as well as contingency planning in the event of an emergency or unanticipated event.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0"/>
              <w:jc w:val="center"/>
              <w:rPr>
                <w:rFonts w:ascii="arial" w:hAnsi="arial"/>
                <w:b/>
                <w:color w:val="0071CE"/>
                <w:sz w:val="22"/>
              </w:rPr>
            </w:pPr>
            <w:r>
              <w:rPr>
                <w:rFonts w:ascii="arial" w:hAnsi="arial"/>
                <w:b/>
                <w:color w:val="0071CE"/>
                <w:sz w:val="22"/>
              </w:rPr>
              <w:t>FOCUS ON NEXT-GENERATION TALENT</w:t>
            </w:r>
          </w:p>
          <w:p>
            <w:pPr>
              <w:pStyle w:val="TableContents"/>
              <w:bidi w:val="0"/>
              <w:spacing w:before="0" w:after="0"/>
              <w:jc w:val="left"/>
              <w:rPr/>
            </w:pPr>
            <w:r>
              <w:rPr/>
              <w:t> </w:t>
            </w:r>
          </w:p>
          <w:p>
            <w:pPr>
              <w:pStyle w:val="TableContents"/>
              <w:bidi w:val="0"/>
              <w:spacing w:before="0" w:after="20"/>
              <w:jc w:val="left"/>
              <w:rPr>
                <w:rFonts w:ascii="arial" w:hAnsi="arial"/>
                <w:color w:val="3E3935"/>
                <w:sz w:val="18"/>
              </w:rPr>
            </w:pPr>
            <w:r>
              <w:rPr>
                <w:rFonts w:ascii="arial" w:hAnsi="arial"/>
                <w:color w:val="3E3935"/>
                <w:sz w:val="18"/>
              </w:rPr>
              <w:t>In 2023, the Board met with over 80 Company executives during meetings and other events, which is part of the succession planning process designed to expose the Board to the next generation of leaders. For example, the Board met with top engineering talent at the historic Milford Proving Grounds in October 2023, following their opportunity to test and review the Company’s ICE and EV portfolio.</w:t>
            </w:r>
          </w:p>
        </w:tc>
      </w:tr>
    </w:tbl>
    <w:p>
      <w:pPr>
        <w:pStyle w:val="TextBody"/>
        <w:bidi w:val="0"/>
        <w:spacing w:before="0" w:after="0"/>
        <w:jc w:val="left"/>
        <w:rPr/>
      </w:pPr>
      <w:r>
        <w:rPr/>
        <w:t> </w:t>
      </w:r>
    </w:p>
    <w:tbl>
      <w:tblPr>
        <w:tblW w:w="6421" w:type="dxa"/>
        <w:jc w:val="left"/>
        <w:tblInd w:w="0" w:type="dxa"/>
        <w:tblLayout w:type="fixed"/>
        <w:tblCellMar>
          <w:top w:w="0" w:type="dxa"/>
          <w:left w:w="0" w:type="dxa"/>
          <w:bottom w:w="0" w:type="dxa"/>
          <w:right w:w="0" w:type="dxa"/>
        </w:tblCellMar>
      </w:tblPr>
      <w:tblGrid>
        <w:gridCol w:w="38"/>
        <w:gridCol w:w="60"/>
        <w:gridCol w:w="23"/>
        <w:gridCol w:w="60"/>
        <w:gridCol w:w="341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31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Board and Committee Evaluations </w:t>
      </w:r>
    </w:p>
    <w:p>
      <w:pPr>
        <w:pStyle w:val="TextBody"/>
        <w:bidi w:val="0"/>
        <w:spacing w:before="120" w:after="0"/>
        <w:jc w:val="both"/>
        <w:rPr>
          <w:rFonts w:ascii="arial" w:hAnsi="arial"/>
          <w:color w:val="3E3935"/>
          <w:sz w:val="18"/>
        </w:rPr>
      </w:pPr>
      <w:r>
        <w:rPr>
          <w:rFonts w:ascii="arial" w:hAnsi="arial"/>
          <w:color w:val="3E3935"/>
          <w:sz w:val="18"/>
        </w:rPr>
        <w:t xml:space="preserve">The Governance Committee annually reviews the form and process for Board and committee self-evaluations. The Board’s evaluation process is based on extensive benchmarking, engagement with shareholders, and internal discussion. In 2023, the self-evaluation process for the Board and its committees included (i) committee evaluations led by each committee chair; (ii) interviews between the Board Chair and CEO and each director and (iii) an executive session of the Board to review the feedback received by the Board Chair and CEO. In addition, the Independent Lead Director met in executive session after each Board meeting without the Board Chair and CEO to gather feedback from the other non-employee directors. </w:t>
      </w:r>
    </w:p>
    <w:p>
      <w:pPr>
        <w:pStyle w:val="TextBody"/>
        <w:bidi w:val="0"/>
        <w:spacing w:before="120" w:after="0"/>
        <w:jc w:val="both"/>
        <w:rPr>
          <w:rFonts w:ascii="arial" w:hAnsi="arial"/>
          <w:color w:val="3E3935"/>
          <w:sz w:val="18"/>
        </w:rPr>
      </w:pPr>
      <w:r>
        <w:rPr>
          <w:rFonts w:ascii="arial" w:hAnsi="arial"/>
          <w:color w:val="3E3935"/>
          <w:sz w:val="18"/>
        </w:rPr>
        <w:t xml:space="preserve">The Board believes this process provides ample opportunity to provide feedback on Board, committee, and individual director performance. The Board is committed to implementing feedback from its self-evaluations. Recent examples of changes to practices include evolving the composition of the Board, conducting extensive reviews of the Company’s marketing, software and digital strategies, focusing on supply chain sustainability and battery raw material costs, and prioritizing Board meetings outside Company headquarters to increase interaction with employees and experience the Company’s transformation efforts. </w:t>
      </w:r>
    </w:p>
    <w:p>
      <w:pPr>
        <w:pStyle w:val="TextBody"/>
        <w:bidi w:val="0"/>
        <w:spacing w:before="360" w:after="0"/>
        <w:jc w:val="left"/>
        <w:rPr>
          <w:rFonts w:ascii="arial" w:hAnsi="arial"/>
          <w:b/>
          <w:color w:val="3E3935"/>
          <w:sz w:val="26"/>
        </w:rPr>
      </w:pPr>
      <w:r>
        <w:rPr>
          <w:rFonts w:ascii="arial" w:hAnsi="arial"/>
          <w:b/>
          <w:color w:val="3E3935"/>
          <w:sz w:val="26"/>
        </w:rPr>
        <w:t xml:space="preserve">Annual Evaluation of CEO </w:t>
      </w:r>
    </w:p>
    <w:p>
      <w:pPr>
        <w:pStyle w:val="TextBody"/>
        <w:bidi w:val="0"/>
        <w:spacing w:before="120" w:after="0"/>
        <w:jc w:val="both"/>
        <w:rPr>
          <w:rFonts w:ascii="arial" w:hAnsi="arial"/>
          <w:color w:val="3E3935"/>
          <w:sz w:val="18"/>
        </w:rPr>
      </w:pPr>
      <w:r>
        <w:rPr>
          <w:rFonts w:ascii="arial" w:hAnsi="arial"/>
          <w:color w:val="3E3935"/>
          <w:sz w:val="18"/>
        </w:rPr>
        <w:t xml:space="preserve">Each year, the Board reviews the CEO’s performance against her annual strategic goals. The non-management directors, meeting separately in executive session, annually conduct a formal evaluation of the CEO, which is communicated to the CEO by the Independent Lead Director and Compensation Committee Chair. The evaluation is based on both objective and subjective criteria, including, but not limited to, the Company’s financial performance, accomplishment of ongoing initiatives in furtherance of the Company’s long-term strategic objectives, and development of the Company’s senior management talent. The results of the evaluation are considered by the Compensation Committee in determining the compensation of the CEO as further described in the “Compensation Discussion and Analysis” section beginning on page 42. </w:t>
      </w:r>
    </w:p>
    <w:p>
      <w:pPr>
        <w:pStyle w:val="TextBody"/>
        <w:bidi w:val="0"/>
        <w:spacing w:before="360" w:after="0"/>
        <w:jc w:val="left"/>
        <w:rPr>
          <w:rFonts w:ascii="arial" w:hAnsi="arial"/>
          <w:b/>
          <w:color w:val="3E3935"/>
          <w:sz w:val="26"/>
        </w:rPr>
      </w:pPr>
      <w:r>
        <w:rPr>
          <w:rFonts w:ascii="arial" w:hAnsi="arial"/>
          <w:b/>
          <w:color w:val="3E3935"/>
          <w:sz w:val="26"/>
        </w:rPr>
        <w:t xml:space="preserve">Director Orientation and Continuing Education </w:t>
      </w:r>
    </w:p>
    <w:p>
      <w:pPr>
        <w:pStyle w:val="TextBody"/>
        <w:bidi w:val="0"/>
        <w:spacing w:before="120" w:after="0"/>
        <w:jc w:val="both"/>
        <w:rPr>
          <w:rFonts w:ascii="arial" w:hAnsi="arial"/>
          <w:color w:val="3E3935"/>
          <w:sz w:val="18"/>
        </w:rPr>
      </w:pPr>
      <w:r>
        <w:rPr>
          <w:rFonts w:ascii="arial" w:hAnsi="arial"/>
          <w:color w:val="3E3935"/>
          <w:sz w:val="18"/>
        </w:rPr>
        <w:t xml:space="preserve">All new directors complete the Company’s director orientation program within the first year of their election. The orientation enables new directors to become familiar with the Company’s business and strategic plans, significant financial matters, core values and behaviors, compliance programs, corporate governance practices, and other key policies and practices. As part of the orientation, they meet individually with the Board Chair and CEO, President, General Counsel, and other key members of the Senior Leadership Team. They also attend a meeting of each Board committee at least once before being assigned to committees by the Board. </w:t>
      </w:r>
    </w:p>
    <w:p>
      <w:pPr>
        <w:pStyle w:val="TextBody"/>
        <w:bidi w:val="0"/>
        <w:spacing w:before="240" w:after="0"/>
        <w:jc w:val="both"/>
        <w:rPr>
          <w:rFonts w:ascii="arial" w:hAnsi="arial"/>
          <w:color w:val="3E3935"/>
          <w:sz w:val="18"/>
        </w:rPr>
      </w:pPr>
      <w:r>
        <w:rPr>
          <w:rFonts w:ascii="arial" w:hAnsi="arial"/>
          <w:color w:val="3E3935"/>
          <w:sz w:val="18"/>
        </w:rPr>
        <w:t xml:space="preserve">Continuing education opportunities are also provided to keep directors updated with information about the Company and its strategy, operations, products, and other matters relevant to Board service. Board members are also encouraged to visit GM facilities and dealers and attend auto shows and other key corporate and industry events to enhance their understanding of the Company and its competitors in the automotive industry. In addition, all directors are encouraged to attend, at our expense, director continuing education programs sponsored by governance organizations and other institutions.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0"/>
              <w:jc w:val="center"/>
              <w:rPr>
                <w:rFonts w:ascii="arial" w:hAnsi="arial"/>
                <w:b/>
                <w:color w:val="0071CE"/>
                <w:sz w:val="22"/>
              </w:rPr>
            </w:pPr>
            <w:r>
              <w:rPr>
                <w:rFonts w:ascii="arial" w:hAnsi="arial"/>
                <w:b/>
                <w:color w:val="0071CE"/>
                <w:sz w:val="22"/>
              </w:rPr>
              <w:t>DIRECTOR CONTINUING EDUCATION OPPORTUNITY</w:t>
            </w:r>
          </w:p>
          <w:p>
            <w:pPr>
              <w:pStyle w:val="TableContents"/>
              <w:bidi w:val="0"/>
              <w:spacing w:before="0" w:after="0"/>
              <w:jc w:val="left"/>
              <w:rPr/>
            </w:pPr>
            <w:r>
              <w:rPr/>
              <w:t> </w:t>
            </w:r>
          </w:p>
          <w:p>
            <w:pPr>
              <w:pStyle w:val="TableContents"/>
              <w:bidi w:val="0"/>
              <w:spacing w:before="0" w:after="20"/>
              <w:jc w:val="left"/>
              <w:rPr>
                <w:rFonts w:ascii="arial" w:hAnsi="arial"/>
                <w:color w:val="3E3935"/>
                <w:sz w:val="18"/>
              </w:rPr>
            </w:pPr>
            <w:r>
              <w:rPr>
                <w:rFonts w:ascii="arial" w:hAnsi="arial"/>
                <w:color w:val="3E3935"/>
                <w:sz w:val="18"/>
              </w:rPr>
              <w:t>In June 2023, the Board received a briefing from the National Counterintelligence and Security Center (“NCSC”) focused on geopolitical risk exposures in international markets, including insider threats, cyber activities, and risks in the supply chain. The Board’s discussion with the NCSC reinforced best practices for cyber health tactics and provided educational insight into mitigation strategies.</w:t>
            </w:r>
          </w:p>
        </w:tc>
      </w:tr>
    </w:tbl>
    <w:p>
      <w:pPr>
        <w:pStyle w:val="TextBody"/>
        <w:bidi w:val="0"/>
        <w:spacing w:before="360" w:after="0"/>
        <w:jc w:val="left"/>
        <w:rPr>
          <w:rFonts w:ascii="arial" w:hAnsi="arial"/>
          <w:b/>
          <w:color w:val="3E3935"/>
          <w:sz w:val="26"/>
        </w:rPr>
      </w:pPr>
      <w:r>
        <w:rPr>
          <w:rFonts w:ascii="arial" w:hAnsi="arial"/>
          <w:b/>
          <w:color w:val="3E3935"/>
          <w:sz w:val="26"/>
        </w:rPr>
        <w:t xml:space="preserve">Director Service on Other Public Company Boards </w:t>
      </w:r>
    </w:p>
    <w:p>
      <w:pPr>
        <w:pStyle w:val="TextBody"/>
        <w:bidi w:val="0"/>
        <w:spacing w:before="120" w:after="0"/>
        <w:jc w:val="both"/>
        <w:rPr>
          <w:rFonts w:ascii="arial" w:hAnsi="arial"/>
          <w:color w:val="3E3935"/>
          <w:sz w:val="18"/>
        </w:rPr>
      </w:pPr>
      <w:r>
        <w:rPr>
          <w:rFonts w:ascii="arial" w:hAnsi="arial"/>
          <w:color w:val="3E3935"/>
          <w:sz w:val="18"/>
        </w:rPr>
        <w:t xml:space="preserve">The Board recognizes that service on other public company boards provides directors valuable experience that benefits the Company. The Board also believes, however, that it is critical that directors dedicate sufficient time to their service on the Company’s Board. Directors are expected to advise the Board Chair, Independent Lead Director, or Governance Committee Chair in advance of accepting an invitation to serve on another board of directors or any audit committee of another public company’s board. This allows the Governance Committee to assess the impact of the director joining another board based on various factors relevant to the specific situation, including the nature and extent of a director’s other professional obligations and the time commitment required by the new position. The Governance Committee conducts an annual review of director commitment levels </w:t>
      </w:r>
    </w:p>
    <w:p>
      <w:pPr>
        <w:pStyle w:val="TextBody"/>
        <w:bidi w:val="0"/>
        <w:spacing w:before="0" w:after="0"/>
        <w:jc w:val="left"/>
        <w:rPr/>
      </w:pPr>
      <w:r>
        <w:rPr/>
        <w:t> </w:t>
      </w:r>
    </w:p>
    <w:tbl>
      <w:tblPr>
        <w:tblW w:w="5426" w:type="dxa"/>
        <w:jc w:val="left"/>
        <w:tblInd w:w="0" w:type="dxa"/>
        <w:tblLayout w:type="fixed"/>
        <w:tblCellMar>
          <w:top w:w="0" w:type="dxa"/>
          <w:left w:w="0" w:type="dxa"/>
          <w:bottom w:w="0" w:type="dxa"/>
          <w:right w:w="0" w:type="dxa"/>
        </w:tblCellMar>
      </w:tblPr>
      <w:tblGrid>
        <w:gridCol w:w="275"/>
        <w:gridCol w:w="60"/>
        <w:gridCol w:w="1380"/>
        <w:gridCol w:w="60"/>
        <w:gridCol w:w="341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32</w:t>
            </w:r>
          </w:p>
        </w:tc>
        <w:tc>
          <w:tcPr>
            <w:tcW w:w="60"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left"/>
              <w:rPr/>
            </w:pPr>
            <w:r>
              <w:rPr/>
              <w:drawing>
                <wp:inline distT="0" distB="0" distL="0" distR="0">
                  <wp:extent cx="838200" cy="107315"/>
                  <wp:effectExtent l="0" t="0" r="0" b="0"/>
                  <wp:docPr id="17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3" descr=""/>
                          <pic:cNvPicPr>
                            <a:picLocks noChangeAspect="1" noChangeArrowheads="1"/>
                          </pic:cNvPicPr>
                        </pic:nvPicPr>
                        <pic:blipFill>
                          <a:blip r:embed="rId169"/>
                          <a:stretch>
                            <a:fillRect/>
                          </a:stretch>
                        </pic:blipFill>
                        <pic:spPr bwMode="auto">
                          <a:xfrm>
                            <a:off x="0" y="0"/>
                            <a:ext cx="838200" cy="1073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and affirms that all directors are able to comply with the Company’s expectations on a director’s time and availability. Sometimes, for example, the Governance Committee determines that directors who are engaged in active, full-time employment have less time to devote to board service than a director whose principal occupation is serving on boards. Our Corporate Governance Guidelines provide that, without obtaining the approval of the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3E3935"/>
                <w:sz w:val="18"/>
              </w:rPr>
            </w:pPr>
            <w:r>
              <w:rPr>
                <w:rFonts w:ascii="arial" w:hAnsi="arial"/>
                <w:color w:val="3E3935"/>
                <w:sz w:val="18"/>
              </w:rPr>
              <w:t xml:space="preserve">A director may not serve on the boards of more than four other public companies (excluding nonprofits and subsidiaries); and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No member of the Audit Committee may serve on more than two other public company audit committees. </w:t>
            </w:r>
          </w:p>
        </w:tc>
      </w:tr>
    </w:tbl>
    <w:p>
      <w:pPr>
        <w:pStyle w:val="TextBody"/>
        <w:bidi w:val="0"/>
        <w:spacing w:before="120" w:after="0"/>
        <w:jc w:val="both"/>
        <w:rPr>
          <w:rFonts w:ascii="arial" w:hAnsi="arial"/>
          <w:color w:val="3E3935"/>
          <w:sz w:val="18"/>
        </w:rPr>
      </w:pPr>
      <w:r>
        <w:rPr>
          <w:rFonts w:ascii="arial" w:hAnsi="arial"/>
          <w:color w:val="3E3935"/>
          <w:sz w:val="18"/>
        </w:rPr>
        <w:t xml:space="preserve">The Board also prefers that senior members of management not serve on the board of more than one other public company or for-profit entity, and requires that executive officers obtain the approval of the Governance Committee prior to accepting an invitation to serve on an outside board. At this time, all members of management are in compliance with these guidelines. </w:t>
      </w:r>
    </w:p>
    <w:p>
      <w:pPr>
        <w:pStyle w:val="TextBody"/>
        <w:bidi w:val="0"/>
        <w:spacing w:before="360" w:after="0"/>
        <w:jc w:val="left"/>
        <w:rPr>
          <w:rFonts w:ascii="arial" w:hAnsi="arial"/>
          <w:b/>
          <w:color w:val="3E3935"/>
          <w:sz w:val="26"/>
        </w:rPr>
      </w:pPr>
      <w:r>
        <w:rPr>
          <w:rFonts w:ascii="arial" w:hAnsi="arial"/>
          <w:b/>
          <w:color w:val="3E3935"/>
          <w:sz w:val="26"/>
        </w:rPr>
        <w:t xml:space="preserve">Compensation Committee Interlocks and Insider Participation </w:t>
      </w:r>
    </w:p>
    <w:p>
      <w:pPr>
        <w:pStyle w:val="TextBody"/>
        <w:bidi w:val="0"/>
        <w:spacing w:before="120" w:after="0"/>
        <w:jc w:val="both"/>
        <w:rPr>
          <w:rFonts w:ascii="arial" w:hAnsi="arial"/>
          <w:color w:val="3E3935"/>
          <w:sz w:val="18"/>
        </w:rPr>
      </w:pPr>
      <w:r>
        <w:rPr>
          <w:rFonts w:ascii="arial" w:hAnsi="arial"/>
          <w:color w:val="3E3935"/>
          <w:sz w:val="18"/>
        </w:rPr>
        <w:t xml:space="preserve">Ms. Russo and Messrs. Bhusri, Bush, Jimenez, and Wenig serve on the Compensation Committee. As of the date of this Proxy Statement, no member of the Compensation Committee was or is a GM officer or employee, and no executive officer of the Company served or serves on a compensation committee or board of any company that employed or employs any member of the Company’s Compensation Committee or Board. </w:t>
      </w:r>
    </w:p>
    <w:p>
      <w:pPr>
        <w:pStyle w:val="TextBody"/>
        <w:bidi w:val="0"/>
        <w:spacing w:before="360" w:after="0"/>
        <w:jc w:val="left"/>
        <w:rPr>
          <w:rFonts w:ascii="arial" w:hAnsi="arial"/>
          <w:b/>
          <w:color w:val="0071CE"/>
          <w:sz w:val="28"/>
        </w:rPr>
      </w:pPr>
      <w:bookmarkStart w:id="16" w:name="toc648661_14"/>
      <w:bookmarkEnd w:id="16"/>
      <w:r>
        <w:rPr>
          <w:rFonts w:ascii="arial" w:hAnsi="arial"/>
          <w:b/>
          <w:color w:val="0071CE"/>
          <w:sz w:val="28"/>
        </w:rPr>
        <w:t xml:space="preserve">Corporate Political Contributions and Lobbying Expenditures </w:t>
      </w:r>
    </w:p>
    <w:p>
      <w:pPr>
        <w:pStyle w:val="TextBody"/>
        <w:bidi w:val="0"/>
        <w:spacing w:before="360" w:after="0"/>
        <w:jc w:val="left"/>
        <w:rPr>
          <w:rFonts w:ascii="arial" w:hAnsi="arial"/>
          <w:b/>
          <w:color w:val="3E3935"/>
          <w:sz w:val="26"/>
        </w:rPr>
      </w:pPr>
      <w:r>
        <w:rPr>
          <w:rFonts w:ascii="arial" w:hAnsi="arial"/>
          <w:b/>
          <w:color w:val="3E3935"/>
          <w:sz w:val="26"/>
        </w:rPr>
        <w:t xml:space="preserve">Board Oversight </w:t>
      </w:r>
    </w:p>
    <w:p>
      <w:pPr>
        <w:pStyle w:val="TextBody"/>
        <w:bidi w:val="0"/>
        <w:spacing w:before="120" w:after="0"/>
        <w:jc w:val="both"/>
        <w:rPr>
          <w:rFonts w:ascii="arial" w:hAnsi="arial"/>
          <w:color w:val="3E3935"/>
          <w:sz w:val="18"/>
        </w:rPr>
      </w:pPr>
      <w:r>
        <w:rPr>
          <w:rFonts w:ascii="arial" w:hAnsi="arial"/>
          <w:color w:val="3E3935"/>
          <w:sz w:val="18"/>
        </w:rPr>
        <w:t xml:space="preserve">We participate in the legislative, regulatory, and political processes to help shape public policy that supports our industry, reflects our values and principles, and advances our vision for the future of mobility. To guide our activities and ensure compliance with applicable laws and regulations, the Board has adopted a Company Policy on Corporate Political Contributions and Expenditures (“Political Contributions Policy”). </w:t>
      </w:r>
    </w:p>
    <w:p>
      <w:pPr>
        <w:pStyle w:val="TextBody"/>
        <w:bidi w:val="0"/>
        <w:spacing w:before="120" w:after="0"/>
        <w:jc w:val="both"/>
        <w:rPr>
          <w:rFonts w:ascii="arial" w:hAnsi="arial"/>
          <w:color w:val="3E3935"/>
          <w:sz w:val="18"/>
        </w:rPr>
      </w:pPr>
      <w:r>
        <w:rPr>
          <w:rFonts w:ascii="arial" w:hAnsi="arial"/>
          <w:color w:val="3E3935"/>
          <w:sz w:val="18"/>
        </w:rPr>
        <w:t xml:space="preserve">The Governance Committee oversees the Political Contributions Policy and annually reviews the Company’s engagement in the public policy process. The Governance Committee also annually reviews all corporate political contributions, GM PAC contributions and expenditures, and the process by which such contributions and expenditures are made. GM PAC expenditures are funded entirely by voluntary director and employee contributions and are guided by a board of directors and a steering committee using defined criteria set forth in the Political Contributions Policy. </w:t>
      </w:r>
    </w:p>
    <w:p>
      <w:pPr>
        <w:pStyle w:val="TextBody"/>
        <w:bidi w:val="0"/>
        <w:spacing w:before="120" w:after="0"/>
        <w:jc w:val="both"/>
        <w:rPr>
          <w:rFonts w:ascii="arial" w:hAnsi="arial"/>
          <w:color w:val="3E3935"/>
          <w:sz w:val="18"/>
        </w:rPr>
      </w:pPr>
      <w:r>
        <w:rPr>
          <w:rFonts w:ascii="arial" w:hAnsi="arial"/>
          <w:color w:val="3E3935"/>
          <w:sz w:val="18"/>
        </w:rPr>
        <w:t xml:space="preserve">Management provides updates to the Governance Committee on a regular basis regarding the Company’s lobbying expenditures. In addition, the full Board receives frequent updates from management regarding significant global policy issues facing the Company. The Board uses this report to continuously assess which issues are most important to the Company’s long-term interests and which organizations the Company is working with to advance those interests. </w:t>
      </w:r>
    </w:p>
    <w:p>
      <w:pPr>
        <w:pStyle w:val="TextBody"/>
        <w:bidi w:val="0"/>
        <w:spacing w:before="360" w:after="0"/>
        <w:jc w:val="left"/>
        <w:rPr>
          <w:rFonts w:ascii="arial" w:hAnsi="arial"/>
          <w:b/>
          <w:color w:val="3E3935"/>
          <w:sz w:val="26"/>
        </w:rPr>
      </w:pPr>
      <w:r>
        <w:rPr>
          <w:rFonts w:ascii="arial" w:hAnsi="arial"/>
          <w:b/>
          <w:color w:val="3E3935"/>
          <w:sz w:val="26"/>
        </w:rPr>
        <w:t xml:space="preserve">Transparency and Disclosure </w:t>
      </w:r>
    </w:p>
    <w:p>
      <w:pPr>
        <w:pStyle w:val="TextBody"/>
        <w:bidi w:val="0"/>
        <w:spacing w:before="120" w:after="0"/>
        <w:jc w:val="both"/>
        <w:rPr>
          <w:rFonts w:ascii="arial" w:hAnsi="arial"/>
          <w:color w:val="3E3935"/>
          <w:sz w:val="18"/>
        </w:rPr>
      </w:pPr>
      <w:r>
        <w:rPr>
          <w:rFonts w:ascii="arial" w:hAnsi="arial"/>
          <w:color w:val="3E3935"/>
          <w:sz w:val="18"/>
        </w:rPr>
        <w:t>To promote political transparency and accountability, GM publishes an annual voluntary report of political contributions. In addition, GM files publicly available federal Lobbying Disclosure Act reports each quarter, which disclose GM’s lobbying expenditures, describe the legislative issues on which we have lobbied, and identify the individuals who lobbied on behalf of GM. GM also files similar periodic reports with state agencies. For the sixth consecutive year, the Center for Political Accountability’s Zicklin Index of Corporate Political Disclosure and Accountability, which benchmarks the political disclosure and accountability policies and practices of leading U.S. public companies, recognized the quality of our disclosures and ranked GM among the First Tier of S&amp;P 500 companies, and GM received a recognition as a top tier “trendsetter” for the second consecutive year. You can view our 2023 U.S. Political Engagement Overview, Priorities, and Trade Association Disclosures on our website at</w:t>
      </w:r>
      <w:r>
        <w:rPr>
          <w:rFonts w:ascii="arial" w:hAnsi="arial"/>
          <w:color w:val="0071CE"/>
          <w:sz w:val="18"/>
        </w:rPr>
        <w:t xml:space="preserve"> </w:t>
      </w:r>
      <w:r>
        <w:rPr>
          <w:rFonts w:ascii="arial" w:hAnsi="arial"/>
          <w:i/>
          <w:color w:val="0071CE"/>
          <w:sz w:val="18"/>
        </w:rPr>
        <w:t>investor.gm.com/governanceandsustainability</w:t>
      </w:r>
      <w:r>
        <w:rPr>
          <w:rFonts w:ascii="arial" w:hAnsi="arial"/>
          <w:color w:val="3E3935"/>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0"/>
              <w:jc w:val="center"/>
              <w:rPr>
                <w:rFonts w:ascii="arial" w:hAnsi="arial"/>
                <w:b/>
                <w:color w:val="0071CE"/>
                <w:sz w:val="22"/>
              </w:rPr>
            </w:pPr>
            <w:r>
              <w:rPr>
                <w:rFonts w:ascii="arial" w:hAnsi="arial"/>
                <w:b/>
                <w:color w:val="0071CE"/>
                <w:sz w:val="22"/>
              </w:rPr>
              <w:t>REPORTING ON GM’S SUSTAINABILITY ADVOCACY</w:t>
            </w:r>
          </w:p>
          <w:p>
            <w:pPr>
              <w:pStyle w:val="TableContents"/>
              <w:bidi w:val="0"/>
              <w:spacing w:before="0" w:after="0"/>
              <w:jc w:val="left"/>
              <w:rPr/>
            </w:pPr>
            <w:r>
              <w:rPr/>
              <w:t> </w:t>
            </w:r>
          </w:p>
          <w:p>
            <w:pPr>
              <w:pStyle w:val="TableContents"/>
              <w:bidi w:val="0"/>
              <w:spacing w:before="0" w:after="20"/>
              <w:jc w:val="left"/>
              <w:rPr>
                <w:rFonts w:ascii="arial" w:hAnsi="arial"/>
                <w:color w:val="3E3935"/>
                <w:sz w:val="18"/>
              </w:rPr>
            </w:pPr>
            <w:r>
              <w:rPr>
                <w:rFonts w:ascii="arial" w:hAnsi="arial"/>
                <w:color w:val="3E3935"/>
                <w:sz w:val="18"/>
              </w:rPr>
              <w:t>In 2023, the Governance Committee approved the Company’s third annual Sustainability Advocacy Report, which discloses the Company’s advocacy efforts on climate change policy, fleet emissions, fuel economy regulations, and policies to support the automotive industry’s transition to EVs.</w:t>
            </w:r>
          </w:p>
        </w:tc>
      </w:tr>
    </w:tbl>
    <w:p>
      <w:pPr>
        <w:pStyle w:val="TextBody"/>
        <w:bidi w:val="0"/>
        <w:spacing w:before="0" w:after="0"/>
        <w:jc w:val="left"/>
        <w:rPr/>
      </w:pPr>
      <w:r>
        <w:rPr/>
        <w:t> </w:t>
      </w:r>
    </w:p>
    <w:p>
      <w:pPr>
        <w:pStyle w:val="TextBody"/>
        <w:bidi w:val="0"/>
        <w:spacing w:before="0" w:after="0"/>
        <w:jc w:val="left"/>
        <w:rPr/>
      </w:pPr>
      <w:r>
        <w:rPr/>
        <w:t> </w:t>
      </w:r>
    </w:p>
    <w:tbl>
      <w:tblPr>
        <w:tblW w:w="6421" w:type="dxa"/>
        <w:jc w:val="left"/>
        <w:tblInd w:w="0" w:type="dxa"/>
        <w:tblLayout w:type="fixed"/>
        <w:tblCellMar>
          <w:top w:w="0" w:type="dxa"/>
          <w:left w:w="0" w:type="dxa"/>
          <w:bottom w:w="0" w:type="dxa"/>
          <w:right w:w="0" w:type="dxa"/>
        </w:tblCellMar>
      </w:tblPr>
      <w:tblGrid>
        <w:gridCol w:w="38"/>
        <w:gridCol w:w="60"/>
        <w:gridCol w:w="23"/>
        <w:gridCol w:w="60"/>
        <w:gridCol w:w="341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33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17" w:name="toc648661_15"/>
      <w:bookmarkEnd w:id="17"/>
      <w:r>
        <w:rPr>
          <w:rFonts w:ascii="arial" w:hAnsi="arial"/>
          <w:b/>
          <w:color w:val="0071CE"/>
          <w:sz w:val="28"/>
        </w:rPr>
        <w:t xml:space="preserve">Certain Relationships and Related Party Transactions </w:t>
      </w:r>
    </w:p>
    <w:p>
      <w:pPr>
        <w:pStyle w:val="TextBody"/>
        <w:bidi w:val="0"/>
        <w:spacing w:before="120" w:after="0"/>
        <w:jc w:val="both"/>
        <w:rPr>
          <w:rFonts w:ascii="arial" w:hAnsi="arial"/>
          <w:color w:val="3E3935"/>
          <w:sz w:val="18"/>
        </w:rPr>
      </w:pPr>
      <w:r>
        <w:rPr>
          <w:rFonts w:ascii="arial" w:hAnsi="arial"/>
          <w:color w:val="3E3935"/>
          <w:sz w:val="18"/>
        </w:rPr>
        <w:t xml:space="preserve">Our Code of Conduct requires all of our employees and directors to avoid any activity that is in conflict with our business interests. In addition, the Board has adopted a Related Party Transaction Policy regarding the review and approval of related party transactions, which was most recently updated in December 2021. </w:t>
      </w:r>
    </w:p>
    <w:p>
      <w:pPr>
        <w:pStyle w:val="TextBody"/>
        <w:bidi w:val="0"/>
        <w:spacing w:before="120" w:after="0"/>
        <w:jc w:val="both"/>
        <w:rPr>
          <w:rFonts w:ascii="arial" w:hAnsi="arial"/>
          <w:color w:val="3E3935"/>
          <w:sz w:val="18"/>
        </w:rPr>
      </w:pPr>
      <w:r>
        <w:rPr>
          <w:rFonts w:ascii="arial" w:hAnsi="arial"/>
          <w:color w:val="3E3935"/>
          <w:sz w:val="18"/>
        </w:rPr>
        <w:t xml:space="preserve">Under the Related Party Transactions Policy, which is administered by our Governance Committee, directors and executive officers must report any potential related party transactions on an annual basis (including transactions involving immediate family members) to the General Counsel to determine whether the transaction constitutes a related party transaction. If any member of the Governance Committee has a potential interest in any related party transaction, such member is recused and will abstain from voting on the approval of the related party transaction. </w:t>
      </w:r>
    </w:p>
    <w:p>
      <w:pPr>
        <w:pStyle w:val="TextBody"/>
        <w:bidi w:val="0"/>
        <w:spacing w:before="120" w:after="0"/>
        <w:jc w:val="both"/>
        <w:rPr>
          <w:rFonts w:ascii="arial" w:hAnsi="arial"/>
          <w:color w:val="3E3935"/>
          <w:sz w:val="18"/>
        </w:rPr>
      </w:pPr>
      <w:r>
        <w:rPr>
          <w:rFonts w:ascii="arial" w:hAnsi="arial"/>
          <w:color w:val="3E3935"/>
          <w:sz w:val="18"/>
        </w:rPr>
        <w:t xml:space="preserve">For purposes of our Related Party Transactions Policy, a related party transaction includes transactions in which our Company (or a subsidiary) is a participant, the amount involved exceeds $120,000, and the related party has or will have a direct or indirect material interest. Related parties of our Company consist of directors (including nominees for election as directors), executive officers, shareholders beneficially owning more than 5 percent of the Company’s voting securities, and the immediate family members of these individuals. Once a potential related party transaction has been identified, the Governance Committee reviews all of the relevant facts and circumstances and approves or disapproves entry into the transaction. As required under SEC rules, we disclose all related party transactions annually in our proxy statement, even in cases when the arrangements predate a relationship with the director or predate the director’s relationship with the Company. When a transaction is ongoing, the transactions are still reviewed annually for reasonableness and fairness to the Company. </w:t>
      </w:r>
    </w:p>
    <w:p>
      <w:pPr>
        <w:pStyle w:val="TextBody"/>
        <w:bidi w:val="0"/>
        <w:spacing w:before="360" w:after="0"/>
        <w:jc w:val="left"/>
        <w:rPr>
          <w:rFonts w:ascii="arial" w:hAnsi="arial"/>
          <w:b/>
          <w:color w:val="3E3935"/>
          <w:sz w:val="26"/>
        </w:rPr>
      </w:pPr>
      <w:r>
        <w:rPr>
          <w:rFonts w:ascii="arial" w:hAnsi="arial"/>
          <w:b/>
          <w:color w:val="3E3935"/>
          <w:sz w:val="26"/>
        </w:rPr>
        <w:t xml:space="preserve">Factors Used in Assessing Related Party Transactions </w:t>
      </w:r>
    </w:p>
    <w:p>
      <w:pPr>
        <w:pStyle w:val="TextBody"/>
        <w:bidi w:val="0"/>
        <w:spacing w:before="0" w:after="0"/>
        <w:jc w:val="left"/>
        <w:rPr/>
      </w:pPr>
      <w:r>
        <w:rPr/>
        <w:t> </w:t>
      </w:r>
    </w:p>
    <w:p>
      <w:pPr>
        <w:pStyle w:val="TextBody"/>
        <w:bidi w:val="0"/>
        <w:spacing w:before="0" w:after="0"/>
        <w:jc w:val="left"/>
        <w:rPr>
          <w:shd w:fill="CCF2F8" w:val="clear"/>
        </w:rPr>
      </w:pPr>
      <w:r>
        <w:rPr>
          <w:shd w:fill="CCF2F8" w:val="clear"/>
        </w:rPr>
        <w:t> </w:t>
      </w:r>
    </w:p>
    <w:p>
      <w:pPr>
        <w:pStyle w:val="TextBody"/>
        <w:bidi w:val="0"/>
        <w:jc w:val="left"/>
        <w:rPr>
          <w:shd w:fill="CCF2F8" w:val="clear"/>
        </w:rPr>
      </w:pPr>
      <w:r>
        <w:rPr>
          <w:shd w:fill="CCF2F8" w:val="clear"/>
        </w:rPr>
        <w:t> </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3110230" cy="2116455"/>
                <wp:effectExtent l="0" t="0" r="0" b="0"/>
                <wp:wrapSquare wrapText="right"/>
                <wp:docPr id="173" name="Frame5"/>
                <a:graphic xmlns:a="http://schemas.openxmlformats.org/drawingml/2006/main">
                  <a:graphicData uri="http://schemas.microsoft.com/office/word/2010/wordprocessingShape">
                    <wps:wsp>
                      <wps:cNvSpPr txBox="1"/>
                      <wps:spPr>
                        <a:xfrm>
                          <a:off x="0" y="0"/>
                          <a:ext cx="3110230" cy="21164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Whether the terms of the related party transaction are fair to the Company and on the same basis as if the transaction had occurred on an arm’s-length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Whether there are any compelling business reasons for the Company to enter into the related party transaction and the nature of alternative transactions,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Whether grants or contributions made by the Company under one of its grant programs are in accordance with the Company’s corporate contribution guidelines;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6.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Whether the terms of the related party transaction are fair to the Company and on the same basis as if the transaction had occurred on an arm’s-length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Whether there are any compelling business reasons for the Company to enter into the related party transaction and the nature of alternative transactions,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Whether grants or contributions made by the Company under one of its grant programs are in accordance with the Company’s corporate contribution guidelines;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3175000" cy="1586230"/>
                <wp:effectExtent l="0" t="0" r="0" b="0"/>
                <wp:wrapSquare wrapText="right"/>
                <wp:docPr id="174" name="Frame6"/>
                <a:graphic xmlns:a="http://schemas.openxmlformats.org/drawingml/2006/main">
                  <a:graphicData uri="http://schemas.microsoft.com/office/word/2010/wordprocessingShape">
                    <wps:wsp>
                      <wps:cNvSpPr txBox="1"/>
                      <wps:spPr>
                        <a:xfrm>
                          <a:off x="0" y="0"/>
                          <a:ext cx="3175000" cy="15862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color w:val="3E3935"/>
                                    </w:rPr>
                                  </w:pPr>
                                  <w:r>
                                    <w:rPr>
                                      <w:color w:val="3E3935"/>
                                    </w:rPr>
                                    <w:t xml:space="preserve">Whether the related party transaction would impair the independence of an otherwise independent director; and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color w:val="3E3935"/>
                                    </w:rPr>
                                  </w:pPr>
                                  <w:r>
                                    <w:rPr>
                                      <w:color w:val="3E3935"/>
                                    </w:rPr>
                                    <w:t xml:space="preserve">Whether the related party transaction would present an improper conflict of interest for any director or executive officer of the Company, taking into account the specific facts and circumstances of such transaction.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4.9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color w:val="3E3935"/>
                              </w:rPr>
                            </w:pPr>
                            <w:r>
                              <w:rPr>
                                <w:color w:val="3E3935"/>
                              </w:rPr>
                              <w:t xml:space="preserve">Whether the related party transaction would impair the independence of an otherwise independent director; and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color w:val="3E3935"/>
                              </w:rPr>
                            </w:pPr>
                            <w:r>
                              <w:rPr>
                                <w:color w:val="3E3935"/>
                              </w:rPr>
                              <w:t xml:space="preserve">Whether the related party transaction would present an improper conflict of interest for any director or executive officer of the Company, taking into account the specific facts and circumstances of such transaction.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360" w:after="0"/>
        <w:jc w:val="left"/>
        <w:rPr>
          <w:rFonts w:ascii="arial" w:hAnsi="arial"/>
          <w:b/>
          <w:color w:val="3E3935"/>
          <w:sz w:val="26"/>
        </w:rPr>
      </w:pPr>
      <w:r>
        <w:rPr>
          <w:rFonts w:ascii="arial" w:hAnsi="arial"/>
          <w:b/>
          <w:color w:val="3E3935"/>
          <w:sz w:val="26"/>
        </w:rPr>
        <w:t xml:space="preserve">2023 Related Party Transactions </w:t>
      </w:r>
    </w:p>
    <w:p>
      <w:pPr>
        <w:pStyle w:val="TextBody"/>
        <w:bidi w:val="0"/>
        <w:spacing w:before="120" w:after="0"/>
        <w:jc w:val="both"/>
        <w:rPr>
          <w:rFonts w:ascii="arial" w:hAnsi="arial"/>
          <w:color w:val="3E3935"/>
          <w:sz w:val="18"/>
        </w:rPr>
      </w:pPr>
      <w:r>
        <w:rPr>
          <w:rFonts w:ascii="arial" w:hAnsi="arial"/>
          <w:color w:val="3E3935"/>
          <w:sz w:val="18"/>
        </w:rPr>
        <w:t xml:space="preserve">In 2023, two holders of 5 percent or more of the Company’s common stock (BlackRock, Inc. and The Vanguard Group) provided investment management services to Company-sponsored pension plans. In addition, in 2022, GM entered into a real estate contract for design studio space in the United Kingdom that is owned by a subsidiary of BlackRock. The contract value is under $5 million for the duration of the ten-year lease. </w:t>
      </w:r>
    </w:p>
    <w:p>
      <w:pPr>
        <w:pStyle w:val="TextBody"/>
        <w:bidi w:val="0"/>
        <w:spacing w:before="240" w:after="0"/>
        <w:jc w:val="both"/>
        <w:rPr>
          <w:rFonts w:ascii="arial" w:hAnsi="arial"/>
          <w:color w:val="3E3935"/>
          <w:sz w:val="18"/>
        </w:rPr>
      </w:pPr>
      <w:r>
        <w:rPr>
          <w:rFonts w:ascii="arial" w:hAnsi="arial"/>
          <w:color w:val="3E3935"/>
          <w:sz w:val="18"/>
        </w:rPr>
        <w:t xml:space="preserve">The SEC has identified employment of immediate family members of directors and executive officers as per-se related party transactions and subject to disclosure if the $120,000 threshold is met. In 2023, the following immediate family members of executive officers were employed by General Motors or its subsidiaries and had total compensation in excess of $120,000: the daughter of Mark L. Reuss, our President, is employed by GM in the Marketing organization; and the son of Craig B. Glidden, our Executive Vice President, Legal, Policy, Cybersecurity, and Corporate Secretary, is employed by GM Cruise Holdings LLC, the Company’s majority owned subsidiary. The compensation of these individuals is comparable to other employees at a similar level. </w:t>
      </w:r>
    </w:p>
    <w:p>
      <w:pPr>
        <w:pStyle w:val="TextBody"/>
        <w:bidi w:val="0"/>
        <w:spacing w:before="120" w:after="0"/>
        <w:jc w:val="both"/>
        <w:rPr>
          <w:rFonts w:ascii="arial" w:hAnsi="arial"/>
          <w:color w:val="3E3935"/>
          <w:sz w:val="18"/>
        </w:rPr>
      </w:pPr>
      <w:r>
        <w:rPr>
          <w:rFonts w:ascii="arial" w:hAnsi="arial"/>
          <w:color w:val="3E3935"/>
          <w:sz w:val="18"/>
        </w:rPr>
        <w:t xml:space="preserve">NEOs may be eligible to reimburse personal travel expenses pursuant to time-sharing agreements that the Company may enter into from time to time, subject to Federal Aviation Administration regulations. In 2023, pursuant to such an agreement, Mr. Reuss reimbursed the Company $159,413 for his personal use of corporate aircraft, including certain taxes. For additional information about NEO’s personal use of corporate aircraft, see page 52 under “Perquisites and Other Compensation.” </w:t>
      </w:r>
    </w:p>
    <w:p>
      <w:pPr>
        <w:pStyle w:val="TextBody"/>
        <w:bidi w:val="0"/>
        <w:spacing w:before="0" w:after="0"/>
        <w:jc w:val="left"/>
        <w:rPr/>
      </w:pPr>
      <w:r>
        <w:rPr/>
        <w:t> </w:t>
      </w:r>
    </w:p>
    <w:tbl>
      <w:tblPr>
        <w:tblW w:w="4238" w:type="dxa"/>
        <w:jc w:val="left"/>
        <w:tblInd w:w="0" w:type="dxa"/>
        <w:tblLayout w:type="fixed"/>
        <w:tblCellMar>
          <w:top w:w="0" w:type="dxa"/>
          <w:left w:w="0" w:type="dxa"/>
          <w:bottom w:w="0" w:type="dxa"/>
          <w:right w:w="0" w:type="dxa"/>
        </w:tblCellMar>
      </w:tblPr>
      <w:tblGrid>
        <w:gridCol w:w="275"/>
        <w:gridCol w:w="60"/>
        <w:gridCol w:w="192"/>
        <w:gridCol w:w="60"/>
        <w:gridCol w:w="341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34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7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4" descr=""/>
                          <pic:cNvPicPr>
                            <a:picLocks noChangeAspect="1" noChangeArrowheads="1"/>
                          </pic:cNvPicPr>
                        </pic:nvPicPr>
                        <pic:blipFill>
                          <a:blip r:embed="rId170"/>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color w:val="3E3935"/>
              </w:rPr>
            </w:pPr>
            <w:r>
              <w:rPr>
                <w:b/>
                <w:color w:val="3E3935"/>
              </w:rPr>
              <w:t>CORPORATE GOVERNANCE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arial" w:hAnsi="arial"/>
          <w:color w:val="3E3935"/>
          <w:sz w:val="18"/>
        </w:rPr>
      </w:pPr>
      <w:r>
        <w:rPr>
          <w:rFonts w:ascii="arial" w:hAnsi="arial"/>
          <w:color w:val="3E3935"/>
          <w:sz w:val="18"/>
        </w:rPr>
        <w:t xml:space="preserve">[THIS PAGE INTENTIONALLY LEFT BLANK]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bookmarkStart w:id="18" w:name="toc648661_16"/>
      <w:bookmarkEnd w:id="18"/>
      <w:r>
        <w:rPr>
          <w:rFonts w:ascii="arial" w:hAnsi="arial"/>
          <w:color w:val="3E3935"/>
          <w:sz w:val="64"/>
        </w:rPr>
        <w:t xml:space="preserve">Security Ownership Information </w:t>
      </w:r>
    </w:p>
    <w:p>
      <w:pPr>
        <w:pStyle w:val="TextBody"/>
        <w:bidi w:val="0"/>
        <w:spacing w:before="480" w:after="0"/>
        <w:jc w:val="left"/>
        <w:rPr>
          <w:rFonts w:ascii="arial" w:hAnsi="arial"/>
          <w:b/>
          <w:color w:val="0071CE"/>
          <w:sz w:val="28"/>
        </w:rPr>
      </w:pPr>
      <w:r>
        <w:rPr>
          <w:rFonts w:ascii="arial" w:hAnsi="arial"/>
          <w:b/>
          <w:color w:val="0071CE"/>
          <w:sz w:val="28"/>
        </w:rPr>
        <w:t xml:space="preserve">Security Ownership of Directors, Named Executive Officers, and Certain Other Beneficial Owners </w:t>
      </w:r>
    </w:p>
    <w:p>
      <w:pPr>
        <w:pStyle w:val="TextBody"/>
        <w:bidi w:val="0"/>
        <w:spacing w:before="120" w:after="0"/>
        <w:jc w:val="both"/>
        <w:rPr>
          <w:rFonts w:ascii="arial" w:hAnsi="arial"/>
          <w:color w:val="3E3935"/>
          <w:sz w:val="18"/>
        </w:rPr>
      </w:pPr>
      <w:r>
        <w:rPr>
          <w:rFonts w:ascii="arial" w:hAnsi="arial"/>
          <w:color w:val="3E3935"/>
          <w:sz w:val="18"/>
        </w:rPr>
        <w:t xml:space="preserve">The following table and accompanying footnotes show information regarding the beneficial ownership of GM’s issued and outstanding common stock by (i) each of our directors and NEOs, and all directors and executive officers as a group, in each case as of March 31, 2024, and (ii) each person known by us to beneficially own more than 5 percent of our issued and outstanding common stock as of the dates indicated in the footnotes. All directors and executive officers have sole voting and dispositive power over their shares, and none of the shares shown as beneficially owned by directors and executive officers are pledged as security for any obligation. The Percentage of Outstanding Shares is based on 1,145,938,628 shares issued and outstanding as of April 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56"/>
        <w:gridCol w:w="120"/>
        <w:gridCol w:w="92"/>
        <w:gridCol w:w="1878"/>
        <w:gridCol w:w="623"/>
        <w:gridCol w:w="60"/>
        <w:gridCol w:w="221"/>
        <w:gridCol w:w="1179"/>
        <w:gridCol w:w="76"/>
      </w:tblGrid>
      <w:tr>
        <w:trPr/>
        <w:tc>
          <w:tcPr>
            <w:tcW w:w="59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956"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Name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7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Shares of Common</w:t>
              <w:br/>
              <w:t>Stock Beneficially</w:t>
              <w:br/>
              <w:t>Owned</w:t>
            </w:r>
          </w:p>
        </w:tc>
        <w:tc>
          <w:tcPr>
            <w:tcW w:w="623"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0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Percentage of</w:t>
              <w:br/>
              <w:t>Outstanding</w:t>
              <w:br/>
              <w:t>Shares</w:t>
            </w:r>
          </w:p>
        </w:tc>
        <w:tc>
          <w:tcPr>
            <w:tcW w:w="76"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Non-Employee Directors(1)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Aneel Bhusri</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47,646</w:t>
            </w:r>
          </w:p>
        </w:tc>
        <w:tc>
          <w:tcPr>
            <w:tcW w:w="623" w:type="dxa"/>
            <w:tcBorders/>
            <w:shd w:fill="CCF2F8" w:val="clear"/>
            <w:vAlign w:val="center"/>
          </w:tcPr>
          <w:p>
            <w:pPr>
              <w:pStyle w:val="TableContents"/>
              <w:bidi w:val="0"/>
              <w:spacing w:before="0" w:after="283"/>
              <w:jc w:val="left"/>
              <w:rPr>
                <w:color w:val="3E3935"/>
              </w:rPr>
            </w:pPr>
            <w:r>
              <w:rPr>
                <w:color w:val="3E3935"/>
              </w:rPr>
              <w:t>(2)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Wesley G. Bush</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20,000</w:t>
            </w:r>
          </w:p>
        </w:tc>
        <w:tc>
          <w:tcPr>
            <w:tcW w:w="623" w:type="dxa"/>
            <w:tcBorders/>
            <w:vAlign w:val="center"/>
          </w:tcPr>
          <w:p>
            <w:pPr>
              <w:pStyle w:val="TableContents"/>
              <w:bidi w:val="0"/>
              <w:spacing w:before="0" w:after="283"/>
              <w:jc w:val="left"/>
              <w:rPr>
                <w:color w:val="3E3935"/>
              </w:rPr>
            </w:pPr>
            <w:r>
              <w:rPr>
                <w:color w:val="3E3935"/>
              </w:rPr>
              <w:t>(2),(3)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Joanne C. Crevoiserat</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w:t>
            </w:r>
          </w:p>
        </w:tc>
        <w:tc>
          <w:tcPr>
            <w:tcW w:w="623" w:type="dxa"/>
            <w:tcBorders/>
            <w:shd w:fill="CCF2F8" w:val="clear"/>
            <w:vAlign w:val="center"/>
          </w:tcPr>
          <w:p>
            <w:pPr>
              <w:pStyle w:val="TableContents"/>
              <w:bidi w:val="0"/>
              <w:spacing w:before="0" w:after="283"/>
              <w:jc w:val="left"/>
              <w:rPr>
                <w:color w:val="3E3935"/>
              </w:rPr>
            </w:pPr>
            <w:r>
              <w:rPr>
                <w:color w:val="3E3935"/>
              </w:rPr>
              <w:t>(2)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Linda R. Gooden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1,000</w:t>
            </w:r>
          </w:p>
        </w:tc>
        <w:tc>
          <w:tcPr>
            <w:tcW w:w="623" w:type="dxa"/>
            <w:tcBorders/>
            <w:vAlign w:val="center"/>
          </w:tcPr>
          <w:p>
            <w:pPr>
              <w:pStyle w:val="TableContents"/>
              <w:bidi w:val="0"/>
              <w:spacing w:before="0" w:after="283"/>
              <w:jc w:val="left"/>
              <w:rPr>
                <w:color w:val="3E3935"/>
              </w:rPr>
            </w:pPr>
            <w:r>
              <w:rPr>
                <w:color w:val="3E3935"/>
              </w:rPr>
              <w:t>(2)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Joseph Jimenez</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32,330</w:t>
            </w:r>
          </w:p>
        </w:tc>
        <w:tc>
          <w:tcPr>
            <w:tcW w:w="623" w:type="dxa"/>
            <w:tcBorders/>
            <w:shd w:fill="CCF2F8" w:val="clear"/>
            <w:vAlign w:val="center"/>
          </w:tcPr>
          <w:p>
            <w:pPr>
              <w:pStyle w:val="TableContents"/>
              <w:bidi w:val="0"/>
              <w:spacing w:before="0" w:after="283"/>
              <w:jc w:val="left"/>
              <w:rPr>
                <w:color w:val="3E3935"/>
              </w:rPr>
            </w:pPr>
            <w:r>
              <w:rPr>
                <w:color w:val="3E3935"/>
              </w:rPr>
              <w:t>(2),(4)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Jonathan McNeill</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w:t>
            </w:r>
          </w:p>
        </w:tc>
        <w:tc>
          <w:tcPr>
            <w:tcW w:w="623" w:type="dxa"/>
            <w:tcBorders/>
            <w:vAlign w:val="center"/>
          </w:tcPr>
          <w:p>
            <w:pPr>
              <w:pStyle w:val="TableContents"/>
              <w:bidi w:val="0"/>
              <w:spacing w:before="0" w:after="283"/>
              <w:jc w:val="left"/>
              <w:rPr>
                <w:color w:val="3E3935"/>
              </w:rPr>
            </w:pPr>
            <w:r>
              <w:rPr>
                <w:color w:val="3E3935"/>
              </w:rPr>
              <w:t>(2)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Judith A. Miscik</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w:t>
            </w:r>
          </w:p>
        </w:tc>
        <w:tc>
          <w:tcPr>
            <w:tcW w:w="623" w:type="dxa"/>
            <w:tcBorders/>
            <w:shd w:fill="CCF2F8" w:val="clear"/>
            <w:vAlign w:val="center"/>
          </w:tcPr>
          <w:p>
            <w:pPr>
              <w:pStyle w:val="TableContents"/>
              <w:bidi w:val="0"/>
              <w:spacing w:before="0" w:after="283"/>
              <w:jc w:val="left"/>
              <w:rPr>
                <w:color w:val="3E3935"/>
              </w:rPr>
            </w:pPr>
            <w:r>
              <w:rPr>
                <w:color w:val="3E3935"/>
              </w:rPr>
              <w:t>(2)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Patricia F. Russo</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31,000</w:t>
            </w:r>
          </w:p>
        </w:tc>
        <w:tc>
          <w:tcPr>
            <w:tcW w:w="623" w:type="dxa"/>
            <w:tcBorders/>
            <w:vAlign w:val="center"/>
          </w:tcPr>
          <w:p>
            <w:pPr>
              <w:pStyle w:val="TableContents"/>
              <w:bidi w:val="0"/>
              <w:spacing w:before="0" w:after="283"/>
              <w:jc w:val="left"/>
              <w:rPr>
                <w:color w:val="3E3935"/>
              </w:rPr>
            </w:pPr>
            <w:r>
              <w:rPr>
                <w:color w:val="3E3935"/>
              </w:rPr>
              <w:t>(2)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Thomas M. Schoewe</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22,005</w:t>
            </w:r>
          </w:p>
        </w:tc>
        <w:tc>
          <w:tcPr>
            <w:tcW w:w="623" w:type="dxa"/>
            <w:tcBorders/>
            <w:shd w:fill="CCF2F8" w:val="clear"/>
            <w:vAlign w:val="center"/>
          </w:tcPr>
          <w:p>
            <w:pPr>
              <w:pStyle w:val="TableContents"/>
              <w:bidi w:val="0"/>
              <w:spacing w:before="0" w:after="283"/>
              <w:jc w:val="left"/>
              <w:rPr>
                <w:color w:val="3E3935"/>
              </w:rPr>
            </w:pPr>
            <w:r>
              <w:rPr>
                <w:color w:val="3E3935"/>
              </w:rPr>
              <w:t>(2)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A. Tatum</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w:t>
            </w:r>
          </w:p>
        </w:tc>
        <w:tc>
          <w:tcPr>
            <w:tcW w:w="623" w:type="dxa"/>
            <w:tcBorders/>
            <w:vAlign w:val="center"/>
          </w:tcPr>
          <w:p>
            <w:pPr>
              <w:pStyle w:val="TableContents"/>
              <w:bidi w:val="0"/>
              <w:spacing w:before="0" w:after="283"/>
              <w:jc w:val="left"/>
              <w:rPr>
                <w:color w:val="3E3935"/>
              </w:rPr>
            </w:pPr>
            <w:r>
              <w:rPr>
                <w:color w:val="3E3935"/>
              </w:rPr>
              <w:t>(2)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Jan E. Tighe</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w:t>
            </w:r>
          </w:p>
        </w:tc>
        <w:tc>
          <w:tcPr>
            <w:tcW w:w="623" w:type="dxa"/>
            <w:tcBorders/>
            <w:shd w:fill="CCF2F8" w:val="clear"/>
            <w:vAlign w:val="center"/>
          </w:tcPr>
          <w:p>
            <w:pPr>
              <w:pStyle w:val="TableContents"/>
              <w:bidi w:val="0"/>
              <w:spacing w:before="0" w:after="283"/>
              <w:jc w:val="left"/>
              <w:rPr>
                <w:color w:val="3E3935"/>
              </w:rPr>
            </w:pPr>
            <w:r>
              <w:rPr>
                <w:color w:val="3E3935"/>
              </w:rPr>
              <w:t>(2)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Devin N. Wenig</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w:t>
            </w:r>
          </w:p>
        </w:tc>
        <w:tc>
          <w:tcPr>
            <w:tcW w:w="623" w:type="dxa"/>
            <w:tcBorders/>
            <w:vAlign w:val="center"/>
          </w:tcPr>
          <w:p>
            <w:pPr>
              <w:pStyle w:val="TableContents"/>
              <w:bidi w:val="0"/>
              <w:spacing w:before="0" w:after="283"/>
              <w:jc w:val="left"/>
              <w:rPr>
                <w:color w:val="3E3935"/>
              </w:rPr>
            </w:pPr>
            <w:r>
              <w:rPr>
                <w:color w:val="3E3935"/>
              </w:rPr>
              <w:t>(2)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Named Executive Officers(1)</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sz w:val="4"/>
                <w:szCs w:val="4"/>
              </w:rPr>
            </w:pPr>
            <w:r>
              <w:rPr>
                <w:sz w:val="4"/>
                <w:szCs w:val="4"/>
              </w:rPr>
            </w:r>
          </w:p>
        </w:tc>
        <w:tc>
          <w:tcPr>
            <w:tcW w:w="1878" w:type="dxa"/>
            <w:tcBorders/>
            <w:shd w:fill="CCF2F8" w:val="clear"/>
            <w:vAlign w:val="center"/>
          </w:tcPr>
          <w:p>
            <w:pPr>
              <w:pStyle w:val="TableContents"/>
              <w:bidi w:val="0"/>
              <w:spacing w:before="0" w:after="283"/>
              <w:jc w:val="left"/>
              <w:rPr>
                <w:sz w:val="4"/>
                <w:szCs w:val="4"/>
              </w:rPr>
            </w:pPr>
            <w:r>
              <w:rPr>
                <w:sz w:val="4"/>
                <w:szCs w:val="4"/>
              </w:rPr>
            </w:r>
          </w:p>
        </w:tc>
        <w:tc>
          <w:tcPr>
            <w:tcW w:w="6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sz w:val="4"/>
                <w:szCs w:val="4"/>
              </w:rPr>
            </w:pPr>
            <w:r>
              <w:rPr>
                <w:sz w:val="4"/>
                <w:szCs w:val="4"/>
              </w:rPr>
            </w:r>
          </w:p>
        </w:tc>
        <w:tc>
          <w:tcPr>
            <w:tcW w:w="1179" w:type="dxa"/>
            <w:tcBorders/>
            <w:shd w:fill="CCF2F8" w:val="clear"/>
            <w:vAlign w:val="center"/>
          </w:tcPr>
          <w:p>
            <w:pPr>
              <w:pStyle w:val="TableContents"/>
              <w:bidi w:val="0"/>
              <w:spacing w:before="0" w:after="283"/>
              <w:jc w:val="left"/>
              <w:rPr>
                <w:sz w:val="4"/>
                <w:szCs w:val="4"/>
              </w:rPr>
            </w:pPr>
            <w:r>
              <w:rPr>
                <w:sz w:val="4"/>
                <w:szCs w:val="4"/>
              </w:rPr>
            </w:r>
          </w:p>
        </w:tc>
        <w:tc>
          <w:tcPr>
            <w:tcW w:w="76" w:type="dxa"/>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Mary T. Barra</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4,674,779</w:t>
            </w:r>
          </w:p>
        </w:tc>
        <w:tc>
          <w:tcPr>
            <w:tcW w:w="623" w:type="dxa"/>
            <w:tcBorders/>
            <w:vAlign w:val="center"/>
          </w:tcPr>
          <w:p>
            <w:pPr>
              <w:pStyle w:val="TableContents"/>
              <w:bidi w:val="0"/>
              <w:spacing w:before="0" w:after="283"/>
              <w:jc w:val="left"/>
              <w:rPr>
                <w:color w:val="3E3935"/>
              </w:rPr>
            </w:pPr>
            <w:r>
              <w:rPr>
                <w:color w:val="3E3935"/>
              </w:rPr>
              <w:t>(5),(6)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Paul A. Jacobson</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520,675</w:t>
            </w:r>
          </w:p>
        </w:tc>
        <w:tc>
          <w:tcPr>
            <w:tcW w:w="623" w:type="dxa"/>
            <w:tcBorders/>
            <w:shd w:fill="CCF2F8" w:val="clear"/>
            <w:vAlign w:val="center"/>
          </w:tcPr>
          <w:p>
            <w:pPr>
              <w:pStyle w:val="TableContents"/>
              <w:bidi w:val="0"/>
              <w:spacing w:before="0" w:after="283"/>
              <w:jc w:val="left"/>
              <w:rPr>
                <w:color w:val="3E3935"/>
              </w:rPr>
            </w:pPr>
            <w:r>
              <w:rPr>
                <w:color w:val="3E3935"/>
              </w:rPr>
              <w:t>(5)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L. Reuss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1,261,061</w:t>
            </w:r>
          </w:p>
        </w:tc>
        <w:tc>
          <w:tcPr>
            <w:tcW w:w="623" w:type="dxa"/>
            <w:tcBorders/>
            <w:vAlign w:val="center"/>
          </w:tcPr>
          <w:p>
            <w:pPr>
              <w:pStyle w:val="TableContents"/>
              <w:bidi w:val="0"/>
              <w:spacing w:before="0" w:after="283"/>
              <w:jc w:val="left"/>
              <w:rPr>
                <w:color w:val="3E3935"/>
              </w:rPr>
            </w:pPr>
            <w:r>
              <w:rPr>
                <w:color w:val="3E3935"/>
              </w:rPr>
              <w:t>(5)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Michael Abbott</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74,284</w:t>
            </w:r>
          </w:p>
        </w:tc>
        <w:tc>
          <w:tcPr>
            <w:tcW w:w="623" w:type="dxa"/>
            <w:tcBorders/>
            <w:shd w:fill="CCF2F8" w:val="clear"/>
            <w:vAlign w:val="center"/>
          </w:tcPr>
          <w:p>
            <w:pPr>
              <w:pStyle w:val="TableContents"/>
              <w:bidi w:val="0"/>
              <w:spacing w:before="0" w:after="283"/>
              <w:jc w:val="left"/>
              <w:rPr>
                <w:color w:val="3E3935"/>
              </w:rPr>
            </w:pPr>
            <w:r>
              <w:rPr>
                <w:color w:val="3E3935"/>
              </w:rPr>
              <w:t>(5)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Craig B. Glidden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color w:val="3E3935"/>
              </w:rPr>
            </w:pPr>
            <w:r>
              <w:rPr>
                <w:color w:val="3E3935"/>
              </w:rPr>
              <w:t> </w:t>
            </w:r>
          </w:p>
        </w:tc>
        <w:tc>
          <w:tcPr>
            <w:tcW w:w="1878" w:type="dxa"/>
            <w:tcBorders/>
            <w:vAlign w:val="center"/>
          </w:tcPr>
          <w:p>
            <w:pPr>
              <w:pStyle w:val="TableContents"/>
              <w:bidi w:val="0"/>
              <w:spacing w:before="0" w:after="283"/>
              <w:jc w:val="right"/>
              <w:rPr>
                <w:color w:val="3E3935"/>
              </w:rPr>
            </w:pPr>
            <w:r>
              <w:rPr>
                <w:color w:val="3E3935"/>
              </w:rPr>
              <w:t>700,574</w:t>
            </w:r>
          </w:p>
        </w:tc>
        <w:tc>
          <w:tcPr>
            <w:tcW w:w="623" w:type="dxa"/>
            <w:tcBorders/>
            <w:vAlign w:val="center"/>
          </w:tcPr>
          <w:p>
            <w:pPr>
              <w:pStyle w:val="TableContents"/>
              <w:bidi w:val="0"/>
              <w:spacing w:before="0" w:after="283"/>
              <w:jc w:val="left"/>
              <w:rPr>
                <w:color w:val="3E3935"/>
              </w:rPr>
            </w:pPr>
            <w:r>
              <w:rPr>
                <w:color w:val="3E3935"/>
              </w:rPr>
              <w:t>(5)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color w:val="3E3935"/>
              </w:rPr>
            </w:pPr>
            <w:r>
              <w:rPr>
                <w:color w:val="3E3935"/>
              </w:rPr>
              <w:t> </w:t>
            </w:r>
          </w:p>
        </w:tc>
        <w:tc>
          <w:tcPr>
            <w:tcW w:w="1179" w:type="dxa"/>
            <w:tcBorders/>
            <w:vAlign w:val="center"/>
          </w:tcPr>
          <w:p>
            <w:pPr>
              <w:pStyle w:val="TableContents"/>
              <w:bidi w:val="0"/>
              <w:spacing w:before="0" w:after="283"/>
              <w:jc w:val="center"/>
              <w:rPr>
                <w:color w:val="3E3935"/>
              </w:rPr>
            </w:pPr>
            <w:r>
              <w:rPr>
                <w:color w:val="3E3935"/>
              </w:rPr>
              <w:t>*</w:t>
            </w:r>
          </w:p>
        </w:tc>
        <w:tc>
          <w:tcPr>
            <w:tcW w:w="76" w:type="dxa"/>
            <w:tcBorders/>
            <w:vAlign w:val="center"/>
          </w:tcPr>
          <w:p>
            <w:pPr>
              <w:pStyle w:val="TableContents"/>
              <w:bidi w:val="0"/>
              <w:spacing w:before="0" w:after="283"/>
              <w:jc w:val="left"/>
              <w:rPr>
                <w:color w:val="3E3935"/>
              </w:rPr>
            </w:pPr>
            <w:r>
              <w:rPr>
                <w:color w:val="3E3935"/>
              </w:rPr>
              <w:t> </w:t>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All Directors and Executive Officers as a Group (21 persons), including the foregoing</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8,197,706</w:t>
            </w:r>
          </w:p>
        </w:tc>
        <w:tc>
          <w:tcPr>
            <w:tcW w:w="623" w:type="dxa"/>
            <w:tcBorders/>
            <w:shd w:fill="CCF2F8" w:val="clear"/>
            <w:vAlign w:val="center"/>
          </w:tcPr>
          <w:p>
            <w:pPr>
              <w:pStyle w:val="TableContents"/>
              <w:bidi w:val="0"/>
              <w:spacing w:before="0" w:after="283"/>
              <w:jc w:val="left"/>
              <w:rPr>
                <w:color w:val="3E3935"/>
              </w:rPr>
            </w:pPr>
            <w:r>
              <w:rPr>
                <w:color w:val="3E3935"/>
              </w:rPr>
              <w:t>(7)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Certain Other Beneficial Owners(8)</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283"/>
              <w:jc w:val="left"/>
              <w:rPr>
                <w:sz w:val="4"/>
                <w:szCs w:val="4"/>
              </w:rPr>
            </w:pPr>
            <w:r>
              <w:rPr>
                <w:sz w:val="4"/>
                <w:szCs w:val="4"/>
              </w:rPr>
            </w:r>
          </w:p>
        </w:tc>
        <w:tc>
          <w:tcPr>
            <w:tcW w:w="2713" w:type="dxa"/>
            <w:gridSpan w:val="4"/>
            <w:tcBorders/>
            <w:shd w:fill="CCF2F8" w:val="clear"/>
            <w:vAlign w:val="center"/>
          </w:tcPr>
          <w:p>
            <w:pPr>
              <w:pStyle w:val="TableContents"/>
              <w:bidi w:val="0"/>
              <w:spacing w:before="0" w:after="283"/>
              <w:jc w:val="left"/>
              <w:rPr>
                <w:sz w:val="4"/>
                <w:szCs w:val="4"/>
              </w:rPr>
            </w:pPr>
            <w:r>
              <w:rPr>
                <w:sz w:val="4"/>
                <w:szCs w:val="4"/>
              </w:rPr>
            </w:r>
          </w:p>
        </w:tc>
        <w:tc>
          <w:tcPr>
            <w:tcW w:w="1536"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956"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BlackRock, Inc.(9)</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color w:val="3E3935"/>
              </w:rPr>
            </w:pPr>
            <w:r>
              <w:rPr>
                <w:color w:val="3E3935"/>
              </w:rPr>
              <w:t> </w:t>
            </w:r>
          </w:p>
        </w:tc>
        <w:tc>
          <w:tcPr>
            <w:tcW w:w="1878" w:type="dxa"/>
            <w:tcBorders/>
            <w:shd w:fill="CCF2F8" w:val="clear"/>
            <w:vAlign w:val="center"/>
          </w:tcPr>
          <w:p>
            <w:pPr>
              <w:pStyle w:val="TableContents"/>
              <w:bidi w:val="0"/>
              <w:spacing w:before="0" w:after="283"/>
              <w:jc w:val="right"/>
              <w:rPr>
                <w:color w:val="3E3935"/>
              </w:rPr>
            </w:pPr>
            <w:r>
              <w:rPr>
                <w:color w:val="3E3935"/>
              </w:rPr>
              <w:t>136,950,373</w:t>
            </w:r>
          </w:p>
        </w:tc>
        <w:tc>
          <w:tcPr>
            <w:tcW w:w="623"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221" w:type="dxa"/>
            <w:tcBorders/>
            <w:shd w:fill="CCF2F8" w:val="clear"/>
            <w:vAlign w:val="center"/>
          </w:tcPr>
          <w:p>
            <w:pPr>
              <w:pStyle w:val="TableContents"/>
              <w:bidi w:val="0"/>
              <w:spacing w:before="0" w:after="283"/>
              <w:jc w:val="left"/>
              <w:rPr>
                <w:color w:val="3E3935"/>
              </w:rPr>
            </w:pPr>
            <w:r>
              <w:rPr>
                <w:color w:val="3E3935"/>
              </w:rPr>
              <w:t> </w:t>
            </w:r>
          </w:p>
        </w:tc>
        <w:tc>
          <w:tcPr>
            <w:tcW w:w="1179" w:type="dxa"/>
            <w:tcBorders/>
            <w:shd w:fill="CCF2F8" w:val="clear"/>
            <w:vAlign w:val="center"/>
          </w:tcPr>
          <w:p>
            <w:pPr>
              <w:pStyle w:val="TableContents"/>
              <w:bidi w:val="0"/>
              <w:spacing w:before="0" w:after="283"/>
              <w:jc w:val="center"/>
              <w:rPr>
                <w:color w:val="3E3935"/>
              </w:rPr>
            </w:pPr>
            <w:r>
              <w:rPr>
                <w:color w:val="3E3935"/>
              </w:rPr>
              <w:t>12%</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r>
      <w:tr>
        <w:trPr/>
        <w:tc>
          <w:tcPr>
            <w:tcW w:w="5956"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The Vanguard Group(10)</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2"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878"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111,623,432</w:t>
            </w:r>
          </w:p>
        </w:tc>
        <w:tc>
          <w:tcPr>
            <w:tcW w:w="623"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221"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179" w:type="dxa"/>
            <w:tcBorders>
              <w:bottom w:val="single" w:sz="6" w:space="0" w:color="0071CE"/>
            </w:tcBorders>
            <w:tcMar>
              <w:bottom w:w="80" w:type="dxa"/>
            </w:tcMar>
            <w:vAlign w:val="center"/>
          </w:tcPr>
          <w:p>
            <w:pPr>
              <w:pStyle w:val="TableContents"/>
              <w:bidi w:val="0"/>
              <w:spacing w:before="0" w:after="283"/>
              <w:jc w:val="center"/>
              <w:rPr>
                <w:color w:val="3E3935"/>
              </w:rPr>
            </w:pPr>
            <w:r>
              <w:rPr>
                <w:color w:val="3E3935"/>
              </w:rPr>
              <w:t>9.7%</w:t>
            </w:r>
          </w:p>
        </w:tc>
        <w:tc>
          <w:tcPr>
            <w:tcW w:w="76"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155"/>
        <w:gridCol w:w="1520"/>
      </w:tblGrid>
      <w:tr>
        <w:trPr/>
        <w:tc>
          <w:tcPr>
            <w:tcW w:w="155" w:type="dxa"/>
            <w:tcBorders/>
            <w:vAlign w:val="center"/>
          </w:tcPr>
          <w:p>
            <w:pPr>
              <w:pStyle w:val="TableContents"/>
              <w:bidi w:val="0"/>
              <w:spacing w:before="0" w:after="283"/>
              <w:jc w:val="left"/>
              <w:rPr>
                <w:color w:val="3E3935"/>
              </w:rPr>
            </w:pPr>
            <w:r>
              <w:rPr>
                <w:color w:val="3E3935"/>
              </w:rPr>
              <w:t>*</w:t>
            </w:r>
          </w:p>
        </w:tc>
        <w:tc>
          <w:tcPr>
            <w:tcW w:w="152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Less than 1 percent. </w:t>
            </w:r>
          </w:p>
        </w:tc>
      </w:tr>
    </w:tbl>
    <w:tbl>
      <w:tblPr>
        <w:tblW w:w="6010" w:type="dxa"/>
        <w:jc w:val="left"/>
        <w:tblInd w:w="0" w:type="dxa"/>
        <w:tblLayout w:type="fixed"/>
        <w:tblCellMar>
          <w:top w:w="0" w:type="dxa"/>
          <w:left w:w="0" w:type="dxa"/>
          <w:bottom w:w="0" w:type="dxa"/>
          <w:right w:w="0" w:type="dxa"/>
        </w:tblCellMar>
      </w:tblPr>
      <w:tblGrid>
        <w:gridCol w:w="305"/>
        <w:gridCol w:w="5705"/>
      </w:tblGrid>
      <w:tr>
        <w:trPr/>
        <w:tc>
          <w:tcPr>
            <w:tcW w:w="305" w:type="dxa"/>
            <w:tcBorders/>
            <w:vAlign w:val="center"/>
          </w:tcPr>
          <w:p>
            <w:pPr>
              <w:pStyle w:val="TableContents"/>
              <w:bidi w:val="0"/>
              <w:spacing w:before="0" w:after="283"/>
              <w:jc w:val="left"/>
              <w:rPr>
                <w:color w:val="3E3935"/>
              </w:rPr>
            </w:pPr>
            <w:r>
              <w:rPr>
                <w:color w:val="3E3935"/>
              </w:rPr>
              <w:t>(1)</w:t>
            </w:r>
          </w:p>
        </w:tc>
        <w:tc>
          <w:tcPr>
            <w:tcW w:w="570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c/o General Motors Company, 300 Renaissance Center, Detroit, Michigan 48265.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3E3935"/>
              </w:rPr>
            </w:pPr>
            <w:r>
              <w:rPr>
                <w:color w:val="3E3935"/>
              </w:rPr>
              <w:t>(2)</w:t>
            </w:r>
          </w:p>
        </w:tc>
        <w:tc>
          <w:tcPr>
            <w:tcW w:w="9959"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amounts represent common stock only and do not include DSUs, which are unit equivalents of our common stock. For more information about how DSUs work, see page 19. Non-employee directors hold the following number of DSUs: 18,362 DSUs for Mr. Bhusri; 41,553 DSUs for Mr. Bush; 12,559 DSUs for Ms. Crevoiserat; 38,721 DSUs for Ms. Gooden; 74,708 DSUs for Mr. Jimenez; 9,266 DSUs for Mr. McNeill; 22,112 DSUs for Ms. Miscik; 82,449 DSUs for Ms. Russo; 52,849 DSUs for Mr. Schoewe; 11,611 DSUs for Mr. Tatum; 5,019 DSUs for Ms. Tighe; and 49,655 DSUs for Mr. Wenig. </w:t>
            </w:r>
          </w:p>
        </w:tc>
      </w:tr>
    </w:tbl>
    <w:tbl>
      <w:tblPr>
        <w:tblW w:w="5395" w:type="dxa"/>
        <w:jc w:val="left"/>
        <w:tblInd w:w="0" w:type="dxa"/>
        <w:tblLayout w:type="fixed"/>
        <w:tblCellMar>
          <w:top w:w="0" w:type="dxa"/>
          <w:left w:w="0" w:type="dxa"/>
          <w:bottom w:w="0" w:type="dxa"/>
          <w:right w:w="0" w:type="dxa"/>
        </w:tblCellMar>
      </w:tblPr>
      <w:tblGrid>
        <w:gridCol w:w="305"/>
        <w:gridCol w:w="5090"/>
      </w:tblGrid>
      <w:tr>
        <w:trPr/>
        <w:tc>
          <w:tcPr>
            <w:tcW w:w="305" w:type="dxa"/>
            <w:tcBorders/>
            <w:vAlign w:val="center"/>
          </w:tcPr>
          <w:p>
            <w:pPr>
              <w:pStyle w:val="TableContents"/>
              <w:bidi w:val="0"/>
              <w:spacing w:before="0" w:after="283"/>
              <w:jc w:val="left"/>
              <w:rPr>
                <w:color w:val="3E3935"/>
              </w:rPr>
            </w:pPr>
            <w:r>
              <w:rPr>
                <w:color w:val="3E3935"/>
              </w:rPr>
              <w:t>(3)</w:t>
            </w:r>
          </w:p>
        </w:tc>
        <w:tc>
          <w:tcPr>
            <w:tcW w:w="50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shares are held indirectly in the Wesley G. Bush Revocable Trust.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color w:val="3E3935"/>
              </w:rPr>
            </w:pPr>
            <w:r>
              <w:rPr>
                <w:color w:val="3E3935"/>
              </w:rPr>
              <w:t>(4)</w:t>
            </w:r>
          </w:p>
        </w:tc>
        <w:tc>
          <w:tcPr>
            <w:tcW w:w="990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This amount includes 330 shares of common stock that Mr. Jimenez holds indirectly through a limited liability company owned but not managed by him.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color w:val="3E3935"/>
              </w:rPr>
            </w:pPr>
            <w:r>
              <w:rPr>
                <w:color w:val="3E3935"/>
              </w:rPr>
              <w:t>(5)</w:t>
            </w:r>
          </w:p>
        </w:tc>
        <w:tc>
          <w:tcPr>
            <w:tcW w:w="9946"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amounts include shares that may be acquired upon exercise of stock options that are currently exercisable or will become exercisable within 60 days of April 1, 2024, as follows: 2,782,914 shares for Ms. Barra; 222,667 shares for Mr. Jacobson; 842,367 shares for Mr. Reuss; 0 shares for Mr. Abbott; and 430,067 shares for Mr. Glidden.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3E3935"/>
              </w:rPr>
            </w:pPr>
            <w:r>
              <w:rPr>
                <w:color w:val="3E3935"/>
              </w:rPr>
              <w:t>(6)</w:t>
            </w:r>
          </w:p>
        </w:tc>
        <w:tc>
          <w:tcPr>
            <w:tcW w:w="992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This amount includes 385,000 shares that are held indirectly in the Mary T. Barra Grantor Retained Annuity Trust Agreement #2 and the Mary T. Barra Grantor Retained Annuity Trust Agreement #3.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color w:val="3E3935"/>
              </w:rPr>
            </w:pPr>
            <w:r>
              <w:rPr>
                <w:color w:val="3E3935"/>
              </w:rPr>
              <w:t>(7)</w:t>
            </w:r>
          </w:p>
        </w:tc>
        <w:tc>
          <w:tcPr>
            <w:tcW w:w="992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This amount includes shares that individuals in the group may acquire upon exercise of stock options that are currently exercisable or will become exercisable within 60 days of April 1, 2024.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color w:val="3E3935"/>
              </w:rPr>
            </w:pPr>
            <w:r>
              <w:rPr>
                <w:color w:val="3E3935"/>
              </w:rPr>
              <w:t>(8)</w:t>
            </w:r>
          </w:p>
        </w:tc>
        <w:tc>
          <w:tcPr>
            <w:tcW w:w="9937"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Company is permitted to rely on the information reported by each beneficial owner in filings with the SEC and has no reason to believe that the information is incomplete or inaccurate or that the beneficial owner should have filed an amended report and did not. </w:t>
            </w:r>
          </w:p>
        </w:tc>
      </w:tr>
    </w:tbl>
    <w:p>
      <w:pPr>
        <w:pStyle w:val="TextBody"/>
        <w:bidi w:val="0"/>
        <w:spacing w:before="0" w:after="0"/>
        <w:jc w:val="left"/>
        <w:rPr/>
      </w:pPr>
      <w:r>
        <w:rPr/>
        <w:t> </w:t>
      </w:r>
    </w:p>
    <w:tbl>
      <w:tblPr>
        <w:tblW w:w="5543" w:type="dxa"/>
        <w:jc w:val="left"/>
        <w:tblInd w:w="0" w:type="dxa"/>
        <w:tblLayout w:type="fixed"/>
        <w:tblCellMar>
          <w:top w:w="0" w:type="dxa"/>
          <w:left w:w="0" w:type="dxa"/>
          <w:bottom w:w="0" w:type="dxa"/>
          <w:right w:w="0" w:type="dxa"/>
        </w:tblCellMar>
      </w:tblPr>
      <w:tblGrid>
        <w:gridCol w:w="275"/>
        <w:gridCol w:w="60"/>
        <w:gridCol w:w="192"/>
        <w:gridCol w:w="60"/>
        <w:gridCol w:w="4715"/>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36</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7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5" descr=""/>
                          <pic:cNvPicPr>
                            <a:picLocks noChangeAspect="1" noChangeArrowheads="1"/>
                          </pic:cNvPicPr>
                        </pic:nvPicPr>
                        <pic:blipFill>
                          <a:blip r:embed="rId171"/>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center"/>
              <w:rPr>
                <w:b/>
                <w:color w:val="3E3935"/>
              </w:rPr>
            </w:pPr>
            <w:r>
              <w:rPr>
                <w:b/>
                <w:color w:val="3E3935"/>
              </w:rPr>
              <w:t>SECURITY OWNERSHIP INFORMATION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3E3935"/>
              </w:rPr>
            </w:pPr>
            <w:r>
              <w:rPr>
                <w:color w:val="3E3935"/>
              </w:rPr>
              <w:t>(9)</w:t>
            </w:r>
          </w:p>
        </w:tc>
        <w:tc>
          <w:tcPr>
            <w:tcW w:w="9958"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Based solely on information set forth in a Schedule 13G/A filed with the SEC on January 24, 2024, BlackRock, Inc., reported that it and its subsidiaries listed on Exhibit A to Schedule 13G/A were the beneficial owners of 136,950,373 shares of GM’s outstanding common stock as of December 31, 2023. BlackRock reported having sole voting power over 122,179,856 shares and sole dispositive power over 136,950,373 shares. No shared voting or dispositive powers were reported. The address for BlackRock, Inc., is 55 East 52nd Street, New York, New York 10055. </w:t>
            </w:r>
          </w:p>
        </w:tc>
      </w:tr>
    </w:tbl>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color w:val="3E3935"/>
              </w:rPr>
            </w:pPr>
            <w:r>
              <w:rPr>
                <w:color w:val="3E3935"/>
              </w:rPr>
              <w:t>(10)</w:t>
            </w:r>
          </w:p>
        </w:tc>
        <w:tc>
          <w:tcPr>
            <w:tcW w:w="9838"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Based solely on information set forth in a Schedule 13G/A filed with the SEC on February 13, 2024, The Vanguard Group reported that it was the beneficial owner of 111,623,432 shares of GM’s outstanding common stock as of December 31, 2023. The Vanguard Group reported having shared voting power over 1,710,488 shares, sole dispositive power over 105,995,331 shares, and shared dispositive power over 5,628,101 shares. No sole voting power was reported. The address for The Vanguard Group is 100 Vanguard Boulevard, Malvern, Pennsylvania 19355. </w:t>
            </w:r>
          </w:p>
        </w:tc>
      </w:tr>
    </w:tbl>
    <w:p>
      <w:pPr>
        <w:pStyle w:val="TextBody"/>
        <w:bidi w:val="0"/>
        <w:spacing w:before="0" w:after="0"/>
        <w:jc w:val="left"/>
        <w:rPr/>
      </w:pPr>
      <w:r>
        <w:rPr/>
        <w:t> </w:t>
      </w:r>
    </w:p>
    <w:tbl>
      <w:tblPr>
        <w:tblW w:w="7726" w:type="dxa"/>
        <w:jc w:val="left"/>
        <w:tblInd w:w="0" w:type="dxa"/>
        <w:tblLayout w:type="fixed"/>
        <w:tblCellMar>
          <w:top w:w="0" w:type="dxa"/>
          <w:left w:w="0" w:type="dxa"/>
          <w:bottom w:w="0" w:type="dxa"/>
          <w:right w:w="0" w:type="dxa"/>
        </w:tblCellMar>
      </w:tblPr>
      <w:tblGrid>
        <w:gridCol w:w="38"/>
        <w:gridCol w:w="60"/>
        <w:gridCol w:w="23"/>
        <w:gridCol w:w="60"/>
        <w:gridCol w:w="471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center"/>
              <w:rPr>
                <w:b/>
                <w:color w:val="3E3935"/>
              </w:rPr>
            </w:pPr>
            <w:r>
              <w:rPr>
                <w:b/>
                <w:color w:val="3E3935"/>
              </w:rPr>
              <w:t>SECURITY OWNERSHIP INFORMATION</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37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32"/>
        </w:rPr>
      </w:pPr>
      <w:bookmarkStart w:id="19" w:name="toc648661_17"/>
      <w:bookmarkEnd w:id="19"/>
      <w:r>
        <w:rPr>
          <w:rFonts w:ascii="arial" w:hAnsi="arial"/>
          <w:b/>
          <w:color w:val="3E3935"/>
          <w:sz w:val="32"/>
        </w:rPr>
        <w:t xml:space="preserve">ITEM NO. 2: </w:t>
      </w:r>
    </w:p>
    <w:p>
      <w:pPr>
        <w:pStyle w:val="TextBody"/>
        <w:bidi w:val="0"/>
        <w:spacing w:before="0" w:after="0"/>
        <w:jc w:val="left"/>
        <w:rPr>
          <w:rFonts w:ascii="arial" w:hAnsi="arial"/>
          <w:color w:val="3E3935"/>
          <w:sz w:val="64"/>
        </w:rPr>
      </w:pPr>
      <w:r>
        <w:rPr>
          <w:rFonts w:ascii="arial" w:hAnsi="arial"/>
          <w:color w:val="3E3935"/>
          <w:sz w:val="64"/>
        </w:rPr>
        <w:t xml:space="preserve">Proposal to Ratify the Selection of Ernst &amp; Young LLP as the Company’s Independent Registered Public Accounting Firm for 2024 </w:t>
      </w:r>
    </w:p>
    <w:p>
      <w:pPr>
        <w:pStyle w:val="TextBody"/>
        <w:bidi w:val="0"/>
        <w:spacing w:before="240" w:after="0"/>
        <w:jc w:val="both"/>
        <w:rPr>
          <w:rFonts w:ascii="arial" w:hAnsi="arial"/>
          <w:color w:val="3E3935"/>
          <w:sz w:val="18"/>
        </w:rPr>
      </w:pPr>
      <w:r>
        <w:rPr>
          <w:rFonts w:ascii="arial" w:hAnsi="arial"/>
          <w:color w:val="3E3935"/>
          <w:sz w:val="18"/>
        </w:rPr>
        <w:t xml:space="preserve">The Audit Committee is directly responsible for the appointment, compensation, retention, and oversight of the Company’s independent registered public accounting firm retained to audit the Company’s consolidated financial statements and internal control over financial reporting. The Audit Committee also oversees the rotation of the independent registered public accounting firm’s lead audit partner and is involved in the selection and approval of the lead audit partner. The lead audit partner rotates every five years in accordance with regulatory requirements. The Audit Committee evaluates the selection of the Company’s independent auditors each year and determines whether to re-engage the current independent auditors or consider other firms. Following this process, the Audit Committee made the determination to re-engage Ernst &amp; Young LLP as the Company’s independent auditors for the fiscal year ending December 31, 2024. </w:t>
      </w:r>
    </w:p>
    <w:p>
      <w:pPr>
        <w:pStyle w:val="TextBody"/>
        <w:bidi w:val="0"/>
        <w:spacing w:before="240" w:after="0"/>
        <w:jc w:val="both"/>
        <w:rPr>
          <w:rFonts w:ascii="arial" w:hAnsi="arial"/>
          <w:sz w:val="18"/>
        </w:rPr>
      </w:pPr>
      <w:r>
        <w:rPr>
          <w:rFonts w:ascii="arial" w:hAnsi="arial"/>
          <w:b/>
          <w:i/>
          <w:color w:val="0071CE"/>
          <w:sz w:val="18"/>
        </w:rPr>
        <w:t>Criteria for Re-Engaging EY.</w:t>
      </w:r>
      <w:r>
        <w:rPr>
          <w:rFonts w:ascii="arial" w:hAnsi="arial"/>
          <w:color w:val="00C1DE"/>
          <w:sz w:val="18"/>
        </w:rPr>
        <w:t xml:space="preserve"> </w:t>
      </w:r>
      <w:r>
        <w:rPr>
          <w:rFonts w:ascii="arial" w:hAnsi="arial"/>
          <w:color w:val="3E3935"/>
          <w:sz w:val="18"/>
        </w:rPr>
        <w:t xml:space="preserve">EY has served as the Company’s independent registered public accounting firm since 2017 when the Audit Committee selected the firm as part of a competitive and comprehensive request for proposal process. Through this process, the Audit Committee evaluated firms based on several key factors, including audit quality; the benefits of tenure versus fresh perspective; cultural fit and business acumen; innovation and technology; auditor independence; and the appropriateness of fees relative to both efficiency and audit quality. These critical factors continue to drive the Audit Committee’s priorities with respect to the selection and retention of the Company’s independent auditors. Based on its annual review, the Audit Committee believes that the continued retention of EY as our independent auditors is in the best interests of our shareholders. </w:t>
      </w:r>
    </w:p>
    <w:p>
      <w:pPr>
        <w:pStyle w:val="TextBody"/>
        <w:bidi w:val="0"/>
        <w:spacing w:before="240" w:after="0"/>
        <w:jc w:val="both"/>
        <w:rPr>
          <w:rFonts w:ascii="arial" w:hAnsi="arial"/>
          <w:sz w:val="18"/>
        </w:rPr>
      </w:pPr>
      <w:r>
        <w:rPr>
          <w:rFonts w:ascii="arial" w:hAnsi="arial"/>
          <w:b/>
          <w:i/>
          <w:color w:val="0071CE"/>
          <w:sz w:val="18"/>
        </w:rPr>
        <w:t>Shareholder Ratification of Our Selection of EY.</w:t>
      </w:r>
      <w:r>
        <w:rPr>
          <w:rFonts w:ascii="arial" w:hAnsi="arial"/>
          <w:color w:val="0071CE"/>
          <w:sz w:val="18"/>
        </w:rPr>
        <w:t xml:space="preserve"> </w:t>
      </w:r>
      <w:r>
        <w:rPr>
          <w:rFonts w:ascii="arial" w:hAnsi="arial"/>
          <w:color w:val="3E3935"/>
          <w:sz w:val="18"/>
        </w:rPr>
        <w:t xml:space="preserve">As a matter of good corporate governance, the Board submits the selection of the independent auditors to our shareholders for ratification. If shareholders do not ratify the selection of EY, the Audit Committee will reconsider whether to engage EY, but may ultimately determine to engage EY or another audit firm without resubmitting the matter to shareholders. Even if the shareholders ratify the selection of EY, the Audit Committee may, in its sole discretion, terminate the engagement of EY and direct the appointment of another independent registered public accounting firm at any time during the year, although it has no current intention to do so. </w:t>
      </w:r>
    </w:p>
    <w:p>
      <w:pPr>
        <w:pStyle w:val="TextBody"/>
        <w:bidi w:val="0"/>
        <w:spacing w:before="240" w:after="0"/>
        <w:jc w:val="both"/>
        <w:rPr>
          <w:rFonts w:ascii="arial" w:hAnsi="arial"/>
          <w:sz w:val="18"/>
        </w:rPr>
      </w:pPr>
      <w:r>
        <w:rPr>
          <w:rFonts w:ascii="arial" w:hAnsi="arial"/>
          <w:b/>
          <w:i/>
          <w:color w:val="0071CE"/>
          <w:sz w:val="18"/>
        </w:rPr>
        <w:t>We Expect EY to Attend Our Annual Meeting.</w:t>
      </w:r>
      <w:r>
        <w:rPr>
          <w:rFonts w:ascii="arial" w:hAnsi="arial"/>
          <w:color w:val="0071CE"/>
          <w:sz w:val="18"/>
        </w:rPr>
        <w:t xml:space="preserve"> </w:t>
      </w:r>
      <w:r>
        <w:rPr>
          <w:rFonts w:ascii="arial" w:hAnsi="arial"/>
          <w:color w:val="3E3935"/>
          <w:sz w:val="18"/>
        </w:rPr>
        <w:t xml:space="preserve">We expect that representatives of EY will be present at the Annual Meeting. They will have an opportunity to make a statement if they so desire and are expected to be available to respond to appropriate questions from shareholders. </w:t>
      </w:r>
    </w:p>
    <w:p>
      <w:pPr>
        <w:pStyle w:val="TextBody"/>
        <w:bidi w:val="0"/>
        <w:spacing w:before="240" w:after="0"/>
        <w:jc w:val="both"/>
        <w:rPr>
          <w:rFonts w:ascii="arial" w:hAnsi="arial"/>
          <w:color w:val="3E3935"/>
          <w:sz w:val="18"/>
        </w:rPr>
      </w:pPr>
      <w:r>
        <w:rPr>
          <w:rFonts w:ascii="arial" w:hAnsi="arial"/>
          <w:color w:val="3E3935"/>
          <w:sz w:val="18"/>
        </w:rPr>
        <w:t xml:space="preserve">For additional information concerning the Audit Committee and its activities with EY, see the “Audit Committee Report”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5"/>
        <w:gridCol w:w="60"/>
        <w:gridCol w:w="9520"/>
      </w:tblGrid>
      <w:tr>
        <w:trPr/>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20" w:type="dxa"/>
            <w:tcBorders/>
            <w:vAlign w:val="center"/>
          </w:tcPr>
          <w:p>
            <w:pPr>
              <w:pStyle w:val="TableContents"/>
              <w:bidi w:val="0"/>
              <w:spacing w:before="0" w:after="283"/>
              <w:jc w:val="left"/>
              <w:rPr>
                <w:sz w:val="4"/>
                <w:szCs w:val="4"/>
              </w:rPr>
            </w:pPr>
            <w:r>
              <w:rPr>
                <w:sz w:val="4"/>
                <w:szCs w:val="4"/>
              </w:rPr>
            </w:r>
          </w:p>
        </w:tc>
      </w:tr>
      <w:tr>
        <w:trPr/>
        <w:tc>
          <w:tcPr>
            <w:tcW w:w="625" w:type="dxa"/>
            <w:tcBorders/>
            <w:shd w:fill="CCF2F8" w:val="clear"/>
            <w:vAlign w:val="center"/>
          </w:tcPr>
          <w:p>
            <w:pPr>
              <w:pStyle w:val="TableContents"/>
              <w:bidi w:val="0"/>
              <w:spacing w:before="0" w:after="283"/>
              <w:jc w:val="left"/>
              <w:rPr>
                <w:sz w:val="4"/>
                <w:szCs w:val="4"/>
              </w:rPr>
            </w:pPr>
            <w:r>
              <w:rPr>
                <w:sz w:val="4"/>
                <w:szCs w:val="4"/>
              </w:rPr>
            </w:r>
          </w:p>
        </w:tc>
        <w:tc>
          <w:tcPr>
            <w:tcW w:w="958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25" w:type="dxa"/>
            <w:tcBorders/>
            <w:shd w:fill="CCF2F8" w:val="clear"/>
            <w:vAlign w:val="center"/>
          </w:tcPr>
          <w:p>
            <w:pPr>
              <w:pStyle w:val="TableContents"/>
              <w:bidi w:val="0"/>
              <w:spacing w:before="0" w:after="283"/>
              <w:jc w:val="center"/>
              <w:rPr/>
            </w:pPr>
            <w:r>
              <w:rPr/>
              <w:drawing>
                <wp:inline distT="0" distB="0" distL="0" distR="0">
                  <wp:extent cx="371475" cy="371475"/>
                  <wp:effectExtent l="0" t="0" r="0" b="0"/>
                  <wp:docPr id="17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6" descr=""/>
                          <pic:cNvPicPr>
                            <a:picLocks noChangeAspect="1" noChangeArrowheads="1"/>
                          </pic:cNvPicPr>
                        </pic:nvPicPr>
                        <pic:blipFill>
                          <a:blip r:embed="rId172"/>
                          <a:stretch>
                            <a:fillRect/>
                          </a:stretch>
                        </pic:blipFill>
                        <pic:spPr bwMode="auto">
                          <a:xfrm>
                            <a:off x="0" y="0"/>
                            <a:ext cx="371475" cy="371475"/>
                          </a:xfrm>
                          <a:prstGeom prst="rect">
                            <a:avLst/>
                          </a:prstGeom>
                        </pic:spPr>
                      </pic:pic>
                    </a:graphicData>
                  </a:graphic>
                </wp:inline>
              </w:drawing>
            </w:r>
            <w:r>
              <w:rPr/>
              <w:t xml:space="preserve"> </w:t>
            </w:r>
          </w:p>
        </w:tc>
        <w:tc>
          <w:tcPr>
            <w:tcW w:w="60" w:type="dxa"/>
            <w:tcBorders/>
            <w:shd w:fill="CCF2F8" w:val="clear"/>
            <w:vAlign w:val="center"/>
          </w:tcPr>
          <w:p>
            <w:pPr>
              <w:pStyle w:val="TableContents"/>
              <w:bidi w:val="0"/>
              <w:spacing w:before="0" w:after="283"/>
              <w:jc w:val="left"/>
              <w:rPr/>
            </w:pPr>
            <w:r>
              <w:rPr/>
              <w:t> </w:t>
            </w:r>
          </w:p>
        </w:tc>
        <w:tc>
          <w:tcPr>
            <w:tcW w:w="9520"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E3935"/>
                <w:sz w:val="26"/>
              </w:rPr>
            </w:pPr>
            <w:r>
              <w:rPr>
                <w:rFonts w:ascii="arial" w:hAnsi="arial"/>
                <w:b/>
                <w:color w:val="3E3935"/>
                <w:sz w:val="26"/>
              </w:rPr>
              <w:t xml:space="preserve">The Board recommends a vote </w:t>
            </w:r>
            <w:r>
              <w:rPr>
                <w:rFonts w:ascii="arial" w:hAnsi="arial"/>
                <w:b/>
                <w:color w:val="0071CE"/>
                <w:sz w:val="26"/>
              </w:rPr>
              <w:t>FOR</w:t>
            </w:r>
            <w:r>
              <w:rPr>
                <w:rFonts w:ascii="arial" w:hAnsi="arial"/>
                <w:b/>
                <w:color w:val="3E3935"/>
                <w:sz w:val="26"/>
              </w:rPr>
              <w:t> the proposal to ratify the selection of Ernst &amp; Young LLP as the Company’s independent registered public accounting firm for 2024.</w:t>
            </w:r>
          </w:p>
          <w:p>
            <w:pPr>
              <w:pStyle w:val="TableContents"/>
              <w:bidi w:val="0"/>
              <w:spacing w:before="0" w:after="20"/>
              <w:jc w:val="left"/>
              <w:rPr/>
            </w:pPr>
            <w:r>
              <w:rPr/>
              <w:t> </w:t>
            </w:r>
          </w:p>
        </w:tc>
      </w:tr>
    </w:tbl>
    <w:p>
      <w:pPr>
        <w:pStyle w:val="TextBody"/>
        <w:bidi w:val="0"/>
        <w:spacing w:before="0" w:after="0"/>
        <w:jc w:val="left"/>
        <w:rPr/>
      </w:pPr>
      <w:r>
        <w:rPr/>
        <w:t> </w:t>
      </w:r>
    </w:p>
    <w:tbl>
      <w:tblPr>
        <w:tblW w:w="7748" w:type="dxa"/>
        <w:jc w:val="left"/>
        <w:tblInd w:w="0" w:type="dxa"/>
        <w:tblLayout w:type="fixed"/>
        <w:tblCellMar>
          <w:top w:w="0" w:type="dxa"/>
          <w:left w:w="0" w:type="dxa"/>
          <w:bottom w:w="0" w:type="dxa"/>
          <w:right w:w="0" w:type="dxa"/>
        </w:tblCellMar>
      </w:tblPr>
      <w:tblGrid>
        <w:gridCol w:w="215"/>
        <w:gridCol w:w="60"/>
        <w:gridCol w:w="192"/>
        <w:gridCol w:w="60"/>
        <w:gridCol w:w="6980"/>
        <w:gridCol w:w="60"/>
        <w:gridCol w:w="23"/>
        <w:gridCol w:w="120"/>
        <w:gridCol w:w="38"/>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1CE"/>
                <w:sz w:val="16"/>
              </w:rPr>
            </w:pPr>
            <w:r>
              <w:rPr>
                <w:rFonts w:ascii="arial" w:hAnsi="arial"/>
                <w:b/>
                <w:color w:val="0071CE"/>
                <w:sz w:val="16"/>
              </w:rPr>
              <w:t>38</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7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7" descr=""/>
                          <pic:cNvPicPr>
                            <a:picLocks noChangeAspect="1" noChangeArrowheads="1"/>
                          </pic:cNvPicPr>
                        </pic:nvPicPr>
                        <pic:blipFill>
                          <a:blip r:embed="rId173"/>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center"/>
              <w:rPr>
                <w:rFonts w:ascii="arial" w:hAnsi="arial"/>
                <w:b/>
                <w:color w:val="3E3935"/>
                <w:sz w:val="16"/>
              </w:rPr>
            </w:pPr>
            <w:r>
              <w:rPr>
                <w:rFonts w:ascii="arial" w:hAnsi="arial"/>
                <w:b/>
                <w:color w:val="3E3935"/>
                <w:sz w:val="16"/>
              </w:rPr>
              <w:t xml:space="preserve">ITEM NO. 2: PROPOSAL TO RATIFY THE SELECTION OF ERNST &amp; YOUNG LLP AS THE </w:t>
            </w:r>
          </w:p>
          <w:p>
            <w:pPr>
              <w:pStyle w:val="TableContents"/>
              <w:bidi w:val="0"/>
              <w:spacing w:before="0" w:after="20"/>
              <w:jc w:val="center"/>
              <w:rPr>
                <w:rFonts w:ascii="arial" w:hAnsi="arial"/>
                <w:b/>
                <w:color w:val="3E3935"/>
                <w:sz w:val="16"/>
              </w:rPr>
            </w:pPr>
            <w:r>
              <w:rPr>
                <w:rFonts w:ascii="arial" w:hAnsi="arial"/>
                <w:b/>
                <w:color w:val="3E3935"/>
                <w:sz w:val="16"/>
              </w:rPr>
              <w:t>COMPANY’S INDEPENDENT REGISTERED PUBLIC ACCOUNTING FIRM FOR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bookmarkStart w:id="20" w:name="toc648661_18"/>
      <w:bookmarkEnd w:id="20"/>
      <w:r>
        <w:rPr>
          <w:rFonts w:ascii="arial" w:hAnsi="arial"/>
          <w:color w:val="3E3935"/>
          <w:sz w:val="64"/>
        </w:rPr>
        <w:t xml:space="preserve">Audit Committee Report </w:t>
      </w:r>
    </w:p>
    <w:p>
      <w:pPr>
        <w:pStyle w:val="TextBody"/>
        <w:bidi w:val="0"/>
        <w:spacing w:before="240" w:after="0"/>
        <w:jc w:val="both"/>
        <w:rPr>
          <w:rFonts w:ascii="arial" w:hAnsi="arial"/>
          <w:color w:val="3E3935"/>
          <w:sz w:val="18"/>
        </w:rPr>
      </w:pPr>
      <w:r>
        <w:rPr>
          <w:rFonts w:ascii="arial" w:hAnsi="arial"/>
          <w:color w:val="3E3935"/>
          <w:sz w:val="18"/>
        </w:rPr>
        <w:t xml:space="preserve">The Audit Committee of the Board of Directors of General Motors Company is a standing committee composed of six independent directors: Thomas M. Schoewe (Chair), Wesley G. Bush, Joanne C. Crevoiserat, Linda R. Gooden, Mark A. Tatum, and Jan E. Tighe.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9"/>
        <w:gridCol w:w="120"/>
        <w:gridCol w:w="60"/>
        <w:gridCol w:w="60"/>
        <w:gridCol w:w="6236"/>
      </w:tblGrid>
      <w:tr>
        <w:trPr/>
        <w:tc>
          <w:tcPr>
            <w:tcW w:w="3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36" w:type="dxa"/>
            <w:tcBorders/>
            <w:vAlign w:val="center"/>
          </w:tcPr>
          <w:p>
            <w:pPr>
              <w:pStyle w:val="TableContents"/>
              <w:bidi w:val="0"/>
              <w:spacing w:before="0" w:after="283"/>
              <w:jc w:val="left"/>
              <w:rPr>
                <w:sz w:val="4"/>
                <w:szCs w:val="4"/>
              </w:rPr>
            </w:pPr>
            <w:r>
              <w:rPr>
                <w:sz w:val="4"/>
                <w:szCs w:val="4"/>
              </w:rPr>
            </w:r>
          </w:p>
        </w:tc>
      </w:tr>
      <w:tr>
        <w:trPr/>
        <w:tc>
          <w:tcPr>
            <w:tcW w:w="3729" w:type="dxa"/>
            <w:tcBorders/>
            <w:shd w:fill="CCF2F8" w:val="clear"/>
            <w:vAlign w:val="center"/>
          </w:tcPr>
          <w:p>
            <w:pPr>
              <w:pStyle w:val="TableContents"/>
              <w:bidi w:val="0"/>
              <w:spacing w:before="0" w:after="0"/>
              <w:jc w:val="left"/>
              <w:rPr/>
            </w:pPr>
            <w:r>
              <w:rPr/>
              <w:t> </w:t>
            </w:r>
          </w:p>
          <w:p>
            <w:pPr>
              <w:pStyle w:val="TableContents"/>
              <w:bidi w:val="0"/>
              <w:spacing w:lineRule="atLeast" w:line="360" w:before="0" w:after="0"/>
              <w:jc w:val="center"/>
              <w:rPr>
                <w:rFonts w:ascii="arial" w:hAnsi="arial"/>
                <w:b/>
                <w:color w:val="0071CE"/>
                <w:sz w:val="18"/>
              </w:rPr>
            </w:pPr>
            <w:r>
              <w:rPr>
                <w:rFonts w:ascii="arial" w:hAnsi="arial"/>
                <w:b/>
                <w:color w:val="0071CE"/>
                <w:sz w:val="18"/>
              </w:rPr>
              <w:t>REASONS FOR SELECTION TO THE AUDIT COMMITTEE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236" w:type="dxa"/>
            <w:tcBorders/>
            <w:shd w:fill="CCF2F8" w:val="clear"/>
            <w:vAlign w:val="center"/>
          </w:tcPr>
          <w:p>
            <w:pPr>
              <w:pStyle w:val="TableContents"/>
              <w:bidi w:val="0"/>
              <w:spacing w:lineRule="atLeast" w:line="360" w:before="0" w:after="0"/>
              <w:jc w:val="center"/>
              <w:rPr>
                <w:rFonts w:ascii="arial" w:hAnsi="arial"/>
                <w:b/>
                <w:color w:val="0071CE"/>
                <w:sz w:val="18"/>
              </w:rPr>
            </w:pPr>
            <w:r>
              <w:rPr>
                <w:rFonts w:ascii="arial" w:hAnsi="arial"/>
                <w:b/>
                <w:color w:val="0071CE"/>
                <w:sz w:val="18"/>
              </w:rPr>
              <w:t>FINANCIAL LITERACY AND EXPERTISE</w:t>
            </w:r>
          </w:p>
          <w:p>
            <w:pPr>
              <w:pStyle w:val="TableContents"/>
              <w:bidi w:val="0"/>
              <w:spacing w:before="0" w:after="20"/>
              <w:jc w:val="left"/>
              <w:rPr/>
            </w:pPr>
            <w:r>
              <w:rPr/>
              <w:t> </w:t>
            </w:r>
          </w:p>
        </w:tc>
      </w:tr>
      <w:tr>
        <w:trPr/>
        <w:tc>
          <w:tcPr>
            <w:tcW w:w="3729" w:type="dxa"/>
            <w:tcBorders/>
            <w:shd w:fill="CCF2F8" w:val="clear"/>
            <w:vAlign w:val="center"/>
          </w:tcPr>
          <w:p>
            <w:pPr>
              <w:pStyle w:val="TableContents"/>
              <w:bidi w:val="0"/>
              <w:spacing w:before="0" w:after="0"/>
              <w:jc w:val="left"/>
              <w:rPr>
                <w:rFonts w:ascii="arial" w:hAnsi="arial"/>
                <w:color w:val="3E3935"/>
                <w:sz w:val="18"/>
              </w:rPr>
            </w:pPr>
            <w:r>
              <w:rPr>
                <w:rFonts w:ascii="arial" w:hAnsi="arial"/>
                <w:color w:val="3E3935"/>
                <w:sz w:val="18"/>
              </w:rPr>
              <w:t>When selecting directors to serve on the Audit Committee, the Governance Committee and Board of Directors consider, among other factors: independence, financial literacy and expertise, and individual skills.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236" w:type="dxa"/>
            <w:tcBorders/>
            <w:shd w:fill="CCF2F8" w:val="clear"/>
            <w:vAlign w:val="center"/>
          </w:tcPr>
          <w:p>
            <w:pPr>
              <w:pStyle w:val="TableContents"/>
              <w:bidi w:val="0"/>
              <w:spacing w:before="0" w:after="0"/>
              <w:jc w:val="left"/>
              <w:rPr>
                <w:rFonts w:ascii="arial" w:hAnsi="arial"/>
                <w:color w:val="3E3935"/>
                <w:sz w:val="18"/>
              </w:rPr>
            </w:pPr>
            <w:r>
              <w:rPr>
                <w:rFonts w:ascii="arial" w:hAnsi="arial"/>
                <w:color w:val="3E3935"/>
                <w:sz w:val="18"/>
              </w:rPr>
              <w:t>The Board has determined that all members of the Audit Committee meet heightened independence and qualification criteria and are financially literate in accordance with the NYSE Corporate Governance Standards and SEC rules, and that Messrs. Schoewe and Bush and Mses. Crevoiserat and Gooden are each qualified as an “audit committee financial expert” as defined by the SEC.</w:t>
            </w:r>
          </w:p>
          <w:p>
            <w:pPr>
              <w:pStyle w:val="TableContents"/>
              <w:bidi w:val="0"/>
              <w:spacing w:before="0" w:after="20"/>
              <w:jc w:val="left"/>
              <w:rPr/>
            </w:pPr>
            <w:r>
              <w:rPr/>
              <w:t> </w:t>
            </w:r>
          </w:p>
        </w:tc>
      </w:tr>
    </w:tbl>
    <w:p>
      <w:pPr>
        <w:pStyle w:val="TextBody"/>
        <w:bidi w:val="0"/>
        <w:spacing w:before="240" w:after="0"/>
        <w:jc w:val="left"/>
        <w:rPr>
          <w:rFonts w:ascii="arial" w:hAnsi="arial"/>
          <w:b/>
          <w:color w:val="0071CE"/>
          <w:sz w:val="28"/>
        </w:rPr>
      </w:pPr>
      <w:r>
        <w:rPr>
          <w:rFonts w:ascii="arial" w:hAnsi="arial"/>
          <w:b/>
          <w:color w:val="0071CE"/>
          <w:sz w:val="28"/>
        </w:rPr>
        <w:t xml:space="preserve">Purpose </w:t>
      </w:r>
    </w:p>
    <w:p>
      <w:pPr>
        <w:pStyle w:val="TextBody"/>
        <w:bidi w:val="0"/>
        <w:spacing w:before="120" w:after="0"/>
        <w:jc w:val="both"/>
        <w:rPr>
          <w:rFonts w:ascii="arial" w:hAnsi="arial"/>
          <w:color w:val="3E3935"/>
          <w:sz w:val="18"/>
        </w:rPr>
      </w:pPr>
      <w:r>
        <w:rPr>
          <w:rFonts w:ascii="arial" w:hAnsi="arial"/>
          <w:color w:val="3E3935"/>
          <w:sz w:val="18"/>
        </w:rPr>
        <w:t xml:space="preserve">The Audit Committee’s core purpose is to assist the Board by providing oversight of: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quality and integrity of GM’s financial statements;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effectiveness of GM’s financial reporting process and systems of disclosure controls and internal controls;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qualifications, performance, and independence of GM’s external auditors and their audit process;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scope and performance of GM’s internal audit function;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GM’s policies and procedures regarding compliance, ethics, and legal risk, including the standards of business conduct as embodied in GM’s code of conduct. </w:t>
            </w:r>
          </w:p>
        </w:tc>
      </w:tr>
    </w:tbl>
    <w:p>
      <w:pPr>
        <w:pStyle w:val="TextBody"/>
        <w:bidi w:val="0"/>
        <w:spacing w:before="120" w:after="0"/>
        <w:jc w:val="both"/>
        <w:rPr>
          <w:rFonts w:ascii="arial" w:hAnsi="arial"/>
          <w:color w:val="3E3935"/>
          <w:sz w:val="18"/>
        </w:rPr>
      </w:pPr>
      <w:r>
        <w:rPr>
          <w:rFonts w:ascii="arial" w:hAnsi="arial"/>
          <w:color w:val="3E3935"/>
          <w:sz w:val="18"/>
        </w:rPr>
        <w:t xml:space="preserve">The Audit Committee operates under a written charter adopted by the Audit Committee and approved by the Board of Directors, which may be found on our website at </w:t>
      </w:r>
      <w:r>
        <w:rPr>
          <w:rFonts w:ascii="arial" w:hAnsi="arial"/>
          <w:i/>
          <w:color w:val="0071CE"/>
          <w:sz w:val="18"/>
        </w:rPr>
        <w:t>investor.gm.com/governanceandsustainability</w:t>
      </w:r>
      <w:r>
        <w:rPr>
          <w:rFonts w:ascii="arial" w:hAnsi="arial"/>
          <w:color w:val="3E3935"/>
          <w:sz w:val="18"/>
        </w:rPr>
        <w:t xml:space="preserve">. The Audit Committee’s charter is reviewed at least once annually and is updated as necessary to address changes in regulatory requirements, authoritative guidance, evolving best practices, and shareholder feedback. </w:t>
      </w:r>
    </w:p>
    <w:p>
      <w:pPr>
        <w:pStyle w:val="TextBody"/>
        <w:bidi w:val="0"/>
        <w:spacing w:before="120" w:after="0"/>
        <w:jc w:val="both"/>
        <w:rPr>
          <w:rFonts w:ascii="arial" w:hAnsi="arial"/>
          <w:color w:val="3E3935"/>
          <w:sz w:val="18"/>
        </w:rPr>
      </w:pPr>
      <w:r>
        <w:rPr>
          <w:rFonts w:ascii="arial" w:hAnsi="arial"/>
          <w:color w:val="3E3935"/>
          <w:sz w:val="18"/>
        </w:rPr>
        <w:t xml:space="preserve">Management is responsible for the Company’s internal control over financial reporting and the financial reporting process, and has delivered its opinion on the effectiveness of the Company’s controls. EY is responsible for performing an independent audit of the Company’s consolidated financial statements and opining on the effectiveness of internal control over financial reporting in accordance with the standards of the Public Company Accounting Oversight Board (United States) (the “PCAOB”) and issuing its reports thereon. As provided in its charter, the Audit Committee’s responsibilities include monitoring and overseeing these processes. </w:t>
      </w:r>
    </w:p>
    <w:p>
      <w:pPr>
        <w:pStyle w:val="TextBody"/>
        <w:bidi w:val="0"/>
        <w:spacing w:before="240" w:after="0"/>
        <w:jc w:val="left"/>
        <w:rPr>
          <w:rFonts w:ascii="arial" w:hAnsi="arial"/>
          <w:b/>
          <w:color w:val="0071CE"/>
          <w:sz w:val="28"/>
        </w:rPr>
      </w:pPr>
      <w:r>
        <w:rPr>
          <w:rFonts w:ascii="arial" w:hAnsi="arial"/>
          <w:b/>
          <w:color w:val="0071CE"/>
          <w:sz w:val="28"/>
        </w:rPr>
        <w:t xml:space="preserve">Required Disclosures </w:t>
      </w:r>
    </w:p>
    <w:p>
      <w:pPr>
        <w:pStyle w:val="TextBody"/>
        <w:bidi w:val="0"/>
        <w:spacing w:before="120" w:after="0"/>
        <w:jc w:val="both"/>
        <w:rPr>
          <w:rFonts w:ascii="arial" w:hAnsi="arial"/>
          <w:color w:val="3E3935"/>
          <w:sz w:val="18"/>
        </w:rPr>
      </w:pPr>
      <w:r>
        <w:rPr>
          <w:rFonts w:ascii="arial" w:hAnsi="arial"/>
          <w:color w:val="3E3935"/>
          <w:sz w:val="18"/>
        </w:rPr>
        <w:t xml:space="preserve">In 2023, the Audit Committee met eight times and fulfilled all of its core charter obligations. Consistent with its charter responsibilities, the Audit Committee met and held discussions with management and EY regarding the Company’s audited financial statements and internal controls for the year ended December 31, 2023. In this context, management represented to the Audit Committee that the Company’s consolidated financial statements were prepared in accordance with accounting principles generally accepted in the United States. The Audit Committee reviewed and discussed the consolidated financial statements with management and EY and further discussed with EY the matters required to be discussed by the requirements of the PCAOB and the SEC. This review included a discussion with management and EY of the quality, not merely the acceptability, of GM’s accounting principles, the reasonableness of significant estimates and judgments, and the clarity of disclosure in GM’s financial statements, including the disclosures related to critical accounting estimates and critical audit matters. EY also provided to the Audit Committee the written communications as required by the applicable PCAOB standards concerning independence, and the Audit Committee discussed with EY the auditor’s independence. The Audit Committee also considered and determined that the non-audit services provided to GM were permissible under the applicable independence rules. The Audit Committee concluded that EY was independent from the Company and management. </w:t>
      </w:r>
    </w:p>
    <w:p>
      <w:pPr>
        <w:pStyle w:val="TextBody"/>
        <w:bidi w:val="0"/>
        <w:spacing w:before="120" w:after="0"/>
        <w:jc w:val="both"/>
        <w:rPr>
          <w:rFonts w:ascii="arial" w:hAnsi="arial"/>
          <w:color w:val="3E3935"/>
          <w:sz w:val="18"/>
        </w:rPr>
      </w:pPr>
      <w:r>
        <w:rPr>
          <w:rFonts w:ascii="arial" w:hAnsi="arial"/>
          <w:color w:val="3E3935"/>
          <w:sz w:val="18"/>
        </w:rPr>
        <w:t xml:space="preserve">For additional information about GM’s policies and procedures related to the approval of EY’s audit and non-audit services, see “Policy for Approval of Audit and Permitted Non-Audit Services” on page 40. </w:t>
      </w:r>
    </w:p>
    <w:p>
      <w:pPr>
        <w:pStyle w:val="TextBody"/>
        <w:bidi w:val="0"/>
        <w:spacing w:before="0" w:after="0"/>
        <w:jc w:val="left"/>
        <w:rPr/>
      </w:pPr>
      <w:r>
        <w:rPr/>
        <w:t> </w:t>
      </w:r>
    </w:p>
    <w:tbl>
      <w:tblPr>
        <w:tblW w:w="6526" w:type="dxa"/>
        <w:jc w:val="left"/>
        <w:tblInd w:w="0" w:type="dxa"/>
        <w:tblLayout w:type="fixed"/>
        <w:tblCellMar>
          <w:top w:w="0" w:type="dxa"/>
          <w:left w:w="0" w:type="dxa"/>
          <w:bottom w:w="0" w:type="dxa"/>
          <w:right w:w="0" w:type="dxa"/>
        </w:tblCellMar>
      </w:tblPr>
      <w:tblGrid>
        <w:gridCol w:w="38"/>
        <w:gridCol w:w="60"/>
        <w:gridCol w:w="23"/>
        <w:gridCol w:w="60"/>
        <w:gridCol w:w="351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center"/>
              <w:rPr>
                <w:b/>
                <w:color w:val="3E3935"/>
              </w:rPr>
            </w:pPr>
            <w:r>
              <w:rPr>
                <w:b/>
                <w:color w:val="3E3935"/>
              </w:rPr>
              <w:t>AUDIT COMMITTEE REPORT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39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r>
        <w:rPr>
          <w:rFonts w:ascii="arial" w:hAnsi="arial"/>
          <w:b/>
          <w:color w:val="0071CE"/>
          <w:sz w:val="28"/>
        </w:rPr>
        <w:t xml:space="preserve">Recommendation </w:t>
      </w:r>
    </w:p>
    <w:p>
      <w:pPr>
        <w:pStyle w:val="TextBody"/>
        <w:bidi w:val="0"/>
        <w:spacing w:before="120" w:after="0"/>
        <w:jc w:val="both"/>
        <w:rPr>
          <w:rFonts w:ascii="arial" w:hAnsi="arial"/>
          <w:color w:val="3E3935"/>
          <w:sz w:val="18"/>
        </w:rPr>
      </w:pPr>
      <w:r>
        <w:rPr>
          <w:rFonts w:ascii="arial" w:hAnsi="arial"/>
          <w:color w:val="3E3935"/>
          <w:sz w:val="18"/>
        </w:rPr>
        <w:t xml:space="preserve">Based upon the Audit Committee’s discussions with management and EY as described in this report and the Audit Committee’s review of the representations of management and the reports of EY to the Audit Committee, the Audit Committee recommended to the Board of Directors, and the Board of Directors approved, the inclusion of the audited consolidated financial statements in the Company’s Annual Report on Form 10-K for the year ended December 31, 2023, as filed with the SEC on January 30, 2024.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360"/>
        <w:gridCol w:w="60"/>
        <w:gridCol w:w="1430"/>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center"/>
              <w:rPr>
                <w:b/>
                <w:color w:val="3E3935"/>
              </w:rPr>
            </w:pPr>
            <w:r>
              <w:rPr>
                <w:b/>
                <w:color w:val="3E3935"/>
              </w:rPr>
              <w:t>Audit Committee       </w:t>
            </w:r>
          </w:p>
        </w:tc>
      </w:tr>
      <w:tr>
        <w:trPr/>
        <w:tc>
          <w:tcPr>
            <w:tcW w:w="23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Thomas M. Schoewe (Chair)</w:t>
            </w:r>
          </w:p>
          <w:p>
            <w:pPr>
              <w:pStyle w:val="TableContents"/>
              <w:bidi w:val="0"/>
              <w:spacing w:before="0" w:after="0"/>
              <w:jc w:val="both"/>
              <w:rPr>
                <w:rFonts w:ascii="arial" w:hAnsi="arial"/>
                <w:color w:val="3E3935"/>
                <w:sz w:val="18"/>
              </w:rPr>
            </w:pPr>
            <w:r>
              <w:rPr>
                <w:rFonts w:ascii="arial" w:hAnsi="arial"/>
                <w:color w:val="3E3935"/>
                <w:sz w:val="18"/>
              </w:rPr>
              <w:t>Wesley G. Bush</w:t>
            </w:r>
          </w:p>
          <w:p>
            <w:pPr>
              <w:pStyle w:val="TableContents"/>
              <w:bidi w:val="0"/>
              <w:spacing w:before="0" w:after="20"/>
              <w:jc w:val="both"/>
              <w:rPr>
                <w:rFonts w:ascii="arial" w:hAnsi="arial"/>
                <w:color w:val="3E3935"/>
                <w:sz w:val="18"/>
              </w:rPr>
            </w:pPr>
            <w:r>
              <w:rPr>
                <w:rFonts w:ascii="arial" w:hAnsi="arial"/>
                <w:color w:val="3E3935"/>
                <w:sz w:val="18"/>
              </w:rPr>
              <w:t>Joanne C. Crevoiserat</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Linda R. Gooden</w:t>
            </w:r>
          </w:p>
          <w:p>
            <w:pPr>
              <w:pStyle w:val="TableContents"/>
              <w:bidi w:val="0"/>
              <w:spacing w:before="0" w:after="0"/>
              <w:jc w:val="both"/>
              <w:rPr>
                <w:rFonts w:ascii="arial" w:hAnsi="arial"/>
                <w:color w:val="3E3935"/>
                <w:sz w:val="18"/>
              </w:rPr>
            </w:pPr>
            <w:r>
              <w:rPr>
                <w:rFonts w:ascii="arial" w:hAnsi="arial"/>
                <w:color w:val="3E3935"/>
                <w:sz w:val="18"/>
              </w:rPr>
              <w:t>Mark A. Tatum</w:t>
            </w:r>
          </w:p>
          <w:p>
            <w:pPr>
              <w:pStyle w:val="TableContents"/>
              <w:bidi w:val="0"/>
              <w:spacing w:before="0" w:after="20"/>
              <w:jc w:val="both"/>
              <w:rPr>
                <w:rFonts w:ascii="arial" w:hAnsi="arial"/>
                <w:color w:val="3E3935"/>
                <w:sz w:val="18"/>
              </w:rPr>
            </w:pPr>
            <w:r>
              <w:rPr>
                <w:rFonts w:ascii="arial" w:hAnsi="arial"/>
                <w:color w:val="3E3935"/>
                <w:sz w:val="18"/>
              </w:rPr>
              <w:t>Jan E. Tighe</w:t>
            </w:r>
          </w:p>
        </w:tc>
      </w:tr>
    </w:tbl>
    <w:p>
      <w:pPr>
        <w:pStyle w:val="TextBody"/>
        <w:bidi w:val="0"/>
        <w:spacing w:before="120" w:after="0"/>
        <w:jc w:val="both"/>
        <w:rPr>
          <w:rFonts w:ascii="arial" w:hAnsi="arial"/>
          <w:i/>
          <w:color w:val="3E3935"/>
          <w:sz w:val="18"/>
        </w:rPr>
      </w:pPr>
      <w:r>
        <w:rPr>
          <w:rFonts w:ascii="arial" w:hAnsi="arial"/>
          <w:i/>
          <w:color w:val="3E3935"/>
          <w:sz w:val="18"/>
        </w:rPr>
        <w:t xml:space="preserve">The preceding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 </w:t>
      </w:r>
    </w:p>
    <w:p>
      <w:pPr>
        <w:pStyle w:val="TextBody"/>
        <w:bidi w:val="0"/>
        <w:spacing w:before="360" w:after="0"/>
        <w:jc w:val="left"/>
        <w:rPr>
          <w:rFonts w:ascii="arial" w:hAnsi="arial"/>
          <w:b/>
          <w:color w:val="0071CE"/>
          <w:sz w:val="28"/>
        </w:rPr>
      </w:pPr>
      <w:bookmarkStart w:id="21" w:name="toc648661_19"/>
      <w:bookmarkEnd w:id="21"/>
      <w:r>
        <w:rPr>
          <w:rFonts w:ascii="arial" w:hAnsi="arial"/>
          <w:b/>
          <w:color w:val="0071CE"/>
          <w:sz w:val="28"/>
        </w:rPr>
        <w:t xml:space="preserve">Fees Paid to Independent Registered Public Accounting Firm </w:t>
      </w:r>
    </w:p>
    <w:p>
      <w:pPr>
        <w:pStyle w:val="TextBody"/>
        <w:bidi w:val="0"/>
        <w:spacing w:before="120" w:after="0"/>
        <w:jc w:val="both"/>
        <w:rPr>
          <w:rFonts w:ascii="arial" w:hAnsi="arial"/>
          <w:color w:val="3E3935"/>
          <w:sz w:val="18"/>
        </w:rPr>
      </w:pPr>
      <w:r>
        <w:rPr>
          <w:rFonts w:ascii="arial" w:hAnsi="arial"/>
          <w:color w:val="3E3935"/>
          <w:sz w:val="18"/>
        </w:rPr>
        <w:t xml:space="preserve">The following table summarizes the fees for professional services provided by EY for the audit of GM’s annual financial statements and internal control over financial reporting for the years ended December 31, 2023 and 2022, together with the fees billed for other services rendered by EY during these periods. The numbers in the table below may not sum due to rounding. </w:t>
      </w:r>
    </w:p>
    <w:p>
      <w:pPr>
        <w:pStyle w:val="TextBody"/>
        <w:bidi w:val="0"/>
        <w:spacing w:before="0" w:after="0"/>
        <w:jc w:val="left"/>
        <w:rPr/>
      </w:pPr>
      <w:r>
        <w:rPr/>
        <w:t> </w:t>
      </w:r>
    </w:p>
    <w:tbl>
      <w:tblPr>
        <w:tblW w:w="4408" w:type="dxa"/>
        <w:jc w:val="left"/>
        <w:tblInd w:w="0" w:type="dxa"/>
        <w:tblLayout w:type="fixed"/>
        <w:tblCellMar>
          <w:top w:w="0" w:type="dxa"/>
          <w:left w:w="0" w:type="dxa"/>
          <w:bottom w:w="0" w:type="dxa"/>
          <w:right w:w="0" w:type="dxa"/>
        </w:tblCellMar>
      </w:tblPr>
      <w:tblGrid>
        <w:gridCol w:w="1265"/>
        <w:gridCol w:w="120"/>
        <w:gridCol w:w="259"/>
        <w:gridCol w:w="1125"/>
        <w:gridCol w:w="60"/>
        <w:gridCol w:w="120"/>
        <w:gridCol w:w="259"/>
        <w:gridCol w:w="1125"/>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5"/>
              </w:rPr>
            </w:pPr>
            <w:r>
              <w:rPr>
                <w:rFonts w:ascii="arial" w:hAnsi="arial"/>
                <w:b/>
                <w:color w:val="3E3935"/>
                <w:sz w:val="15"/>
              </w:rPr>
              <w:t>Type of Fees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84"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2023</w:t>
              <w:br/>
              <w:t>($ in millions)</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84"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2022</w:t>
              <w:br/>
              <w:t>($ in millions)</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rFonts w:ascii="arial" w:hAnsi="arial"/>
                <w:color w:val="3E3935"/>
                <w:sz w:val="15"/>
              </w:rPr>
            </w:pPr>
            <w:r>
              <w:rPr>
                <w:rFonts w:ascii="arial" w:hAnsi="arial"/>
                <w:color w:val="3E3935"/>
                <w:sz w:val="15"/>
              </w:rPr>
              <w:t>Audit</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color w:val="3E3935"/>
              </w:rPr>
            </w:pPr>
            <w:r>
              <w:rPr>
                <w:color w:val="3E3935"/>
              </w:rPr>
              <w:t> </w:t>
            </w:r>
          </w:p>
        </w:tc>
        <w:tc>
          <w:tcPr>
            <w:tcW w:w="1125" w:type="dxa"/>
            <w:tcBorders/>
            <w:vAlign w:val="center"/>
          </w:tcPr>
          <w:p>
            <w:pPr>
              <w:pStyle w:val="TableContents"/>
              <w:bidi w:val="0"/>
              <w:spacing w:before="0" w:after="283"/>
              <w:jc w:val="right"/>
              <w:rPr>
                <w:color w:val="3E3935"/>
              </w:rPr>
            </w:pPr>
            <w:r>
              <w:rPr>
                <w:color w:val="3E3935"/>
              </w:rPr>
              <w:t>23</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color w:val="3E3935"/>
              </w:rPr>
            </w:pPr>
            <w:r>
              <w:rPr>
                <w:color w:val="3E3935"/>
              </w:rPr>
              <w:t> </w:t>
            </w:r>
          </w:p>
        </w:tc>
        <w:tc>
          <w:tcPr>
            <w:tcW w:w="1125" w:type="dxa"/>
            <w:tcBorders/>
            <w:vAlign w:val="center"/>
          </w:tcPr>
          <w:p>
            <w:pPr>
              <w:pStyle w:val="TableContents"/>
              <w:bidi w:val="0"/>
              <w:spacing w:before="0" w:after="283"/>
              <w:jc w:val="right"/>
              <w:rPr>
                <w:color w:val="3E3935"/>
              </w:rPr>
            </w:pPr>
            <w:r>
              <w:rPr>
                <w:color w:val="3E3935"/>
              </w:rPr>
              <w:t>21</w:t>
            </w:r>
          </w:p>
        </w:tc>
        <w:tc>
          <w:tcPr>
            <w:tcW w:w="75" w:type="dxa"/>
            <w:tcBorders/>
            <w:vAlign w:val="center"/>
          </w:tcPr>
          <w:p>
            <w:pPr>
              <w:pStyle w:val="TableContents"/>
              <w:bidi w:val="0"/>
              <w:spacing w:before="0" w:after="283"/>
              <w:jc w:val="left"/>
              <w:rPr>
                <w:color w:val="3E3935"/>
              </w:rPr>
            </w:pPr>
            <w:r>
              <w:rPr>
                <w:color w:val="3E3935"/>
              </w:rPr>
              <w:t> </w:t>
            </w:r>
          </w:p>
        </w:tc>
      </w:tr>
      <w:tr>
        <w:trPr/>
        <w:tc>
          <w:tcPr>
            <w:tcW w:w="1265" w:type="dxa"/>
            <w:tcBorders/>
            <w:shd w:fill="CCF2F8" w:val="clear"/>
            <w:vAlign w:val="center"/>
          </w:tcPr>
          <w:p>
            <w:pPr>
              <w:pStyle w:val="TableContents"/>
              <w:bidi w:val="0"/>
              <w:spacing w:before="0" w:after="283"/>
              <w:jc w:val="left"/>
              <w:rPr>
                <w:sz w:val="4"/>
                <w:szCs w:val="4"/>
              </w:rPr>
            </w:pPr>
            <w:r>
              <w:rPr>
                <w:sz w:val="4"/>
                <w:szCs w:val="4"/>
              </w:rPr>
            </w:r>
          </w:p>
        </w:tc>
        <w:tc>
          <w:tcPr>
            <w:tcW w:w="1564" w:type="dxa"/>
            <w:gridSpan w:val="4"/>
            <w:tcBorders/>
            <w:shd w:fill="CCF2F8" w:val="clear"/>
            <w:vAlign w:val="center"/>
          </w:tcPr>
          <w:p>
            <w:pPr>
              <w:pStyle w:val="TableContents"/>
              <w:bidi w:val="0"/>
              <w:spacing w:before="0" w:after="283"/>
              <w:jc w:val="left"/>
              <w:rPr>
                <w:sz w:val="4"/>
                <w:szCs w:val="4"/>
              </w:rPr>
            </w:pPr>
            <w:r>
              <w:rPr>
                <w:sz w:val="4"/>
                <w:szCs w:val="4"/>
              </w:rPr>
            </w:r>
          </w:p>
        </w:tc>
        <w:tc>
          <w:tcPr>
            <w:tcW w:w="1579"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265" w:type="dxa"/>
            <w:tcBorders/>
            <w:shd w:fill="CCF2F8" w:val="clear"/>
            <w:vAlign w:val="center"/>
          </w:tcPr>
          <w:p>
            <w:pPr>
              <w:pStyle w:val="TableContents"/>
              <w:bidi w:val="0"/>
              <w:spacing w:before="0" w:after="0"/>
              <w:jc w:val="left"/>
              <w:rPr>
                <w:rFonts w:ascii="arial" w:hAnsi="arial"/>
                <w:color w:val="3E3935"/>
                <w:sz w:val="15"/>
              </w:rPr>
            </w:pPr>
            <w:r>
              <w:rPr>
                <w:rFonts w:ascii="arial" w:hAnsi="arial"/>
                <w:color w:val="3E3935"/>
                <w:sz w:val="15"/>
              </w:rPr>
              <w:t>Audit-Related</w:t>
            </w:r>
          </w:p>
        </w:tc>
        <w:tc>
          <w:tcPr>
            <w:tcW w:w="120" w:type="dxa"/>
            <w:tcBorders/>
            <w:shd w:fill="CCF2F8" w:val="clear"/>
            <w:vAlign w:val="center"/>
          </w:tcPr>
          <w:p>
            <w:pPr>
              <w:pStyle w:val="TableContents"/>
              <w:bidi w:val="0"/>
              <w:spacing w:before="0" w:after="283"/>
              <w:jc w:val="left"/>
              <w:rPr/>
            </w:pPr>
            <w:r>
              <w:rPr/>
              <w:t>  </w:t>
            </w:r>
          </w:p>
        </w:tc>
        <w:tc>
          <w:tcPr>
            <w:tcW w:w="259" w:type="dxa"/>
            <w:tcBorders/>
            <w:shd w:fill="CCF2F8" w:val="clear"/>
            <w:vAlign w:val="center"/>
          </w:tcPr>
          <w:p>
            <w:pPr>
              <w:pStyle w:val="TableContents"/>
              <w:bidi w:val="0"/>
              <w:spacing w:before="0" w:after="283"/>
              <w:jc w:val="left"/>
              <w:rPr>
                <w:color w:val="3E3935"/>
              </w:rPr>
            </w:pPr>
            <w:r>
              <w:rPr>
                <w:color w:val="3E3935"/>
              </w:rPr>
              <w:t> </w:t>
            </w:r>
          </w:p>
        </w:tc>
        <w:tc>
          <w:tcPr>
            <w:tcW w:w="1125" w:type="dxa"/>
            <w:tcBorders/>
            <w:shd w:fill="CCF2F8" w:val="clear"/>
            <w:vAlign w:val="center"/>
          </w:tcPr>
          <w:p>
            <w:pPr>
              <w:pStyle w:val="TableContents"/>
              <w:bidi w:val="0"/>
              <w:spacing w:before="0" w:after="283"/>
              <w:jc w:val="right"/>
              <w:rPr>
                <w:color w:val="3E3935"/>
              </w:rPr>
            </w:pPr>
            <w:r>
              <w:rPr>
                <w:color w:val="3E3935"/>
              </w:rPr>
              <w:t>5</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259" w:type="dxa"/>
            <w:tcBorders/>
            <w:shd w:fill="CCF2F8" w:val="clear"/>
            <w:vAlign w:val="center"/>
          </w:tcPr>
          <w:p>
            <w:pPr>
              <w:pStyle w:val="TableContents"/>
              <w:bidi w:val="0"/>
              <w:spacing w:before="0" w:after="283"/>
              <w:jc w:val="left"/>
              <w:rPr>
                <w:color w:val="3E3935"/>
              </w:rPr>
            </w:pPr>
            <w:r>
              <w:rPr>
                <w:color w:val="3E3935"/>
              </w:rPr>
              <w:t> </w:t>
            </w:r>
          </w:p>
        </w:tc>
        <w:tc>
          <w:tcPr>
            <w:tcW w:w="1125" w:type="dxa"/>
            <w:tcBorders/>
            <w:shd w:fill="CCF2F8" w:val="clear"/>
            <w:vAlign w:val="center"/>
          </w:tcPr>
          <w:p>
            <w:pPr>
              <w:pStyle w:val="TableContents"/>
              <w:bidi w:val="0"/>
              <w:spacing w:before="0" w:after="283"/>
              <w:jc w:val="right"/>
              <w:rPr>
                <w:color w:val="3E3935"/>
              </w:rPr>
            </w:pPr>
            <w:r>
              <w:rPr>
                <w:color w:val="3E3935"/>
              </w:rPr>
              <w:t>5</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rFonts w:ascii="arial" w:hAnsi="arial"/>
                <w:color w:val="3E3935"/>
                <w:sz w:val="15"/>
              </w:rPr>
            </w:pPr>
            <w:r>
              <w:rPr>
                <w:rFonts w:ascii="arial" w:hAnsi="arial"/>
                <w:color w:val="3E3935"/>
                <w:sz w:val="15"/>
              </w:rPr>
              <w:t>Tax</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color w:val="3E3935"/>
              </w:rPr>
            </w:pPr>
            <w:r>
              <w:rPr>
                <w:color w:val="3E3935"/>
              </w:rPr>
              <w:t> </w:t>
            </w:r>
          </w:p>
        </w:tc>
        <w:tc>
          <w:tcPr>
            <w:tcW w:w="1125" w:type="dxa"/>
            <w:tcBorders/>
            <w:vAlign w:val="center"/>
          </w:tcPr>
          <w:p>
            <w:pPr>
              <w:pStyle w:val="TableContents"/>
              <w:bidi w:val="0"/>
              <w:spacing w:before="0" w:after="283"/>
              <w:jc w:val="right"/>
              <w:rPr>
                <w:color w:val="3E3935"/>
              </w:rPr>
            </w:pPr>
            <w:r>
              <w:rPr>
                <w:color w:val="3E3935"/>
              </w:rPr>
              <w:t>1</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color w:val="3E3935"/>
              </w:rPr>
            </w:pPr>
            <w:r>
              <w:rPr>
                <w:color w:val="3E3935"/>
              </w:rPr>
              <w:t> </w:t>
            </w:r>
          </w:p>
        </w:tc>
        <w:tc>
          <w:tcPr>
            <w:tcW w:w="1125" w:type="dxa"/>
            <w:tcBorders/>
            <w:vAlign w:val="center"/>
          </w:tcPr>
          <w:p>
            <w:pPr>
              <w:pStyle w:val="TableContents"/>
              <w:bidi w:val="0"/>
              <w:spacing w:before="0" w:after="283"/>
              <w:jc w:val="right"/>
              <w:rPr>
                <w:color w:val="3E3935"/>
              </w:rPr>
            </w:pPr>
            <w:r>
              <w:rPr>
                <w:color w:val="3E3935"/>
              </w:rPr>
              <w:t>2</w:t>
            </w:r>
          </w:p>
        </w:tc>
        <w:tc>
          <w:tcPr>
            <w:tcW w:w="75" w:type="dxa"/>
            <w:tcBorders/>
            <w:vAlign w:val="center"/>
          </w:tcPr>
          <w:p>
            <w:pPr>
              <w:pStyle w:val="TableContents"/>
              <w:bidi w:val="0"/>
              <w:spacing w:before="0" w:after="283"/>
              <w:jc w:val="left"/>
              <w:rPr>
                <w:color w:val="3E3935"/>
              </w:rPr>
            </w:pPr>
            <w:r>
              <w:rPr>
                <w:color w:val="3E3935"/>
              </w:rPr>
              <w:t> </w:t>
            </w:r>
          </w:p>
        </w:tc>
      </w:tr>
      <w:tr>
        <w:trPr/>
        <w:tc>
          <w:tcPr>
            <w:tcW w:w="1265" w:type="dxa"/>
            <w:tcBorders/>
            <w:shd w:fill="CCF2F8" w:val="clear"/>
            <w:vAlign w:val="center"/>
          </w:tcPr>
          <w:p>
            <w:pPr>
              <w:pStyle w:val="TableContents"/>
              <w:bidi w:val="0"/>
              <w:spacing w:before="0" w:after="283"/>
              <w:jc w:val="left"/>
              <w:rPr>
                <w:sz w:val="4"/>
                <w:szCs w:val="4"/>
              </w:rPr>
            </w:pPr>
            <w:r>
              <w:rPr>
                <w:sz w:val="4"/>
                <w:szCs w:val="4"/>
              </w:rPr>
            </w:r>
          </w:p>
        </w:tc>
        <w:tc>
          <w:tcPr>
            <w:tcW w:w="1564" w:type="dxa"/>
            <w:gridSpan w:val="4"/>
            <w:tcBorders/>
            <w:shd w:fill="CCF2F8" w:val="clear"/>
            <w:vAlign w:val="center"/>
          </w:tcPr>
          <w:p>
            <w:pPr>
              <w:pStyle w:val="TableContents"/>
              <w:bidi w:val="0"/>
              <w:spacing w:before="0" w:after="283"/>
              <w:jc w:val="left"/>
              <w:rPr>
                <w:sz w:val="4"/>
                <w:szCs w:val="4"/>
              </w:rPr>
            </w:pPr>
            <w:r>
              <w:rPr>
                <w:sz w:val="4"/>
                <w:szCs w:val="4"/>
              </w:rPr>
            </w:r>
          </w:p>
        </w:tc>
        <w:tc>
          <w:tcPr>
            <w:tcW w:w="1579"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265" w:type="dxa"/>
            <w:tcBorders/>
            <w:shd w:fill="CCF2F8" w:val="clear"/>
            <w:vAlign w:val="center"/>
          </w:tcPr>
          <w:p>
            <w:pPr>
              <w:pStyle w:val="TableContents"/>
              <w:bidi w:val="0"/>
              <w:spacing w:before="0" w:after="0"/>
              <w:jc w:val="left"/>
              <w:rPr>
                <w:rFonts w:ascii="arial" w:hAnsi="arial"/>
                <w:color w:val="3E3935"/>
                <w:sz w:val="15"/>
              </w:rPr>
            </w:pPr>
            <w:r>
              <w:rPr>
                <w:rFonts w:ascii="arial" w:hAnsi="arial"/>
                <w:color w:val="3E3935"/>
                <w:sz w:val="15"/>
              </w:rPr>
              <w:t>Subtotal</w:t>
            </w:r>
          </w:p>
        </w:tc>
        <w:tc>
          <w:tcPr>
            <w:tcW w:w="120" w:type="dxa"/>
            <w:tcBorders/>
            <w:shd w:fill="CCF2F8" w:val="clear"/>
            <w:vAlign w:val="center"/>
          </w:tcPr>
          <w:p>
            <w:pPr>
              <w:pStyle w:val="TableContents"/>
              <w:bidi w:val="0"/>
              <w:spacing w:before="0" w:after="283"/>
              <w:jc w:val="left"/>
              <w:rPr/>
            </w:pPr>
            <w:r>
              <w:rPr/>
              <w:t>  </w:t>
            </w:r>
          </w:p>
        </w:tc>
        <w:tc>
          <w:tcPr>
            <w:tcW w:w="259" w:type="dxa"/>
            <w:tcBorders/>
            <w:shd w:fill="CCF2F8" w:val="clear"/>
            <w:vAlign w:val="center"/>
          </w:tcPr>
          <w:p>
            <w:pPr>
              <w:pStyle w:val="TableContents"/>
              <w:bidi w:val="0"/>
              <w:spacing w:before="0" w:after="283"/>
              <w:jc w:val="left"/>
              <w:rPr>
                <w:color w:val="3E3935"/>
              </w:rPr>
            </w:pPr>
            <w:r>
              <w:rPr>
                <w:color w:val="3E3935"/>
              </w:rPr>
              <w:t> </w:t>
            </w:r>
          </w:p>
        </w:tc>
        <w:tc>
          <w:tcPr>
            <w:tcW w:w="1125" w:type="dxa"/>
            <w:tcBorders/>
            <w:shd w:fill="CCF2F8" w:val="clear"/>
            <w:vAlign w:val="center"/>
          </w:tcPr>
          <w:p>
            <w:pPr>
              <w:pStyle w:val="TableContents"/>
              <w:bidi w:val="0"/>
              <w:spacing w:before="0" w:after="283"/>
              <w:jc w:val="right"/>
              <w:rPr>
                <w:color w:val="3E3935"/>
              </w:rPr>
            </w:pPr>
            <w:r>
              <w:rPr>
                <w:color w:val="3E3935"/>
              </w:rPr>
              <w:t>30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259" w:type="dxa"/>
            <w:tcBorders/>
            <w:shd w:fill="CCF2F8" w:val="clear"/>
            <w:vAlign w:val="center"/>
          </w:tcPr>
          <w:p>
            <w:pPr>
              <w:pStyle w:val="TableContents"/>
              <w:bidi w:val="0"/>
              <w:spacing w:before="0" w:after="283"/>
              <w:jc w:val="left"/>
              <w:rPr>
                <w:color w:val="3E3935"/>
              </w:rPr>
            </w:pPr>
            <w:r>
              <w:rPr>
                <w:color w:val="3E3935"/>
              </w:rPr>
              <w:t> </w:t>
            </w:r>
          </w:p>
        </w:tc>
        <w:tc>
          <w:tcPr>
            <w:tcW w:w="1125" w:type="dxa"/>
            <w:tcBorders/>
            <w:shd w:fill="CCF2F8" w:val="clear"/>
            <w:vAlign w:val="center"/>
          </w:tcPr>
          <w:p>
            <w:pPr>
              <w:pStyle w:val="TableContents"/>
              <w:bidi w:val="0"/>
              <w:spacing w:before="0" w:after="283"/>
              <w:jc w:val="right"/>
              <w:rPr>
                <w:color w:val="3E3935"/>
              </w:rPr>
            </w:pPr>
            <w:r>
              <w:rPr>
                <w:color w:val="3E3935"/>
              </w:rPr>
              <w:t>27</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rFonts w:ascii="arial" w:hAnsi="arial"/>
                <w:color w:val="3E3935"/>
                <w:sz w:val="15"/>
              </w:rPr>
            </w:pPr>
            <w:r>
              <w:rPr>
                <w:rFonts w:ascii="arial" w:hAnsi="arial"/>
                <w:color w:val="3E3935"/>
                <w:sz w:val="15"/>
              </w:rPr>
              <w:t>All Other Services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color w:val="3E3935"/>
              </w:rPr>
            </w:pPr>
            <w:r>
              <w:rPr>
                <w:color w:val="3E3935"/>
              </w:rPr>
              <w:t> </w:t>
            </w:r>
          </w:p>
        </w:tc>
        <w:tc>
          <w:tcPr>
            <w:tcW w:w="1125" w:type="dxa"/>
            <w:tcBorders/>
            <w:vAlign w:val="center"/>
          </w:tcPr>
          <w:p>
            <w:pPr>
              <w:pStyle w:val="TableContents"/>
              <w:bidi w:val="0"/>
              <w:spacing w:before="0" w:after="283"/>
              <w:jc w:val="right"/>
              <w:rPr>
                <w:color w:val="3E3935"/>
              </w:rPr>
            </w:pPr>
            <w:r>
              <w:rPr>
                <w:color w:val="3E3935"/>
              </w:rPr>
              <w:t>2</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color w:val="3E3935"/>
              </w:rPr>
            </w:pPr>
            <w:r>
              <w:rPr>
                <w:color w:val="3E3935"/>
              </w:rPr>
              <w:t> </w:t>
            </w:r>
          </w:p>
        </w:tc>
        <w:tc>
          <w:tcPr>
            <w:tcW w:w="1125" w:type="dxa"/>
            <w:tcBorders/>
            <w:vAlign w:val="center"/>
          </w:tcPr>
          <w:p>
            <w:pPr>
              <w:pStyle w:val="TableContents"/>
              <w:bidi w:val="0"/>
              <w:spacing w:before="0" w:after="283"/>
              <w:jc w:val="right"/>
              <w:rPr>
                <w:color w:val="3E3935"/>
              </w:rPr>
            </w:pPr>
            <w:r>
              <w:rPr>
                <w:color w:val="3E3935"/>
              </w:rPr>
              <w:t>2</w:t>
            </w:r>
          </w:p>
        </w:tc>
        <w:tc>
          <w:tcPr>
            <w:tcW w:w="75" w:type="dxa"/>
            <w:tcBorders/>
            <w:vAlign w:val="center"/>
          </w:tcPr>
          <w:p>
            <w:pPr>
              <w:pStyle w:val="TableContents"/>
              <w:bidi w:val="0"/>
              <w:spacing w:before="0" w:after="283"/>
              <w:jc w:val="left"/>
              <w:rPr>
                <w:color w:val="3E3935"/>
              </w:rPr>
            </w:pPr>
            <w:r>
              <w:rPr>
                <w:color w:val="3E3935"/>
              </w:rPr>
              <w:t> </w:t>
            </w:r>
          </w:p>
        </w:tc>
      </w:tr>
      <w:tr>
        <w:trPr/>
        <w:tc>
          <w:tcPr>
            <w:tcW w:w="1265" w:type="dxa"/>
            <w:tcBorders/>
            <w:shd w:fill="CCF2F8" w:val="clear"/>
            <w:vAlign w:val="center"/>
          </w:tcPr>
          <w:p>
            <w:pPr>
              <w:pStyle w:val="TableContents"/>
              <w:bidi w:val="0"/>
              <w:spacing w:before="0" w:after="283"/>
              <w:jc w:val="left"/>
              <w:rPr>
                <w:sz w:val="4"/>
                <w:szCs w:val="4"/>
              </w:rPr>
            </w:pPr>
            <w:r>
              <w:rPr>
                <w:sz w:val="4"/>
                <w:szCs w:val="4"/>
              </w:rPr>
            </w:r>
          </w:p>
        </w:tc>
        <w:tc>
          <w:tcPr>
            <w:tcW w:w="1564" w:type="dxa"/>
            <w:gridSpan w:val="4"/>
            <w:tcBorders/>
            <w:shd w:fill="CCF2F8" w:val="clear"/>
            <w:vAlign w:val="center"/>
          </w:tcPr>
          <w:p>
            <w:pPr>
              <w:pStyle w:val="TableContents"/>
              <w:bidi w:val="0"/>
              <w:spacing w:before="0" w:after="283"/>
              <w:jc w:val="left"/>
              <w:rPr>
                <w:sz w:val="4"/>
                <w:szCs w:val="4"/>
              </w:rPr>
            </w:pPr>
            <w:r>
              <w:rPr>
                <w:sz w:val="4"/>
                <w:szCs w:val="4"/>
              </w:rPr>
            </w:r>
          </w:p>
        </w:tc>
        <w:tc>
          <w:tcPr>
            <w:tcW w:w="1579"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265" w:type="dxa"/>
            <w:tcBorders>
              <w:bottom w:val="single" w:sz="6" w:space="0" w:color="0071CE"/>
            </w:tcBorders>
            <w:shd w:fill="CCF2F8" w:val="clear"/>
            <w:tcMar>
              <w:bottom w:w="28" w:type="dxa"/>
            </w:tcMar>
            <w:vAlign w:val="center"/>
          </w:tcPr>
          <w:p>
            <w:pPr>
              <w:pStyle w:val="TableContents"/>
              <w:bidi w:val="0"/>
              <w:spacing w:before="0" w:after="0"/>
              <w:jc w:val="left"/>
              <w:rPr>
                <w:rFonts w:ascii="arial" w:hAnsi="arial"/>
                <w:b/>
                <w:color w:val="3E3935"/>
                <w:sz w:val="15"/>
              </w:rPr>
            </w:pPr>
            <w:r>
              <w:rPr>
                <w:rFonts w:ascii="arial" w:hAnsi="arial"/>
                <w:b/>
                <w:color w:val="3E3935"/>
                <w:sz w:val="15"/>
              </w:rPr>
              <w:t>TOTAL</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259" w:type="dxa"/>
            <w:tcBorders>
              <w:bottom w:val="single" w:sz="6" w:space="0" w:color="0071CE"/>
            </w:tcBorders>
            <w:shd w:fill="CCF2F8" w:val="clear"/>
            <w:tcMar>
              <w:bottom w:w="28" w:type="dxa"/>
            </w:tcMar>
            <w:vAlign w:val="center"/>
          </w:tcPr>
          <w:p>
            <w:pPr>
              <w:pStyle w:val="TableContents"/>
              <w:bidi w:val="0"/>
              <w:spacing w:before="0" w:after="283"/>
              <w:jc w:val="left"/>
              <w:rPr>
                <w:color w:val="3E3935"/>
              </w:rPr>
            </w:pPr>
            <w:r>
              <w:rPr>
                <w:color w:val="3E3935"/>
              </w:rPr>
              <w:t> </w:t>
            </w:r>
          </w:p>
        </w:tc>
        <w:tc>
          <w:tcPr>
            <w:tcW w:w="1125" w:type="dxa"/>
            <w:tcBorders>
              <w:bottom w:val="single" w:sz="6" w:space="0" w:color="0071CE"/>
            </w:tcBorders>
            <w:shd w:fill="CCF2F8" w:val="clear"/>
            <w:tcMar>
              <w:bottom w:w="28" w:type="dxa"/>
            </w:tcMar>
            <w:vAlign w:val="center"/>
          </w:tcPr>
          <w:p>
            <w:pPr>
              <w:pStyle w:val="TableContents"/>
              <w:bidi w:val="0"/>
              <w:spacing w:before="0" w:after="283"/>
              <w:jc w:val="right"/>
              <w:rPr>
                <w:b/>
                <w:color w:val="3E3935"/>
              </w:rPr>
            </w:pPr>
            <w:r>
              <w:rPr>
                <w:b/>
                <w:color w:val="3E3935"/>
              </w:rPr>
              <w:t>31</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259" w:type="dxa"/>
            <w:tcBorders>
              <w:bottom w:val="single" w:sz="6" w:space="0" w:color="0071CE"/>
            </w:tcBorders>
            <w:shd w:fill="CCF2F8" w:val="clear"/>
            <w:tcMar>
              <w:bottom w:w="28" w:type="dxa"/>
            </w:tcMar>
            <w:vAlign w:val="center"/>
          </w:tcPr>
          <w:p>
            <w:pPr>
              <w:pStyle w:val="TableContents"/>
              <w:bidi w:val="0"/>
              <w:spacing w:before="0" w:after="283"/>
              <w:jc w:val="left"/>
              <w:rPr>
                <w:color w:val="3E3935"/>
              </w:rPr>
            </w:pPr>
            <w:r>
              <w:rPr>
                <w:color w:val="3E3935"/>
              </w:rPr>
              <w:t> </w:t>
            </w:r>
          </w:p>
        </w:tc>
        <w:tc>
          <w:tcPr>
            <w:tcW w:w="1125" w:type="dxa"/>
            <w:tcBorders>
              <w:bottom w:val="single" w:sz="6" w:space="0" w:color="0071CE"/>
            </w:tcBorders>
            <w:shd w:fill="CCF2F8" w:val="clear"/>
            <w:tcMar>
              <w:bottom w:w="28" w:type="dxa"/>
            </w:tcMar>
            <w:vAlign w:val="center"/>
          </w:tcPr>
          <w:p>
            <w:pPr>
              <w:pStyle w:val="TableContents"/>
              <w:bidi w:val="0"/>
              <w:spacing w:before="0" w:after="283"/>
              <w:jc w:val="right"/>
              <w:rPr>
                <w:b/>
                <w:color w:val="3E3935"/>
              </w:rPr>
            </w:pPr>
            <w:r>
              <w:rPr>
                <w:b/>
                <w:color w:val="3E3935"/>
              </w:rPr>
              <w:t>29</w:t>
            </w:r>
          </w:p>
        </w:tc>
        <w:tc>
          <w:tcPr>
            <w:tcW w:w="75" w:type="dxa"/>
            <w:tcBorders>
              <w:bottom w:val="single" w:sz="6" w:space="0" w:color="0071CE"/>
            </w:tcBorders>
            <w:shd w:fill="CCF2F8" w:val="clear"/>
            <w:tcMar>
              <w:bottom w:w="28" w:type="dxa"/>
            </w:tcMar>
            <w:vAlign w:val="center"/>
          </w:tcPr>
          <w:p>
            <w:pPr>
              <w:pStyle w:val="TableContents"/>
              <w:bidi w:val="0"/>
              <w:spacing w:before="0" w:after="283"/>
              <w:jc w:val="left"/>
              <w:rPr>
                <w:color w:val="3E3935"/>
              </w:rPr>
            </w:pPr>
            <w:r>
              <w:rPr>
                <w:color w:val="3E3935"/>
              </w:rPr>
              <w:t> </w:t>
            </w:r>
          </w:p>
        </w:tc>
      </w:tr>
    </w:tbl>
    <w:p>
      <w:pPr>
        <w:pStyle w:val="TextBody"/>
        <w:bidi w:val="0"/>
        <w:spacing w:before="120" w:after="0"/>
        <w:jc w:val="both"/>
        <w:rPr>
          <w:rFonts w:ascii="arial" w:hAnsi="arial"/>
          <w:sz w:val="16"/>
        </w:rPr>
      </w:pPr>
      <w:r>
        <w:rPr>
          <w:rFonts w:ascii="arial" w:hAnsi="arial"/>
          <w:b/>
          <w:color w:val="0071CE"/>
          <w:sz w:val="16"/>
        </w:rPr>
        <w:t>Audit Fees</w:t>
      </w:r>
      <w:r>
        <w:rPr>
          <w:rFonts w:ascii="arial" w:hAnsi="arial"/>
          <w:color w:val="00C1DE"/>
          <w:sz w:val="16"/>
        </w:rPr>
        <w:t xml:space="preserve"> </w:t>
      </w:r>
      <w:r>
        <w:rPr>
          <w:rFonts w:ascii="arial" w:hAnsi="arial"/>
          <w:color w:val="3E3935"/>
          <w:sz w:val="16"/>
        </w:rPr>
        <w:t xml:space="preserve">– Includes fees for the integrated audit of the Company’s annual consolidated financial statements and internal control over financial reporting, including reviews of the interim financial statements contained in the Company’s Quarterly Reports on Form 10-Q and audits of statutory financial statements. </w:t>
      </w:r>
    </w:p>
    <w:p>
      <w:pPr>
        <w:pStyle w:val="TextBody"/>
        <w:bidi w:val="0"/>
        <w:spacing w:before="120" w:after="0"/>
        <w:jc w:val="both"/>
        <w:rPr>
          <w:rFonts w:ascii="arial" w:hAnsi="arial"/>
          <w:sz w:val="16"/>
        </w:rPr>
      </w:pPr>
      <w:r>
        <w:rPr>
          <w:rFonts w:ascii="arial" w:hAnsi="arial"/>
          <w:b/>
          <w:color w:val="0071CE"/>
          <w:sz w:val="16"/>
        </w:rPr>
        <w:t>Audit-Related Fees</w:t>
      </w:r>
      <w:r>
        <w:rPr>
          <w:rFonts w:ascii="arial" w:hAnsi="arial"/>
          <w:color w:val="00C1DE"/>
          <w:sz w:val="16"/>
        </w:rPr>
        <w:t xml:space="preserve"> </w:t>
      </w:r>
      <w:r>
        <w:rPr>
          <w:rFonts w:ascii="arial" w:hAnsi="arial"/>
          <w:color w:val="3E3935"/>
          <w:sz w:val="16"/>
        </w:rPr>
        <w:t xml:space="preserve">– Includes fees for assurance and related services that are traditionally performed by the independent registered public accounting firm. More specifically, these services include employee benefit plan audits, comfort letters in connection with financing transactions, financial due diligence, other attestation services, and consultations concerning financial accounting and reporting standards. </w:t>
      </w:r>
    </w:p>
    <w:p>
      <w:pPr>
        <w:pStyle w:val="TextBody"/>
        <w:bidi w:val="0"/>
        <w:spacing w:before="120" w:after="0"/>
        <w:jc w:val="both"/>
        <w:rPr>
          <w:rFonts w:ascii="arial" w:hAnsi="arial"/>
          <w:sz w:val="16"/>
        </w:rPr>
      </w:pPr>
      <w:r>
        <w:rPr>
          <w:rFonts w:ascii="arial" w:hAnsi="arial"/>
          <w:b/>
          <w:color w:val="0071CE"/>
          <w:sz w:val="16"/>
        </w:rPr>
        <w:t>Tax Fees</w:t>
      </w:r>
      <w:r>
        <w:rPr>
          <w:rFonts w:ascii="arial" w:hAnsi="arial"/>
          <w:color w:val="0071CE"/>
          <w:sz w:val="16"/>
        </w:rPr>
        <w:t xml:space="preserve"> </w:t>
      </w:r>
      <w:r>
        <w:rPr>
          <w:rFonts w:ascii="arial" w:hAnsi="arial"/>
          <w:color w:val="3E3935"/>
          <w:sz w:val="16"/>
        </w:rPr>
        <w:t xml:space="preserve">– Includes fees for tax compliance, tax planning, and tax advice. Tax compliance involves preparation of original and amended tax returns and claims for refunds. Tax planning and tax advice encompass a diverse range of services, including assistance with tax audits and appeals, tax advice related to mergers and acquisitions and employee benefit plans, and requests for rulings or technical advice from taxing authorities. </w:t>
      </w:r>
    </w:p>
    <w:p>
      <w:pPr>
        <w:pStyle w:val="TextBody"/>
        <w:bidi w:val="0"/>
        <w:spacing w:before="120" w:after="0"/>
        <w:jc w:val="both"/>
        <w:rPr>
          <w:rFonts w:ascii="arial" w:hAnsi="arial"/>
          <w:sz w:val="16"/>
        </w:rPr>
      </w:pPr>
      <w:r>
        <w:rPr>
          <w:rFonts w:ascii="arial" w:hAnsi="arial"/>
          <w:b/>
          <w:color w:val="0071CE"/>
          <w:sz w:val="16"/>
        </w:rPr>
        <w:t>All Other Fees</w:t>
      </w:r>
      <w:r>
        <w:rPr>
          <w:rFonts w:ascii="arial" w:hAnsi="arial"/>
          <w:color w:val="0071CE"/>
          <w:sz w:val="16"/>
        </w:rPr>
        <w:t xml:space="preserve"> </w:t>
      </w:r>
      <w:r>
        <w:rPr>
          <w:rFonts w:ascii="arial" w:hAnsi="arial"/>
          <w:color w:val="3E3935"/>
          <w:sz w:val="16"/>
        </w:rPr>
        <w:t xml:space="preserve">– Includes fees for services that are not contained in the above categories and consists of permissible advisory services. </w:t>
      </w:r>
    </w:p>
    <w:p>
      <w:pPr>
        <w:pStyle w:val="TextBody"/>
        <w:bidi w:val="0"/>
        <w:spacing w:before="360" w:after="0"/>
        <w:jc w:val="left"/>
        <w:rPr>
          <w:rFonts w:ascii="arial" w:hAnsi="arial"/>
          <w:b/>
          <w:color w:val="0071CE"/>
          <w:sz w:val="28"/>
        </w:rPr>
      </w:pPr>
      <w:r>
        <w:rPr>
          <w:rFonts w:ascii="arial" w:hAnsi="arial"/>
          <w:b/>
          <w:color w:val="0071CE"/>
          <w:sz w:val="28"/>
        </w:rPr>
        <w:t xml:space="preserve">Policy for Approval of Audit and Permitted Non-Audit Services </w:t>
      </w:r>
    </w:p>
    <w:p>
      <w:pPr>
        <w:pStyle w:val="TextBody"/>
        <w:bidi w:val="0"/>
        <w:spacing w:before="120" w:after="0"/>
        <w:jc w:val="both"/>
        <w:rPr>
          <w:rFonts w:ascii="arial" w:hAnsi="arial"/>
          <w:color w:val="3E3935"/>
          <w:sz w:val="18"/>
        </w:rPr>
      </w:pPr>
      <w:r>
        <w:rPr>
          <w:rFonts w:ascii="arial" w:hAnsi="arial"/>
          <w:color w:val="3E3935"/>
          <w:sz w:val="18"/>
        </w:rPr>
        <w:t xml:space="preserve">The services performed by EY in 2023 were pre-approved in accordance with the pre-approval policy and procedures established by the Audit Committee. This policy requires that, prior to the provision of services by the auditor, the Audit Committee will be presented, for consideration, with a description of the types of Audit-Related, Tax, and All Other Services expected to be performed by the auditor during the fiscal year, with amounts budgeted for each category. Subject to these pre-approved budgets, any requests for individual services falling within these categories for less than $1 million may be approved by management, while any such requests for $1 million or more not specifically contemplated and approved by the Audit Committee must be submitted to the Audit Committee Chair for pre-approval and must be reported to the full Audit Committee at its next regularly scheduled meeting. Management must report actual spending for each category to the full Audit Committee periodically throughout the year. </w:t>
      </w:r>
    </w:p>
    <w:p>
      <w:pPr>
        <w:pStyle w:val="TextBody"/>
        <w:bidi w:val="0"/>
        <w:spacing w:before="120" w:after="0"/>
        <w:jc w:val="both"/>
        <w:rPr>
          <w:rFonts w:ascii="arial" w:hAnsi="arial"/>
          <w:color w:val="3E3935"/>
          <w:sz w:val="18"/>
        </w:rPr>
      </w:pPr>
      <w:r>
        <w:rPr>
          <w:rFonts w:ascii="arial" w:hAnsi="arial"/>
          <w:color w:val="3E3935"/>
          <w:sz w:val="18"/>
        </w:rPr>
        <w:t xml:space="preserve">These services are actively monitored (both spending and work content) by the Audit Committee to maintain the appropriate objectivity and independence in EY’s core work, which is the audit of the Company’s annual consolidated financial statements and internal control over financial reporting. The Audit Committee determined that all services provided by EY in 2023 were permissible under applicable independence rules. </w:t>
      </w:r>
    </w:p>
    <w:p>
      <w:pPr>
        <w:pStyle w:val="TextBody"/>
        <w:bidi w:val="0"/>
        <w:spacing w:before="0" w:after="0"/>
        <w:jc w:val="left"/>
        <w:rPr/>
      </w:pPr>
      <w:r>
        <w:rPr/>
        <w:t> </w:t>
      </w:r>
    </w:p>
    <w:tbl>
      <w:tblPr>
        <w:tblW w:w="4343" w:type="dxa"/>
        <w:jc w:val="left"/>
        <w:tblInd w:w="0" w:type="dxa"/>
        <w:tblLayout w:type="fixed"/>
        <w:tblCellMar>
          <w:top w:w="0" w:type="dxa"/>
          <w:left w:w="0" w:type="dxa"/>
          <w:bottom w:w="0" w:type="dxa"/>
          <w:right w:w="0" w:type="dxa"/>
        </w:tblCellMar>
      </w:tblPr>
      <w:tblGrid>
        <w:gridCol w:w="275"/>
        <w:gridCol w:w="60"/>
        <w:gridCol w:w="192"/>
        <w:gridCol w:w="60"/>
        <w:gridCol w:w="3515"/>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40</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17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8" descr=""/>
                          <pic:cNvPicPr>
                            <a:picLocks noChangeAspect="1" noChangeArrowheads="1"/>
                          </pic:cNvPicPr>
                        </pic:nvPicPr>
                        <pic:blipFill>
                          <a:blip r:embed="rId174"/>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center"/>
              <w:rPr>
                <w:b/>
                <w:color w:val="3E3935"/>
              </w:rPr>
            </w:pPr>
            <w:r>
              <w:rPr>
                <w:b/>
                <w:color w:val="3E3935"/>
              </w:rPr>
              <w:t>AUDIT COMMITTEE REPORT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32"/>
        </w:rPr>
      </w:pPr>
      <w:bookmarkStart w:id="22" w:name="toc648661_20"/>
      <w:bookmarkEnd w:id="22"/>
      <w:r>
        <w:rPr>
          <w:rFonts w:ascii="arial" w:hAnsi="arial"/>
          <w:b/>
          <w:color w:val="3E3935"/>
          <w:sz w:val="32"/>
        </w:rPr>
        <w:t xml:space="preserve">ITEM NO. 3: </w:t>
      </w:r>
    </w:p>
    <w:p>
      <w:pPr>
        <w:pStyle w:val="TextBody"/>
        <w:bidi w:val="0"/>
        <w:spacing w:before="0" w:after="0"/>
        <w:jc w:val="left"/>
        <w:rPr>
          <w:rFonts w:ascii="arial" w:hAnsi="arial"/>
          <w:color w:val="3E3935"/>
          <w:sz w:val="64"/>
        </w:rPr>
      </w:pPr>
      <w:r>
        <w:rPr>
          <w:rFonts w:ascii="arial" w:hAnsi="arial"/>
          <w:color w:val="3E3935"/>
          <w:sz w:val="64"/>
        </w:rPr>
        <w:t xml:space="preserve">Proposal to Approve, on an Advisory Basis, Named Executive Officer Compensation </w:t>
      </w:r>
    </w:p>
    <w:p>
      <w:pPr>
        <w:pStyle w:val="TextBody"/>
        <w:bidi w:val="0"/>
        <w:spacing w:before="240" w:after="0"/>
        <w:jc w:val="both"/>
        <w:rPr>
          <w:rFonts w:ascii="arial" w:hAnsi="arial"/>
          <w:color w:val="3E3935"/>
          <w:sz w:val="18"/>
        </w:rPr>
      </w:pPr>
      <w:r>
        <w:rPr>
          <w:rFonts w:ascii="arial" w:hAnsi="arial"/>
          <w:color w:val="3E3935"/>
          <w:sz w:val="18"/>
        </w:rPr>
        <w:t xml:space="preserve">Executive compensation is an important matter for our shareholders. The Dodd-Frank Wall Street Reform and Consumer Protection Act requires that we provide you with the opportunity to vote to approve, on a non-binding, advisory basis, the compensation of our NEOs as disclosed in this Proxy Statement in accordance with the compensation disclosure rules of the SEC (sometimes referred to as “Say-on-Pay”). The Board has adopted a policy providing for an annual Say-on-Pay advisory vote. </w:t>
      </w:r>
    </w:p>
    <w:p>
      <w:pPr>
        <w:pStyle w:val="TextBody"/>
        <w:bidi w:val="0"/>
        <w:spacing w:before="120" w:after="0"/>
        <w:jc w:val="both"/>
        <w:rPr>
          <w:rFonts w:ascii="arial" w:hAnsi="arial"/>
          <w:color w:val="3E3935"/>
          <w:sz w:val="18"/>
        </w:rPr>
      </w:pPr>
      <w:r>
        <w:rPr>
          <w:rFonts w:ascii="arial" w:hAnsi="arial"/>
          <w:color w:val="3E3935"/>
          <w:sz w:val="18"/>
        </w:rPr>
        <w:t xml:space="preserve">The Compensation Committee has approved the compensation arrangements for our NEOs described in the Compensation Discussion and Analysis section beginning on page 42 and the accompanying executive compensation tables beginning on page 66. We urge you to read the Compensation Discussion and Analysis for a more complete understanding of our executive compensation plans, including our compensation principles, our objectives, and the 2023 compensation of our NEOs. </w:t>
      </w:r>
    </w:p>
    <w:p>
      <w:pPr>
        <w:pStyle w:val="TextBody"/>
        <w:bidi w:val="0"/>
        <w:spacing w:before="120" w:after="0"/>
        <w:jc w:val="both"/>
        <w:rPr>
          <w:rFonts w:ascii="arial" w:hAnsi="arial"/>
          <w:color w:val="3E3935"/>
          <w:sz w:val="18"/>
        </w:rPr>
      </w:pPr>
      <w:r>
        <w:rPr>
          <w:rFonts w:ascii="arial" w:hAnsi="arial"/>
          <w:color w:val="3E3935"/>
          <w:sz w:val="18"/>
        </w:rPr>
        <w:t xml:space="preserve">We are asking shareholders to vote in favor of the following resolution: </w:t>
      </w:r>
    </w:p>
    <w:p>
      <w:pPr>
        <w:pStyle w:val="TextBody"/>
        <w:bidi w:val="0"/>
        <w:spacing w:before="120" w:after="0"/>
        <w:jc w:val="both"/>
        <w:rPr>
          <w:rFonts w:ascii="arial" w:hAnsi="arial"/>
          <w:color w:val="3E3935"/>
          <w:sz w:val="18"/>
        </w:rPr>
      </w:pPr>
      <w:r>
        <w:rPr>
          <w:rFonts w:ascii="arial" w:hAnsi="arial"/>
          <w:b/>
          <w:color w:val="3E3935"/>
          <w:sz w:val="18"/>
        </w:rPr>
        <w:t>RESOLVED,</w:t>
      </w:r>
      <w:r>
        <w:rPr>
          <w:rFonts w:ascii="arial" w:hAnsi="arial"/>
          <w:color w:val="3E3935"/>
          <w:sz w:val="18"/>
        </w:rPr>
        <w:t xml:space="preserve"> that the compensation paid to the Company’s named executive officers, as disclosed pursuant to Item 402 of Regulation S-K, including the Compensation Discussion and Analysis, executive compensation tables, and the related narrative discussion, is hereby APPROVED. </w:t>
      </w:r>
    </w:p>
    <w:p>
      <w:pPr>
        <w:pStyle w:val="TextBody"/>
        <w:bidi w:val="0"/>
        <w:spacing w:before="120" w:after="0"/>
        <w:jc w:val="both"/>
        <w:rPr>
          <w:rFonts w:ascii="arial" w:hAnsi="arial"/>
          <w:color w:val="3E3935"/>
          <w:sz w:val="18"/>
        </w:rPr>
      </w:pPr>
      <w:r>
        <w:rPr>
          <w:rFonts w:ascii="arial" w:hAnsi="arial"/>
          <w:color w:val="3E3935"/>
          <w:sz w:val="18"/>
        </w:rPr>
        <w:t xml:space="preserve">Although the vote on this item is non-binding, the Board and the Compensation Committee value the opinions of our shareholders and will consider the outcome of the vote when making future compensation decisions for NEOs. </w:t>
      </w:r>
    </w:p>
    <w:p>
      <w:pPr>
        <w:pStyle w:val="TextBody"/>
        <w:bidi w:val="0"/>
        <w:spacing w:before="120" w:after="0"/>
        <w:jc w:val="both"/>
        <w:rPr>
          <w:rFonts w:ascii="arial" w:hAnsi="arial"/>
          <w:color w:val="3E3935"/>
          <w:sz w:val="18"/>
        </w:rPr>
      </w:pPr>
      <w:r>
        <w:rPr>
          <w:rFonts w:ascii="arial" w:hAnsi="arial"/>
          <w:color w:val="3E3935"/>
          <w:sz w:val="18"/>
        </w:rPr>
        <w:t xml:space="preserve">The next Say-on-Pay vote will occur at our 2025 annual meeting and the next advisory vote on the frequency of future Say-on-Pay votes will occur at our 2026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6"/>
        <w:gridCol w:w="60"/>
        <w:gridCol w:w="9509"/>
      </w:tblGrid>
      <w:tr>
        <w:trPr/>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9" w:type="dxa"/>
            <w:tcBorders/>
            <w:vAlign w:val="center"/>
          </w:tcPr>
          <w:p>
            <w:pPr>
              <w:pStyle w:val="TableContents"/>
              <w:bidi w:val="0"/>
              <w:spacing w:before="0" w:after="283"/>
              <w:jc w:val="left"/>
              <w:rPr>
                <w:sz w:val="4"/>
                <w:szCs w:val="4"/>
              </w:rPr>
            </w:pPr>
            <w:r>
              <w:rPr>
                <w:sz w:val="4"/>
                <w:szCs w:val="4"/>
              </w:rPr>
            </w:r>
          </w:p>
        </w:tc>
      </w:tr>
      <w:tr>
        <w:trPr/>
        <w:tc>
          <w:tcPr>
            <w:tcW w:w="636" w:type="dxa"/>
            <w:tcBorders/>
            <w:shd w:fill="CCF2F8" w:val="clear"/>
            <w:vAlign w:val="center"/>
          </w:tcPr>
          <w:p>
            <w:pPr>
              <w:pStyle w:val="TableContents"/>
              <w:bidi w:val="0"/>
              <w:spacing w:before="0" w:after="283"/>
              <w:jc w:val="left"/>
              <w:rPr>
                <w:sz w:val="4"/>
                <w:szCs w:val="4"/>
              </w:rPr>
            </w:pPr>
            <w:r>
              <w:rPr>
                <w:sz w:val="4"/>
                <w:szCs w:val="4"/>
              </w:rPr>
            </w:r>
          </w:p>
        </w:tc>
        <w:tc>
          <w:tcPr>
            <w:tcW w:w="9569"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36" w:type="dxa"/>
            <w:tcBorders/>
            <w:shd w:fill="CCF2F8" w:val="clear"/>
            <w:vAlign w:val="center"/>
          </w:tcPr>
          <w:p>
            <w:pPr>
              <w:pStyle w:val="TableContents"/>
              <w:bidi w:val="0"/>
              <w:spacing w:before="0" w:after="283"/>
              <w:jc w:val="center"/>
              <w:rPr/>
            </w:pPr>
            <w:r>
              <w:rPr/>
              <w:drawing>
                <wp:inline distT="0" distB="0" distL="0" distR="0">
                  <wp:extent cx="368300" cy="368300"/>
                  <wp:effectExtent l="0" t="0" r="0" b="0"/>
                  <wp:docPr id="18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9" descr=""/>
                          <pic:cNvPicPr>
                            <a:picLocks noChangeAspect="1" noChangeArrowheads="1"/>
                          </pic:cNvPicPr>
                        </pic:nvPicPr>
                        <pic:blipFill>
                          <a:blip r:embed="rId175"/>
                          <a:stretch>
                            <a:fillRect/>
                          </a:stretch>
                        </pic:blipFill>
                        <pic:spPr bwMode="auto">
                          <a:xfrm>
                            <a:off x="0" y="0"/>
                            <a:ext cx="368300" cy="368300"/>
                          </a:xfrm>
                          <a:prstGeom prst="rect">
                            <a:avLst/>
                          </a:prstGeom>
                        </pic:spPr>
                      </pic:pic>
                    </a:graphicData>
                  </a:graphic>
                </wp:inline>
              </w:drawing>
            </w:r>
            <w:r>
              <w:rPr/>
              <w:t xml:space="preserve"> </w:t>
            </w:r>
          </w:p>
        </w:tc>
        <w:tc>
          <w:tcPr>
            <w:tcW w:w="60" w:type="dxa"/>
            <w:tcBorders/>
            <w:shd w:fill="CCF2F8" w:val="clear"/>
            <w:vAlign w:val="center"/>
          </w:tcPr>
          <w:p>
            <w:pPr>
              <w:pStyle w:val="TableContents"/>
              <w:bidi w:val="0"/>
              <w:spacing w:before="0" w:after="283"/>
              <w:jc w:val="left"/>
              <w:rPr/>
            </w:pPr>
            <w:r>
              <w:rPr/>
              <w:t> </w:t>
            </w:r>
          </w:p>
        </w:tc>
        <w:tc>
          <w:tcPr>
            <w:tcW w:w="9509" w:type="dxa"/>
            <w:tcBorders/>
            <w:shd w:fill="CCF2F8"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E3935"/>
                <w:sz w:val="26"/>
              </w:rPr>
            </w:pPr>
            <w:r>
              <w:rPr>
                <w:rFonts w:ascii="arial" w:hAnsi="arial"/>
                <w:b/>
                <w:color w:val="3E3935"/>
                <w:sz w:val="26"/>
              </w:rPr>
              <w:t xml:space="preserve">The Board recommends a vote </w:t>
            </w:r>
            <w:r>
              <w:rPr>
                <w:rFonts w:ascii="arial" w:hAnsi="arial"/>
                <w:b/>
                <w:color w:val="0071CE"/>
                <w:sz w:val="26"/>
              </w:rPr>
              <w:t>FOR</w:t>
            </w:r>
            <w:r>
              <w:rPr>
                <w:rFonts w:ascii="arial" w:hAnsi="arial"/>
                <w:b/>
                <w:color w:val="3E3935"/>
                <w:sz w:val="26"/>
              </w:rPr>
              <w:t> the advisory proposal to approve named executive officer compensation.</w:t>
            </w:r>
          </w:p>
          <w:p>
            <w:pPr>
              <w:pStyle w:val="TableContents"/>
              <w:bidi w:val="0"/>
              <w:spacing w:before="0" w:after="20"/>
              <w:jc w:val="left"/>
              <w:rPr/>
            </w:pPr>
            <w:r>
              <w:rPr/>
              <w:t> </w:t>
            </w:r>
          </w:p>
        </w:tc>
      </w:tr>
    </w:tbl>
    <w:p>
      <w:pPr>
        <w:pStyle w:val="TextBody"/>
        <w:bidi w:val="0"/>
        <w:spacing w:before="0" w:after="0"/>
        <w:jc w:val="left"/>
        <w:rPr/>
      </w:pPr>
      <w:r>
        <w:rPr/>
        <w:t> </w:t>
      </w:r>
    </w:p>
    <w:tbl>
      <w:tblPr>
        <w:tblW w:w="9781" w:type="dxa"/>
        <w:jc w:val="left"/>
        <w:tblInd w:w="0" w:type="dxa"/>
        <w:tblLayout w:type="fixed"/>
        <w:tblCellMar>
          <w:top w:w="0" w:type="dxa"/>
          <w:left w:w="0" w:type="dxa"/>
          <w:bottom w:w="0" w:type="dxa"/>
          <w:right w:w="0" w:type="dxa"/>
        </w:tblCellMar>
      </w:tblPr>
      <w:tblGrid>
        <w:gridCol w:w="38"/>
        <w:gridCol w:w="60"/>
        <w:gridCol w:w="23"/>
        <w:gridCol w:w="60"/>
        <w:gridCol w:w="677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center"/>
              <w:rPr>
                <w:rFonts w:ascii="arial" w:hAnsi="arial"/>
                <w:b/>
                <w:color w:val="3E3935"/>
                <w:sz w:val="16"/>
              </w:rPr>
            </w:pPr>
            <w:r>
              <w:rPr>
                <w:rFonts w:ascii="arial" w:hAnsi="arial"/>
                <w:b/>
                <w:color w:val="3E3935"/>
                <w:sz w:val="16"/>
              </w:rPr>
              <w:t>ITEM NO. 3: PROPOSAL TO APPROVE, ON AN ADVISORY BASIS, NAMED EXECUTIVE</w:t>
            </w:r>
          </w:p>
          <w:p>
            <w:pPr>
              <w:pStyle w:val="TableContents"/>
              <w:bidi w:val="0"/>
              <w:spacing w:before="0" w:after="20"/>
              <w:jc w:val="center"/>
              <w:rPr>
                <w:rFonts w:ascii="arial" w:hAnsi="arial"/>
                <w:b/>
                <w:color w:val="3E3935"/>
                <w:sz w:val="16"/>
              </w:rPr>
            </w:pPr>
            <w:r>
              <w:rPr>
                <w:rFonts w:ascii="arial" w:hAnsi="arial"/>
                <w:b/>
                <w:color w:val="3E3935"/>
                <w:sz w:val="16"/>
              </w:rPr>
              <w:t>OFFICER COMPENSATION</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41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0071CE"/>
          <w:sz w:val="64"/>
        </w:rPr>
      </w:pPr>
      <w:bookmarkStart w:id="23" w:name="toc648661_21"/>
      <w:bookmarkEnd w:id="23"/>
      <w:r>
        <w:rPr>
          <w:rFonts w:ascii="arial" w:hAnsi="arial"/>
          <w:color w:val="0071CE"/>
          <w:sz w:val="64"/>
        </w:rPr>
        <w:t xml:space="preserve">Compensation Discussion and Analysis </w:t>
      </w:r>
    </w:p>
    <w:p>
      <w:pPr>
        <w:pStyle w:val="TextBody"/>
        <w:bidi w:val="0"/>
        <w:spacing w:before="360" w:after="0"/>
        <w:jc w:val="left"/>
        <w:rPr>
          <w:rFonts w:ascii="arial" w:hAnsi="arial"/>
          <w:b/>
          <w:color w:val="3E3935"/>
          <w:sz w:val="28"/>
        </w:rPr>
      </w:pPr>
      <w:r>
        <w:rPr>
          <w:rFonts w:ascii="arial" w:hAnsi="arial"/>
          <w:b/>
          <w:color w:val="3E3935"/>
          <w:sz w:val="28"/>
        </w:rPr>
        <w:t xml:space="preserve">Dear Shareholders: </w:t>
      </w:r>
    </w:p>
    <w:p>
      <w:pPr>
        <w:pStyle w:val="TextBody"/>
        <w:bidi w:val="0"/>
        <w:spacing w:before="120" w:after="0"/>
        <w:jc w:val="both"/>
        <w:rPr>
          <w:rFonts w:ascii="arial" w:hAnsi="arial"/>
          <w:color w:val="3E3935"/>
          <w:sz w:val="18"/>
        </w:rPr>
      </w:pPr>
      <w:r>
        <w:rPr>
          <w:rFonts w:ascii="arial" w:hAnsi="arial"/>
          <w:color w:val="3E3935"/>
          <w:sz w:val="18"/>
        </w:rPr>
        <w:t xml:space="preserve">GM delivered strong financial performance in 2023 and continued to lead the industry in total U.S. sales. All of our brands grew their sales year-over-year, we maintained portfolio leadership in ICE vehicles, and we generated record revenue while maintaining healthy margins. We returned significant cash to shareholders through dividends and the implementation of a $10 billion accelerated share repurchase program. The score for the 2023 annual short-term incentive plan (the “STIP”) reflected these financial results, with an above-target payout of 125%. At the same time, the Company underperformed relative to its commitments on its transformation journey in 2023, particularly with EV production and AV technology. This was reflected in the Company’s stock price, the value of the stock options held by executives, and also in the below-target payout of 74% for the Performance Share Units (“PSUs”) that vested this year. The PSUs represent the largest compensation component for the NEOs. We believe these outcomes demonstrate that our incentive plans operate effectively to appropriately reward both annual and long-term performance. </w:t>
      </w:r>
    </w:p>
    <w:p>
      <w:pPr>
        <w:pStyle w:val="TextBody"/>
        <w:bidi w:val="0"/>
        <w:spacing w:before="120" w:after="0"/>
        <w:jc w:val="both"/>
        <w:rPr>
          <w:rFonts w:ascii="arial" w:hAnsi="arial"/>
          <w:color w:val="3E3935"/>
          <w:sz w:val="18"/>
        </w:rPr>
      </w:pPr>
      <w:r>
        <w:rPr>
          <w:rFonts w:ascii="arial" w:hAnsi="arial"/>
          <w:color w:val="3E3935"/>
          <w:sz w:val="18"/>
        </w:rPr>
        <w:t xml:space="preserve">The Compensation Discussion and Analysis that follows describes a strong alignment between the Company’s demonstrated performance and compensation outcomes for each NEO. Each year, the Compensation Committee performs a comprehensive compensation assessment for its senior executives. The Company has delivered on its commitments to shareholders quarter-after-quarter while heavily investing in new technologies that we see as the drivers of future growth. Our extraordinary CEO and leadership team are leading a historic transformation of the Company and the industry. For 2024, we have held Ms. Barra’s target compensation at the same level as 2023 and 2022, respectively, reflecting the Committee’s view that her compensation is appropriately positioned. We also view Mr. Reuss’ target compensation as appropriately positioned and have held his 2024 target compensation at the 2023 level. Our assessments also resulted in changes to target compensation levels for the other NEOs. </w:t>
      </w:r>
    </w:p>
    <w:p>
      <w:pPr>
        <w:pStyle w:val="TextBody"/>
        <w:bidi w:val="0"/>
        <w:spacing w:before="120" w:after="0"/>
        <w:jc w:val="both"/>
        <w:rPr>
          <w:rFonts w:ascii="arial" w:hAnsi="arial"/>
          <w:color w:val="3E3935"/>
          <w:sz w:val="18"/>
        </w:rPr>
      </w:pPr>
      <w:r>
        <w:rPr>
          <w:rFonts w:ascii="arial" w:hAnsi="arial"/>
          <w:color w:val="3E3935"/>
          <w:sz w:val="18"/>
        </w:rPr>
        <w:t xml:space="preserve">As stated in the Board’s letter to shareholders beginning on page ii of this Proxy Statement, GM’s priorities are clear: to further optimize our winning ICE portfolio, grow our EV business profitably, deliver software and services that create customer value, and develop safe autonomous vehicle technology – all while maintaining our commitments to culture, safety, and a leading customer experience. With these priorities in mind, the Compensation Committee has made several key enhancements to our 2024 compensation plans that will drive execution and increase shareholder value by holding the management team and the broader workforce accountable for their performance against specific, near-term strategic goals. The plan enhancements include: </w:t>
      </w:r>
    </w:p>
    <w:p>
      <w:pPr>
        <w:pStyle w:val="TextBody"/>
        <w:bidi w:val="0"/>
        <w:spacing w:before="0" w:after="0"/>
        <w:jc w:val="left"/>
        <w:rPr/>
      </w:pPr>
      <w:r>
        <w:rPr/>
        <w:t> </w:t>
      </w:r>
    </w:p>
    <w:p>
      <w:pPr>
        <w:pStyle w:val="TextBody"/>
        <w:bidi w:val="0"/>
        <w:spacing w:before="0" w:after="0"/>
        <w:jc w:val="left"/>
        <w:rPr>
          <w:shd w:fill="CCF2F8" w:val="clear"/>
        </w:rPr>
      </w:pPr>
      <w:r>
        <w:rPr>
          <w:shd w:fill="CCF2F8"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3E3935"/>
                <w:sz w:val="18"/>
              </w:rPr>
            </w:pPr>
            <w:r>
              <w:rPr>
                <w:rFonts w:ascii="arial" w:hAnsi="arial"/>
                <w:color w:val="3E3935"/>
                <w:sz w:val="18"/>
              </w:rPr>
              <w:t xml:space="preserve">Our STIP performance measures will continue to link to the Company’s annual financial goals and will be supplemented with strategic goals representing critical milestones that the Company needs to achieve in 2024. While EBIT-adjusted and AAFCF will remain the primary financial performance measures under the 2024 STIP, the plan will also incorporate specific performance measures mapped to our four strategic areas of focus (i.e., ICE, EV, AV, and Software and Services). This alignment in metrics for variable compensation will apply to all GM salaried employees and incentivize them to execute with greater accountability and a broader enterprise perspective. </w:t>
            </w:r>
          </w:p>
        </w:tc>
      </w:tr>
    </w:tbl>
    <w:p>
      <w:pPr>
        <w:pStyle w:val="TextBody"/>
        <w:bidi w:val="0"/>
        <w:spacing w:before="0" w:after="0"/>
        <w:jc w:val="left"/>
        <w:rPr>
          <w:shd w:fill="CCF2F8" w:val="clear"/>
        </w:rPr>
      </w:pPr>
      <w:r>
        <w:rPr>
          <w:shd w:fill="CCF2F8"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3E3935"/>
                <w:sz w:val="18"/>
              </w:rPr>
            </w:pPr>
            <w:r>
              <w:rPr>
                <w:rFonts w:ascii="arial" w:hAnsi="arial"/>
                <w:color w:val="3E3935"/>
                <w:sz w:val="18"/>
              </w:rPr>
              <w:t xml:space="preserve">Our LTIP performance measures will continue to focus on creating long-term shareholder value and Company profitability, while increasing the focus on cash generation. Our new LTIP measures will include a performance measure mix of Cumulative Adjusted Automotive Operating Cash Flow, EBIT-adjusted Margin, and Relative TSR. These metrics directly link our leaders to our long-term transformation strategy and share price performance.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CCF2F8" w:val="clear"/>
        </w:rPr>
      </w:pPr>
      <w:r>
        <w:rPr>
          <w:shd w:fill="CCF2F8"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3E3935"/>
                <w:sz w:val="18"/>
              </w:rPr>
            </w:pPr>
            <w:r>
              <w:rPr>
                <w:rFonts w:ascii="arial" w:hAnsi="arial"/>
                <w:color w:val="3E3935"/>
                <w:sz w:val="18"/>
              </w:rPr>
              <w:t xml:space="preserve">To remain competitive in acquiring the talent we need and to efficiently utilize the shares available in the equity plan, our new LTIP structure will now incorporate RSUs in lieu of stock options, while retaining at risk compensation with PSUs representing 75% of each LTIP grant.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CCF2F8" w:val="clear"/>
        </w:rPr>
      </w:pPr>
      <w:r>
        <w:rPr>
          <w:shd w:fill="CCF2F8" w:val="clear"/>
        </w:rPr>
        <w:t> </w:t>
      </w:r>
    </w:p>
    <w:p>
      <w:pPr>
        <w:pStyle w:val="TextBody"/>
        <w:bidi w:val="0"/>
        <w:spacing w:before="0" w:after="0"/>
        <w:jc w:val="both"/>
        <w:rPr>
          <w:rFonts w:ascii="arial" w:hAnsi="arial"/>
          <w:color w:val="3E3935"/>
          <w:sz w:val="18"/>
        </w:rPr>
      </w:pPr>
      <w:r>
        <w:rPr>
          <w:rFonts w:ascii="arial" w:hAnsi="arial"/>
          <w:color w:val="3E3935"/>
          <w:sz w:val="18"/>
        </w:rPr>
        <w:t xml:space="preserve">The Compensation Committee looks forward to your ongoing feedback. Our objective remains aligning our executive compensation program with shareholders’ interests, encouraging management to make decisions that result in long-term value creation, and attracting and retaining the talent required to drive the Company towards our four key strategic goals during this critical and transformative time. </w:t>
      </w:r>
    </w:p>
    <w:p>
      <w:pPr>
        <w:pStyle w:val="TextBody"/>
        <w:bidi w:val="0"/>
        <w:spacing w:before="120" w:after="0"/>
        <w:jc w:val="both"/>
        <w:rPr>
          <w:rFonts w:ascii="arial" w:hAnsi="arial"/>
          <w:color w:val="3E3935"/>
          <w:sz w:val="18"/>
        </w:rPr>
      </w:pPr>
      <w:r>
        <w:rPr>
          <w:rFonts w:ascii="arial" w:hAnsi="arial"/>
          <w:color w:val="3E3935"/>
          <w:sz w:val="18"/>
        </w:rPr>
        <w:t xml:space="preserve">Sincerely, </w:t>
      </w:r>
    </w:p>
    <w:p>
      <w:pPr>
        <w:pStyle w:val="TextBody"/>
        <w:bidi w:val="0"/>
        <w:spacing w:before="0" w:after="0"/>
        <w:jc w:val="left"/>
        <w:rPr/>
      </w:pPr>
      <w:r>
        <w:rPr/>
        <w:t> </w:t>
      </w:r>
    </w:p>
    <w:tbl>
      <w:tblPr>
        <w:tblW w:w="4221" w:type="dxa"/>
        <w:jc w:val="left"/>
        <w:tblInd w:w="0" w:type="dxa"/>
        <w:tblLayout w:type="fixed"/>
        <w:tblCellMar>
          <w:top w:w="0" w:type="dxa"/>
          <w:left w:w="0" w:type="dxa"/>
          <w:bottom w:w="0" w:type="dxa"/>
          <w:right w:w="0" w:type="dxa"/>
        </w:tblCellMar>
      </w:tblPr>
      <w:tblGrid>
        <w:gridCol w:w="1081"/>
        <w:gridCol w:w="60"/>
        <w:gridCol w:w="3080"/>
      </w:tblGrid>
      <w:tr>
        <w:trPr/>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1081" w:type="dxa"/>
            <w:vMerge w:val="restart"/>
            <w:tcBorders/>
            <w:vAlign w:val="center"/>
          </w:tcPr>
          <w:p>
            <w:pPr>
              <w:pStyle w:val="TableContents"/>
              <w:bidi w:val="0"/>
              <w:spacing w:before="0" w:after="0"/>
              <w:jc w:val="left"/>
              <w:rPr/>
            </w:pPr>
            <w:r>
              <w:rPr/>
              <w:drawing>
                <wp:inline distT="0" distB="0" distL="0" distR="0">
                  <wp:extent cx="638810" cy="638810"/>
                  <wp:effectExtent l="0" t="0" r="0" b="0"/>
                  <wp:docPr id="18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0" descr=""/>
                          <pic:cNvPicPr>
                            <a:picLocks noChangeAspect="1" noChangeArrowheads="1"/>
                          </pic:cNvPicPr>
                        </pic:nvPicPr>
                        <pic:blipFill>
                          <a:blip r:embed="rId176"/>
                          <a:stretch>
                            <a:fillRect/>
                          </a:stretch>
                        </pic:blipFill>
                        <pic:spPr bwMode="auto">
                          <a:xfrm>
                            <a:off x="0" y="0"/>
                            <a:ext cx="638810" cy="6388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pPr>
            <w:r>
              <w:rPr/>
              <w:drawing>
                <wp:inline distT="0" distB="0" distL="0" distR="0">
                  <wp:extent cx="1290955" cy="220980"/>
                  <wp:effectExtent l="0" t="0" r="0" b="0"/>
                  <wp:docPr id="18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1" descr=""/>
                          <pic:cNvPicPr>
                            <a:picLocks noChangeAspect="1" noChangeArrowheads="1"/>
                          </pic:cNvPicPr>
                        </pic:nvPicPr>
                        <pic:blipFill>
                          <a:blip r:embed="rId177"/>
                          <a:stretch>
                            <a:fillRect/>
                          </a:stretch>
                        </pic:blipFill>
                        <pic:spPr bwMode="auto">
                          <a:xfrm>
                            <a:off x="0" y="0"/>
                            <a:ext cx="1290955" cy="22098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08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b/>
                <w:color w:val="3E3935"/>
              </w:rPr>
            </w:pPr>
            <w:r>
              <w:rPr>
                <w:b/>
                <w:color w:val="3E3935"/>
              </w:rPr>
              <w:t>Wesley G. Bush</w:t>
            </w:r>
          </w:p>
        </w:tc>
      </w:tr>
      <w:tr>
        <w:trPr/>
        <w:tc>
          <w:tcPr>
            <w:tcW w:w="108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color w:val="3E3935"/>
              </w:rPr>
            </w:pPr>
            <w:r>
              <w:rPr>
                <w:color w:val="3E3935"/>
              </w:rPr>
              <w:t>Compensation Committee Chair</w:t>
            </w:r>
          </w:p>
        </w:tc>
      </w:tr>
    </w:tbl>
    <w:p>
      <w:pPr>
        <w:pStyle w:val="TextBody"/>
        <w:bidi w:val="0"/>
        <w:spacing w:before="0" w:after="0"/>
        <w:jc w:val="left"/>
        <w:rPr/>
      </w:pPr>
      <w:r>
        <w:rPr/>
        <w:t> </w:t>
      </w:r>
    </w:p>
    <w:tbl>
      <w:tblPr>
        <w:tblW w:w="7496" w:type="dxa"/>
        <w:jc w:val="left"/>
        <w:tblInd w:w="0" w:type="dxa"/>
        <w:tblLayout w:type="fixed"/>
        <w:tblCellMar>
          <w:top w:w="0" w:type="dxa"/>
          <w:left w:w="0" w:type="dxa"/>
          <w:bottom w:w="0" w:type="dxa"/>
          <w:right w:w="0" w:type="dxa"/>
        </w:tblCellMar>
      </w:tblPr>
      <w:tblGrid>
        <w:gridCol w:w="275"/>
        <w:gridCol w:w="60"/>
        <w:gridCol w:w="1380"/>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42</w:t>
            </w:r>
          </w:p>
        </w:tc>
        <w:tc>
          <w:tcPr>
            <w:tcW w:w="60"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left"/>
              <w:rPr/>
            </w:pPr>
            <w:r>
              <w:rPr/>
              <w:drawing>
                <wp:inline distT="0" distB="0" distL="0" distR="0">
                  <wp:extent cx="838200" cy="107315"/>
                  <wp:effectExtent l="0" t="0" r="0" b="0"/>
                  <wp:docPr id="18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2" descr=""/>
                          <pic:cNvPicPr>
                            <a:picLocks noChangeAspect="1" noChangeArrowheads="1"/>
                          </pic:cNvPicPr>
                        </pic:nvPicPr>
                        <pic:blipFill>
                          <a:blip r:embed="rId178"/>
                          <a:stretch>
                            <a:fillRect/>
                          </a:stretch>
                        </pic:blipFill>
                        <pic:spPr bwMode="auto">
                          <a:xfrm>
                            <a:off x="0" y="0"/>
                            <a:ext cx="838200" cy="1073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24" w:name="toc648661_22"/>
      <w:bookmarkEnd w:id="24"/>
      <w:r>
        <w:rPr>
          <w:rFonts w:ascii="arial" w:hAnsi="arial"/>
          <w:b/>
          <w:color w:val="0071CE"/>
          <w:sz w:val="28"/>
        </w:rPr>
        <w:t xml:space="preserve">Our Company Performance </w:t>
      </w:r>
    </w:p>
    <w:p>
      <w:pPr>
        <w:pStyle w:val="TextBody"/>
        <w:bidi w:val="0"/>
        <w:spacing w:before="360" w:after="0"/>
        <w:jc w:val="left"/>
        <w:rPr>
          <w:rFonts w:ascii="arial" w:hAnsi="arial"/>
          <w:b/>
          <w:color w:val="3E3935"/>
          <w:sz w:val="26"/>
        </w:rPr>
      </w:pPr>
      <w:r>
        <w:rPr>
          <w:rFonts w:ascii="arial" w:hAnsi="arial"/>
          <w:b/>
          <w:color w:val="3E3935"/>
          <w:sz w:val="26"/>
        </w:rPr>
        <w:t xml:space="preserve">Consistently Delivering Strong Results </w:t>
      </w:r>
    </w:p>
    <w:p>
      <w:pPr>
        <w:pStyle w:val="TextBody"/>
        <w:bidi w:val="0"/>
        <w:spacing w:before="120" w:after="0"/>
        <w:jc w:val="both"/>
        <w:rPr>
          <w:color w:val="0071CE"/>
        </w:rPr>
      </w:pPr>
      <w:r>
        <w:rPr>
          <w:color w:val="0071CE"/>
        </w:rPr>
        <w:t>“</w:t>
      </w:r>
      <w:r>
        <w:rPr>
          <w:rFonts w:ascii="arial" w:hAnsi="arial"/>
          <w:b/>
          <w:color w:val="0071CE"/>
          <w:sz w:val="22"/>
        </w:rPr>
        <w:t xml:space="preserve">General Motors is building on a foundation of products that our customers love. We have an unmatched ICE portfolio in North America, rising EV production on the Ultium platform and GM Financial continues to perform well. Everyone on the team is focused on strong execution to sustain our momentum and create shareholder value, and we plan to hold ourselves accountable for doing exactly that.” </w:t>
      </w:r>
    </w:p>
    <w:p>
      <w:pPr>
        <w:pStyle w:val="TextBody"/>
        <w:bidi w:val="0"/>
        <w:spacing w:before="0" w:after="0"/>
        <w:jc w:val="right"/>
        <w:rPr>
          <w:rFonts w:ascii="arial" w:hAnsi="arial"/>
          <w:b/>
          <w:color w:val="3E3935"/>
          <w:sz w:val="18"/>
        </w:rPr>
      </w:pPr>
      <w:r>
        <w:rPr>
          <w:rFonts w:ascii="arial" w:hAnsi="arial"/>
          <w:b/>
          <w:color w:val="3E3935"/>
          <w:sz w:val="18"/>
        </w:rPr>
        <w:t xml:space="preserve">- Mary T. Barra, Chair and CEO </w:t>
      </w:r>
    </w:p>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b/>
          <w:color w:val="3E3935"/>
          <w:sz w:val="26"/>
        </w:rPr>
      </w:pPr>
      <w:r>
        <w:rPr>
          <w:rFonts w:ascii="arial" w:hAnsi="arial"/>
          <w:b/>
          <w:color w:val="3E3935"/>
          <w:sz w:val="26"/>
        </w:rPr>
        <w:t xml:space="preserve">Optimizing Our Core Business To Continue Investing In Our Future </w:t>
      </w:r>
    </w:p>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10230" cy="3702050"/>
                <wp:effectExtent l="0" t="0" r="0" b="0"/>
                <wp:wrapSquare wrapText="right"/>
                <wp:docPr id="184" name="Frame7"/>
                <a:graphic xmlns:a="http://schemas.openxmlformats.org/drawingml/2006/main">
                  <a:graphicData uri="http://schemas.microsoft.com/office/word/2010/wordprocessingShape">
                    <wps:wsp>
                      <wps:cNvSpPr txBox="1"/>
                      <wps:spPr>
                        <a:xfrm>
                          <a:off x="0" y="0"/>
                          <a:ext cx="3110230" cy="3702050"/>
                        </a:xfrm>
                        <a:prstGeom prst="rect"/>
                        <a:solidFill>
                          <a:srgbClr val="FFFFFF"/>
                        </a:solidFill>
                      </wps:spPr>
                      <wps:txbx>
                        <w:txbxContent>
                          <w:p>
                            <w:pPr>
                              <w:pStyle w:val="TextBody"/>
                              <w:bidi w:val="0"/>
                              <w:spacing w:before="0" w:after="0"/>
                              <w:jc w:val="left"/>
                              <w:rPr>
                                <w:rFonts w:ascii="arial" w:hAnsi="arial"/>
                                <w:b/>
                                <w:color w:val="3E3935"/>
                                <w:sz w:val="26"/>
                              </w:rPr>
                            </w:pPr>
                            <w:r>
                              <w:rPr>
                                <w:rFonts w:ascii="arial" w:hAnsi="arial"/>
                                <w:b/>
                                <w:color w:val="3E3935"/>
                                <w:sz w:val="26"/>
                              </w:rPr>
                              <w:t xml:space="preserve">Creating An Even Stronger GM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3"/>
                              <w:gridCol w:w="60"/>
                              <w:gridCol w:w="10002"/>
                            </w:tblGrid>
                            <w:tr>
                              <w:trPr/>
                              <w:tc>
                                <w:tcPr>
                                  <w:tcW w:w="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2" w:type="dxa"/>
                                  <w:tcBorders/>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283"/>
                                    <w:jc w:val="left"/>
                                    <w:rPr>
                                      <w:sz w:val="4"/>
                                      <w:szCs w:val="4"/>
                                    </w:rPr>
                                  </w:pPr>
                                  <w:r>
                                    <w:rPr>
                                      <w:sz w:val="4"/>
                                      <w:szCs w:val="4"/>
                                    </w:rPr>
                                  </w:r>
                                </w:p>
                              </w:tc>
                              <w:tc>
                                <w:tcPr>
                                  <w:tcW w:w="1006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54610" cy="34290"/>
                                        <wp:effectExtent l="0" t="0" r="0" b="0"/>
                                        <wp:docPr id="185"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3" descr=""/>
                                                <pic:cNvPicPr>
                                                  <a:picLocks noChangeAspect="1" noChangeArrowheads="1"/>
                                                </pic:cNvPicPr>
                                              </pic:nvPicPr>
                                              <pic:blipFill>
                                                <a:blip r:embed="rId179"/>
                                                <a:stretch>
                                                  <a:fillRect/>
                                                </a:stretch>
                                              </pic:blipFill>
                                              <pic:spPr bwMode="auto">
                                                <a:xfrm>
                                                  <a:off x="0" y="0"/>
                                                  <a:ext cx="5461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10002" w:type="dxa"/>
                                  <w:tcBorders/>
                                  <w:shd w:fill="CCF2F8" w:val="clear"/>
                                  <w:vAlign w:val="center"/>
                                </w:tcPr>
                                <w:p>
                                  <w:pPr>
                                    <w:pStyle w:val="TableContents"/>
                                    <w:bidi w:val="0"/>
                                    <w:spacing w:before="0" w:after="0"/>
                                    <w:jc w:val="left"/>
                                    <w:rPr>
                                      <w:rFonts w:ascii="arial" w:hAnsi="arial"/>
                                      <w:color w:val="3E3935"/>
                                      <w:sz w:val="18"/>
                                    </w:rPr>
                                  </w:pPr>
                                  <w:r>
                                    <w:rPr>
                                      <w:rFonts w:ascii="arial" w:hAnsi="arial"/>
                                      <w:color w:val="3E3935"/>
                                      <w:sz w:val="18"/>
                                    </w:rPr>
                                    <w:t>Delivered strong financial performance by optimizing the core business, enabling continued investments in future growth and returning cash to shareholders</w:t>
                                  </w:r>
                                </w:p>
                              </w:tc>
                            </w:tr>
                            <w:tr>
                              <w:trPr/>
                              <w:tc>
                                <w:tcPr>
                                  <w:tcW w:w="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283"/>
                                    <w:jc w:val="left"/>
                                    <w:rPr>
                                      <w:sz w:val="4"/>
                                      <w:szCs w:val="4"/>
                                    </w:rPr>
                                  </w:pPr>
                                  <w:r>
                                    <w:rPr>
                                      <w:sz w:val="4"/>
                                      <w:szCs w:val="4"/>
                                    </w:rPr>
                                  </w:r>
                                </w:p>
                              </w:tc>
                              <w:tc>
                                <w:tcPr>
                                  <w:tcW w:w="1006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8895" cy="48895"/>
                                        <wp:effectExtent l="0" t="0" r="0" b="0"/>
                                        <wp:docPr id="186"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4" descr=""/>
                                                <pic:cNvPicPr>
                                                  <a:picLocks noChangeAspect="1" noChangeArrowheads="1"/>
                                                </pic:cNvPicPr>
                                              </pic:nvPicPr>
                                              <pic:blipFill>
                                                <a:blip r:embed="rId180"/>
                                                <a:stretch>
                                                  <a:fillRect/>
                                                </a:stretch>
                                              </pic:blipFill>
                                              <pic:spPr bwMode="auto">
                                                <a:xfrm>
                                                  <a:off x="0" y="0"/>
                                                  <a:ext cx="48895" cy="4889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10002" w:type="dxa"/>
                                  <w:tcBorders/>
                                  <w:shd w:fill="CCF2F8" w:val="clear"/>
                                  <w:vAlign w:val="center"/>
                                </w:tcPr>
                                <w:p>
                                  <w:pPr>
                                    <w:pStyle w:val="TableContents"/>
                                    <w:bidi w:val="0"/>
                                    <w:spacing w:before="0" w:after="0"/>
                                    <w:jc w:val="left"/>
                                    <w:rPr>
                                      <w:rFonts w:ascii="arial" w:hAnsi="arial"/>
                                      <w:color w:val="3E3935"/>
                                      <w:sz w:val="18"/>
                                    </w:rPr>
                                  </w:pPr>
                                  <w:r>
                                    <w:rPr>
                                      <w:rFonts w:ascii="arial" w:hAnsi="arial"/>
                                      <w:color w:val="3E3935"/>
                                      <w:sz w:val="18"/>
                                    </w:rPr>
                                    <w:t>Developed a more resilient, North American-focused EV supply chain ecosystem, including reaching full production at our first joint venture battery cell plant in the U.S.</w:t>
                                  </w:r>
                                </w:p>
                              </w:tc>
                            </w:tr>
                            <w:tr>
                              <w:trPr/>
                              <w:tc>
                                <w:tcPr>
                                  <w:tcW w:w="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283"/>
                                    <w:jc w:val="left"/>
                                    <w:rPr>
                                      <w:sz w:val="4"/>
                                      <w:szCs w:val="4"/>
                                    </w:rPr>
                                  </w:pPr>
                                  <w:r>
                                    <w:rPr>
                                      <w:sz w:val="4"/>
                                      <w:szCs w:val="4"/>
                                    </w:rPr>
                                  </w:r>
                                </w:p>
                              </w:tc>
                              <w:tc>
                                <w:tcPr>
                                  <w:tcW w:w="1006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51435" cy="41910"/>
                                        <wp:effectExtent l="0" t="0" r="0" b="0"/>
                                        <wp:docPr id="187"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5" descr=""/>
                                                <pic:cNvPicPr>
                                                  <a:picLocks noChangeAspect="1" noChangeArrowheads="1"/>
                                                </pic:cNvPicPr>
                                              </pic:nvPicPr>
                                              <pic:blipFill>
                                                <a:blip r:embed="rId181"/>
                                                <a:stretch>
                                                  <a:fillRect/>
                                                </a:stretch>
                                              </pic:blipFill>
                                              <pic:spPr bwMode="auto">
                                                <a:xfrm>
                                                  <a:off x="0" y="0"/>
                                                  <a:ext cx="51435" cy="419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10002" w:type="dxa"/>
                                  <w:tcBorders/>
                                  <w:shd w:fill="CCF2F8" w:val="clear"/>
                                  <w:vAlign w:val="center"/>
                                </w:tcPr>
                                <w:p>
                                  <w:pPr>
                                    <w:pStyle w:val="TableContents"/>
                                    <w:bidi w:val="0"/>
                                    <w:spacing w:before="0" w:after="0"/>
                                    <w:jc w:val="left"/>
                                    <w:rPr>
                                      <w:rFonts w:ascii="arial" w:hAnsi="arial"/>
                                      <w:color w:val="3E3935"/>
                                      <w:sz w:val="18"/>
                                    </w:rPr>
                                  </w:pPr>
                                  <w:r>
                                    <w:rPr>
                                      <w:rFonts w:ascii="arial" w:hAnsi="arial"/>
                                      <w:color w:val="3E3935"/>
                                      <w:sz w:val="18"/>
                                    </w:rPr>
                                    <w:t>Created a new organization led by proven tech innovators focused on executing software-defined vehicle technology to enhance the customer experience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3E3935"/>
                          <w:sz w:val="26"/>
                        </w:rPr>
                      </w:pPr>
                      <w:r>
                        <w:rPr>
                          <w:rFonts w:ascii="arial" w:hAnsi="arial"/>
                          <w:b/>
                          <w:color w:val="3E3935"/>
                          <w:sz w:val="26"/>
                        </w:rPr>
                        <w:t xml:space="preserve">Creating An Even Stronger GM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3"/>
                        <w:gridCol w:w="60"/>
                        <w:gridCol w:w="10002"/>
                      </w:tblGrid>
                      <w:tr>
                        <w:trPr/>
                        <w:tc>
                          <w:tcPr>
                            <w:tcW w:w="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2" w:type="dxa"/>
                            <w:tcBorders/>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283"/>
                              <w:jc w:val="left"/>
                              <w:rPr>
                                <w:sz w:val="4"/>
                                <w:szCs w:val="4"/>
                              </w:rPr>
                            </w:pPr>
                            <w:r>
                              <w:rPr>
                                <w:sz w:val="4"/>
                                <w:szCs w:val="4"/>
                              </w:rPr>
                            </w:r>
                          </w:p>
                        </w:tc>
                        <w:tc>
                          <w:tcPr>
                            <w:tcW w:w="1006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54610" cy="34290"/>
                                  <wp:effectExtent l="0" t="0" r="0" b="0"/>
                                  <wp:docPr id="18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3" descr=""/>
                                          <pic:cNvPicPr>
                                            <a:picLocks noChangeAspect="1" noChangeArrowheads="1"/>
                                          </pic:cNvPicPr>
                                        </pic:nvPicPr>
                                        <pic:blipFill>
                                          <a:blip r:embed="rId182"/>
                                          <a:stretch>
                                            <a:fillRect/>
                                          </a:stretch>
                                        </pic:blipFill>
                                        <pic:spPr bwMode="auto">
                                          <a:xfrm>
                                            <a:off x="0" y="0"/>
                                            <a:ext cx="5461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10002" w:type="dxa"/>
                            <w:tcBorders/>
                            <w:shd w:fill="CCF2F8" w:val="clear"/>
                            <w:vAlign w:val="center"/>
                          </w:tcPr>
                          <w:p>
                            <w:pPr>
                              <w:pStyle w:val="TableContents"/>
                              <w:bidi w:val="0"/>
                              <w:spacing w:before="0" w:after="0"/>
                              <w:jc w:val="left"/>
                              <w:rPr>
                                <w:rFonts w:ascii="arial" w:hAnsi="arial"/>
                                <w:color w:val="3E3935"/>
                                <w:sz w:val="18"/>
                              </w:rPr>
                            </w:pPr>
                            <w:r>
                              <w:rPr>
                                <w:rFonts w:ascii="arial" w:hAnsi="arial"/>
                                <w:color w:val="3E3935"/>
                                <w:sz w:val="18"/>
                              </w:rPr>
                              <w:t>Delivered strong financial performance by optimizing the core business, enabling continued investments in future growth and returning cash to shareholders</w:t>
                            </w:r>
                          </w:p>
                        </w:tc>
                      </w:tr>
                      <w:tr>
                        <w:trPr/>
                        <w:tc>
                          <w:tcPr>
                            <w:tcW w:w="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283"/>
                              <w:jc w:val="left"/>
                              <w:rPr>
                                <w:sz w:val="4"/>
                                <w:szCs w:val="4"/>
                              </w:rPr>
                            </w:pPr>
                            <w:r>
                              <w:rPr>
                                <w:sz w:val="4"/>
                                <w:szCs w:val="4"/>
                              </w:rPr>
                            </w:r>
                          </w:p>
                        </w:tc>
                        <w:tc>
                          <w:tcPr>
                            <w:tcW w:w="1006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8895" cy="48895"/>
                                  <wp:effectExtent l="0" t="0" r="0" b="0"/>
                                  <wp:docPr id="18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4" descr=""/>
                                          <pic:cNvPicPr>
                                            <a:picLocks noChangeAspect="1" noChangeArrowheads="1"/>
                                          </pic:cNvPicPr>
                                        </pic:nvPicPr>
                                        <pic:blipFill>
                                          <a:blip r:embed="rId183"/>
                                          <a:stretch>
                                            <a:fillRect/>
                                          </a:stretch>
                                        </pic:blipFill>
                                        <pic:spPr bwMode="auto">
                                          <a:xfrm>
                                            <a:off x="0" y="0"/>
                                            <a:ext cx="48895" cy="4889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10002" w:type="dxa"/>
                            <w:tcBorders/>
                            <w:shd w:fill="CCF2F8" w:val="clear"/>
                            <w:vAlign w:val="center"/>
                          </w:tcPr>
                          <w:p>
                            <w:pPr>
                              <w:pStyle w:val="TableContents"/>
                              <w:bidi w:val="0"/>
                              <w:spacing w:before="0" w:after="0"/>
                              <w:jc w:val="left"/>
                              <w:rPr>
                                <w:rFonts w:ascii="arial" w:hAnsi="arial"/>
                                <w:color w:val="3E3935"/>
                                <w:sz w:val="18"/>
                              </w:rPr>
                            </w:pPr>
                            <w:r>
                              <w:rPr>
                                <w:rFonts w:ascii="arial" w:hAnsi="arial"/>
                                <w:color w:val="3E3935"/>
                                <w:sz w:val="18"/>
                              </w:rPr>
                              <w:t>Developed a more resilient, North American-focused EV supply chain ecosystem, including reaching full production at our first joint venture battery cell plant in the U.S.</w:t>
                            </w:r>
                          </w:p>
                        </w:tc>
                      </w:tr>
                      <w:tr>
                        <w:trPr/>
                        <w:tc>
                          <w:tcPr>
                            <w:tcW w:w="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283"/>
                              <w:jc w:val="left"/>
                              <w:rPr>
                                <w:sz w:val="4"/>
                                <w:szCs w:val="4"/>
                              </w:rPr>
                            </w:pPr>
                            <w:r>
                              <w:rPr>
                                <w:sz w:val="4"/>
                                <w:szCs w:val="4"/>
                              </w:rPr>
                            </w:r>
                          </w:p>
                        </w:tc>
                        <w:tc>
                          <w:tcPr>
                            <w:tcW w:w="10062"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43" w:type="dxa"/>
                            <w:tcBorders/>
                            <w:shd w:fill="CCF2F8"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51435" cy="41910"/>
                                  <wp:effectExtent l="0" t="0" r="0" b="0"/>
                                  <wp:docPr id="19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5" descr=""/>
                                          <pic:cNvPicPr>
                                            <a:picLocks noChangeAspect="1" noChangeArrowheads="1"/>
                                          </pic:cNvPicPr>
                                        </pic:nvPicPr>
                                        <pic:blipFill>
                                          <a:blip r:embed="rId184"/>
                                          <a:stretch>
                                            <a:fillRect/>
                                          </a:stretch>
                                        </pic:blipFill>
                                        <pic:spPr bwMode="auto">
                                          <a:xfrm>
                                            <a:off x="0" y="0"/>
                                            <a:ext cx="51435" cy="419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10002" w:type="dxa"/>
                            <w:tcBorders/>
                            <w:shd w:fill="CCF2F8" w:val="clear"/>
                            <w:vAlign w:val="center"/>
                          </w:tcPr>
                          <w:p>
                            <w:pPr>
                              <w:pStyle w:val="TableContents"/>
                              <w:bidi w:val="0"/>
                              <w:spacing w:before="0" w:after="0"/>
                              <w:jc w:val="left"/>
                              <w:rPr>
                                <w:rFonts w:ascii="arial" w:hAnsi="arial"/>
                                <w:color w:val="3E3935"/>
                                <w:sz w:val="18"/>
                              </w:rPr>
                            </w:pPr>
                            <w:r>
                              <w:rPr>
                                <w:rFonts w:ascii="arial" w:hAnsi="arial"/>
                                <w:color w:val="3E3935"/>
                                <w:sz w:val="18"/>
                              </w:rPr>
                              <w:t>Created a new organization led by proven tech innovators focused on executing software-defined vehicle technology to enhance the customer experience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3175000" cy="2572385"/>
                <wp:effectExtent l="0" t="0" r="0" b="0"/>
                <wp:wrapSquare wrapText="right"/>
                <wp:docPr id="191" name="Frame8"/>
                <a:graphic xmlns:a="http://schemas.openxmlformats.org/drawingml/2006/main">
                  <a:graphicData uri="http://schemas.microsoft.com/office/word/2010/wordprocessingShape">
                    <wps:wsp>
                      <wps:cNvSpPr txBox="1"/>
                      <wps:spPr>
                        <a:xfrm>
                          <a:off x="0" y="0"/>
                          <a:ext cx="3175000" cy="2572385"/>
                        </a:xfrm>
                        <a:prstGeom prst="rect"/>
                        <a:solidFill>
                          <a:srgbClr val="FFFFFF"/>
                        </a:solidFill>
                      </wps:spPr>
                      <wps:txbx>
                        <w:txbxContent>
                          <w:p>
                            <w:pPr>
                              <w:pStyle w:val="TextBody"/>
                              <w:bidi w:val="0"/>
                              <w:spacing w:before="0" w:after="0"/>
                              <w:jc w:val="left"/>
                              <w:rPr>
                                <w:rFonts w:ascii="arial" w:hAnsi="arial"/>
                                <w:b/>
                                <w:color w:val="3E3935"/>
                                <w:sz w:val="26"/>
                              </w:rPr>
                            </w:pPr>
                            <w:r>
                              <w:rPr>
                                <w:rFonts w:ascii="arial" w:hAnsi="arial"/>
                                <w:b/>
                                <w:color w:val="3E3935"/>
                                <w:sz w:val="26"/>
                              </w:rPr>
                              <w:t xml:space="preserve">Building Vehicles Customers Love </w:t>
                            </w:r>
                          </w:p>
                          <w:p>
                            <w:pPr>
                              <w:pStyle w:val="TextBody"/>
                              <w:bidi w:val="0"/>
                              <w:spacing w:before="120" w:after="0"/>
                              <w:jc w:val="left"/>
                              <w:rPr>
                                <w:rFonts w:ascii="arial" w:hAnsi="arial"/>
                                <w:color w:val="3E3935"/>
                                <w:sz w:val="18"/>
                              </w:rPr>
                            </w:pPr>
                            <w:r>
                              <w:rPr>
                                <w:rFonts w:ascii="arial" w:hAnsi="arial"/>
                                <w:color w:val="3E3935"/>
                                <w:sz w:val="18"/>
                              </w:rPr>
                              <w:t xml:space="preserve">Earned #1 manufacturer in initial quality*, led in sales satisfaction (Buick)* and achieved U.S. market leadership in total sales, truck sales, full-size pickup sales, full-size SUV sales and affordable SUV sales </w:t>
                            </w:r>
                          </w:p>
                          <w:p>
                            <w:pPr>
                              <w:pStyle w:val="TextBody"/>
                              <w:bidi w:val="0"/>
                              <w:spacing w:before="120" w:after="0"/>
                              <w:jc w:val="left"/>
                              <w:rPr>
                                <w:rFonts w:ascii="arial" w:hAnsi="arial"/>
                                <w:i/>
                                <w:color w:val="3E3935"/>
                                <w:sz w:val="14"/>
                              </w:rPr>
                            </w:pPr>
                            <w:r>
                              <w:rPr>
                                <w:rFonts w:ascii="arial" w:hAnsi="arial"/>
                                <w:i/>
                                <w:color w:val="3E3935"/>
                                <w:sz w:val="14"/>
                              </w:rPr>
                              <w:t xml:space="preserve">*2023 J.D. Power U.S. Initial Quality Study; 2023 J.D. Power U.S. Sales Satisfaction Index Study </w:t>
                            </w:r>
                          </w:p>
                          <w:p>
                            <w:pPr>
                              <w:pStyle w:val="TextBody"/>
                              <w:bidi w:val="0"/>
                              <w:spacing w:before="120" w:after="0"/>
                              <w:jc w:val="left"/>
                              <w:rPr>
                                <w:rFonts w:ascii="arial" w:hAnsi="arial"/>
                                <w:color w:val="3E3935"/>
                                <w:sz w:val="18"/>
                              </w:rPr>
                            </w:pPr>
                            <w:r>
                              <w:rPr>
                                <w:rFonts w:ascii="arial" w:hAnsi="arial"/>
                                <w:color w:val="3E3935"/>
                                <w:sz w:val="18"/>
                              </w:rPr>
                              <w:t xml:space="preserve">Increased total company revenue 10% year-over-year and gained total U.S. market share with incentives more than 20% lower than the industry average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arial" w:hAnsi="arial"/>
                                <w:color w:val="3E3935"/>
                                <w:sz w:val="18"/>
                              </w:rPr>
                            </w:pPr>
                            <w:r>
                              <w:rPr>
                                <w:rFonts w:ascii="arial" w:hAnsi="arial"/>
                                <w:color w:val="3E3935"/>
                                <w:sz w:val="18"/>
                              </w:rPr>
                              <w:t xml:space="preserve">Grew U.S. EV sales 93% with a record year for the Chevrolet Bolt EV and EUV, and continued to expand in EVs with launches of the Chevrolet Silverado EV Work Truck and Chevrolet Blazer EV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2.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3E3935"/>
                          <w:sz w:val="26"/>
                        </w:rPr>
                      </w:pPr>
                      <w:r>
                        <w:rPr>
                          <w:rFonts w:ascii="arial" w:hAnsi="arial"/>
                          <w:b/>
                          <w:color w:val="3E3935"/>
                          <w:sz w:val="26"/>
                        </w:rPr>
                        <w:t xml:space="preserve">Building Vehicles Customers Love </w:t>
                      </w:r>
                    </w:p>
                    <w:p>
                      <w:pPr>
                        <w:pStyle w:val="TextBody"/>
                        <w:bidi w:val="0"/>
                        <w:spacing w:before="120" w:after="0"/>
                        <w:jc w:val="left"/>
                        <w:rPr>
                          <w:rFonts w:ascii="arial" w:hAnsi="arial"/>
                          <w:color w:val="3E3935"/>
                          <w:sz w:val="18"/>
                        </w:rPr>
                      </w:pPr>
                      <w:r>
                        <w:rPr>
                          <w:rFonts w:ascii="arial" w:hAnsi="arial"/>
                          <w:color w:val="3E3935"/>
                          <w:sz w:val="18"/>
                        </w:rPr>
                        <w:t xml:space="preserve">Earned #1 manufacturer in initial quality*, led in sales satisfaction (Buick)* and achieved U.S. market leadership in total sales, truck sales, full-size pickup sales, full-size SUV sales and affordable SUV sales </w:t>
                      </w:r>
                    </w:p>
                    <w:p>
                      <w:pPr>
                        <w:pStyle w:val="TextBody"/>
                        <w:bidi w:val="0"/>
                        <w:spacing w:before="120" w:after="0"/>
                        <w:jc w:val="left"/>
                        <w:rPr>
                          <w:rFonts w:ascii="arial" w:hAnsi="arial"/>
                          <w:i/>
                          <w:color w:val="3E3935"/>
                          <w:sz w:val="14"/>
                        </w:rPr>
                      </w:pPr>
                      <w:r>
                        <w:rPr>
                          <w:rFonts w:ascii="arial" w:hAnsi="arial"/>
                          <w:i/>
                          <w:color w:val="3E3935"/>
                          <w:sz w:val="14"/>
                        </w:rPr>
                        <w:t xml:space="preserve">*2023 J.D. Power U.S. Initial Quality Study; 2023 J.D. Power U.S. Sales Satisfaction Index Study </w:t>
                      </w:r>
                    </w:p>
                    <w:p>
                      <w:pPr>
                        <w:pStyle w:val="TextBody"/>
                        <w:bidi w:val="0"/>
                        <w:spacing w:before="120" w:after="0"/>
                        <w:jc w:val="left"/>
                        <w:rPr>
                          <w:rFonts w:ascii="arial" w:hAnsi="arial"/>
                          <w:color w:val="3E3935"/>
                          <w:sz w:val="18"/>
                        </w:rPr>
                      </w:pPr>
                      <w:r>
                        <w:rPr>
                          <w:rFonts w:ascii="arial" w:hAnsi="arial"/>
                          <w:color w:val="3E3935"/>
                          <w:sz w:val="18"/>
                        </w:rPr>
                        <w:t xml:space="preserve">Increased total company revenue 10% year-over-year and gained total U.S. market share with incentives more than 20% lower than the industry average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arial" w:hAnsi="arial"/>
                          <w:color w:val="3E3935"/>
                          <w:sz w:val="18"/>
                        </w:rPr>
                      </w:pPr>
                      <w:r>
                        <w:rPr>
                          <w:rFonts w:ascii="arial" w:hAnsi="arial"/>
                          <w:color w:val="3E3935"/>
                          <w:sz w:val="18"/>
                        </w:rPr>
                        <w:t xml:space="preserve">Grew U.S. EV sales 93% with a record year for the Chevrolet Bolt EV and EUV, and continued to expand in EVs with launches of the Chevrolet Silverado EV Work Truck and Chevrolet Blazer EV </w:t>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360" w:after="0"/>
        <w:jc w:val="left"/>
        <w:rPr>
          <w:rFonts w:ascii="arial" w:hAnsi="arial"/>
          <w:b/>
          <w:color w:val="3E3935"/>
          <w:sz w:val="26"/>
        </w:rPr>
      </w:pPr>
      <w:r>
        <w:rPr>
          <w:rFonts w:ascii="arial" w:hAnsi="arial"/>
          <w:b/>
          <w:color w:val="3E3935"/>
          <w:sz w:val="26"/>
        </w:rPr>
        <w:t xml:space="preserve">2023 Financial Highlights </w:t>
      </w:r>
    </w:p>
    <w:p>
      <w:pPr>
        <w:pStyle w:val="TextBody"/>
        <w:bidi w:val="0"/>
        <w:spacing w:before="0" w:after="0"/>
        <w:jc w:val="left"/>
        <w:rPr/>
      </w:pPr>
      <w:r>
        <w:rPr/>
        <w:t> </w:t>
      </w:r>
    </w:p>
    <w:tbl>
      <w:tblPr>
        <w:tblW w:w="8735" w:type="dxa"/>
        <w:jc w:val="left"/>
        <w:tblInd w:w="0" w:type="dxa"/>
        <w:tblLayout w:type="fixed"/>
        <w:tblCellMar>
          <w:top w:w="0" w:type="dxa"/>
          <w:left w:w="0" w:type="dxa"/>
          <w:bottom w:w="0" w:type="dxa"/>
          <w:right w:w="0" w:type="dxa"/>
        </w:tblCellMar>
      </w:tblPr>
      <w:tblGrid>
        <w:gridCol w:w="1745"/>
        <w:gridCol w:w="120"/>
        <w:gridCol w:w="1925"/>
        <w:gridCol w:w="120"/>
        <w:gridCol w:w="2405"/>
        <w:gridCol w:w="120"/>
        <w:gridCol w:w="230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b/>
                <w:color w:val="0071CE"/>
              </w:rPr>
            </w:pPr>
            <w:r>
              <w:rPr>
                <w:b/>
                <w:color w:val="0071CE"/>
              </w:rPr>
              <w:t>$171.8B</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b/>
                <w:color w:val="0071CE"/>
              </w:rPr>
            </w:pPr>
            <w:r>
              <w:rPr>
                <w:b/>
                <w:color w:val="0071CE"/>
              </w:rPr>
              <w:t>$10.1B</w:t>
            </w:r>
          </w:p>
        </w:tc>
        <w:tc>
          <w:tcPr>
            <w:tcW w:w="1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b/>
                <w:color w:val="0071CE"/>
              </w:rPr>
            </w:pPr>
            <w:r>
              <w:rPr>
                <w:b/>
                <w:color w:val="0071CE"/>
              </w:rPr>
              <w:t>5.9%</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b/>
                <w:color w:val="0071CE"/>
              </w:rPr>
            </w:pPr>
            <w:r>
              <w:rPr>
                <w:b/>
                <w:color w:val="0071CE"/>
              </w:rPr>
              <w:t>$7.32</w:t>
            </w:r>
          </w:p>
        </w:tc>
      </w:tr>
      <w:tr>
        <w:trPr/>
        <w:tc>
          <w:tcPr>
            <w:tcW w:w="1745" w:type="dxa"/>
            <w:tcBorders/>
            <w:vAlign w:val="center"/>
          </w:tcPr>
          <w:p>
            <w:pPr>
              <w:pStyle w:val="TableContents"/>
              <w:bidi w:val="0"/>
              <w:spacing w:before="0" w:after="283"/>
              <w:jc w:val="left"/>
              <w:rPr>
                <w:color w:val="3E3935"/>
              </w:rPr>
            </w:pPr>
            <w:r>
              <w:rPr>
                <w:color w:val="3E3935"/>
              </w:rPr>
              <w:t>Revenue</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jc w:val="left"/>
              <w:rPr>
                <w:rFonts w:ascii="arial" w:hAnsi="arial"/>
                <w:color w:val="3E3935"/>
                <w:sz w:val="18"/>
              </w:rPr>
            </w:pPr>
            <w:r>
              <w:rPr>
                <w:rFonts w:ascii="arial" w:hAnsi="arial"/>
                <w:color w:val="3E3935"/>
                <w:sz w:val="18"/>
              </w:rPr>
              <w:t>Net Income Attributable</w:t>
            </w:r>
          </w:p>
          <w:p>
            <w:pPr>
              <w:pStyle w:val="TableContents"/>
              <w:bidi w:val="0"/>
              <w:spacing w:before="0" w:after="20"/>
              <w:jc w:val="left"/>
              <w:rPr>
                <w:rFonts w:ascii="arial" w:hAnsi="arial"/>
                <w:color w:val="3E3935"/>
                <w:sz w:val="18"/>
              </w:rPr>
            </w:pPr>
            <w:r>
              <w:rPr>
                <w:rFonts w:ascii="arial" w:hAnsi="arial"/>
                <w:color w:val="3E3935"/>
                <w:sz w:val="18"/>
              </w:rPr>
              <w:t>to Stockholders</w:t>
            </w:r>
          </w:p>
        </w:tc>
        <w:tc>
          <w:tcPr>
            <w:tcW w:w="1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color w:val="3E3935"/>
              </w:rPr>
            </w:pPr>
            <w:r>
              <w:rPr>
                <w:color w:val="3E3935"/>
              </w:rPr>
              <w:t>Net Income Margin</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color w:val="3E3935"/>
              </w:rPr>
            </w:pPr>
            <w:r>
              <w:rPr>
                <w:color w:val="3E3935"/>
              </w:rPr>
              <w:t>EPS-Diluted</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b/>
                <w:color w:val="0071CE"/>
              </w:rPr>
            </w:pPr>
            <w:r>
              <w:rPr>
                <w:b/>
                <w:color w:val="0071CE"/>
              </w:rPr>
              <w:t>16.4%</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b/>
                <w:color w:val="0071CE"/>
              </w:rPr>
            </w:pPr>
            <w:r>
              <w:rPr>
                <w:b/>
                <w:color w:val="0071CE"/>
              </w:rPr>
              <w:t>$12.4B</w:t>
            </w:r>
          </w:p>
        </w:tc>
        <w:tc>
          <w:tcPr>
            <w:tcW w:w="1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b/>
                <w:color w:val="0071CE"/>
              </w:rPr>
            </w:pPr>
            <w:r>
              <w:rPr>
                <w:b/>
                <w:color w:val="0071CE"/>
              </w:rPr>
              <w:t>7.2%</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b/>
                <w:color w:val="0071CE"/>
              </w:rPr>
            </w:pPr>
            <w:r>
              <w:rPr>
                <w:b/>
                <w:color w:val="0071CE"/>
              </w:rPr>
              <w:t>$7.68</w:t>
            </w:r>
          </w:p>
        </w:tc>
      </w:tr>
      <w:tr>
        <w:trPr/>
        <w:tc>
          <w:tcPr>
            <w:tcW w:w="1745" w:type="dxa"/>
            <w:tcBorders/>
            <w:vAlign w:val="center"/>
          </w:tcPr>
          <w:p>
            <w:pPr>
              <w:pStyle w:val="TableContents"/>
              <w:bidi w:val="0"/>
              <w:spacing w:before="0" w:after="283"/>
              <w:jc w:val="left"/>
              <w:rPr>
                <w:color w:val="3E3935"/>
              </w:rPr>
            </w:pPr>
            <w:r>
              <w:rPr>
                <w:color w:val="3E3935"/>
              </w:rPr>
              <w:t>ROIC-adjusted(1)</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color w:val="3E3935"/>
              </w:rPr>
            </w:pPr>
            <w:r>
              <w:rPr>
                <w:color w:val="3E3935"/>
              </w:rPr>
              <w:t>EBIT-adjusted(1)</w:t>
            </w:r>
          </w:p>
        </w:tc>
        <w:tc>
          <w:tcPr>
            <w:tcW w:w="1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color w:val="3E3935"/>
              </w:rPr>
            </w:pPr>
            <w:r>
              <w:rPr>
                <w:color w:val="3E3935"/>
              </w:rPr>
              <w:t>EBIT-adjusted(1) margin</w:t>
            </w:r>
          </w:p>
        </w:tc>
        <w:tc>
          <w:tcPr>
            <w:tcW w:w="1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color w:val="3E3935"/>
              </w:rPr>
            </w:pPr>
            <w:r>
              <w:rPr>
                <w:color w:val="3E3935"/>
              </w:rPr>
              <w:t>EPS-diluted-adjusted(1)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color w:val="3E3935"/>
              </w:rPr>
            </w:pPr>
            <w:r>
              <w:rPr>
                <w:color w:val="3E3935"/>
              </w:rPr>
              <w:t>(1)</w:t>
            </w:r>
          </w:p>
        </w:tc>
        <w:tc>
          <w:tcPr>
            <w:tcW w:w="9904"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Non-GAAP financial measure. Refer to Appendix A for a reconciliation of Non-GAAP financial measures to their closest comparable GAAP measure. </w:t>
            </w:r>
          </w:p>
        </w:tc>
      </w:tr>
    </w:tbl>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43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Executing on Our Vision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9"/>
        <w:gridCol w:w="60"/>
        <w:gridCol w:w="9696"/>
      </w:tblGrid>
      <w:tr>
        <w:trPr/>
        <w:tc>
          <w:tcPr>
            <w:tcW w:w="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30480" cy="30480"/>
                  <wp:effectExtent l="0" t="0" r="0" b="0"/>
                  <wp:docPr id="19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6" descr=""/>
                          <pic:cNvPicPr>
                            <a:picLocks noChangeAspect="1" noChangeArrowheads="1"/>
                          </pic:cNvPicPr>
                        </pic:nvPicPr>
                        <pic:blipFill>
                          <a:blip r:embed="rId185"/>
                          <a:stretch>
                            <a:fillRect/>
                          </a:stretch>
                        </pic:blipFill>
                        <pic:spPr bwMode="auto">
                          <a:xfrm>
                            <a:off x="0" y="0"/>
                            <a:ext cx="3048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Achieved strong financial performance with total company revenue growth of 10% year-over-year, full-year net income attributable to stockholders of $10.1 billion and EBIT-adjusted of $12.4 billion</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30480" cy="30480"/>
                  <wp:effectExtent l="0" t="0" r="0" b="0"/>
                  <wp:docPr id="19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7" descr=""/>
                          <pic:cNvPicPr>
                            <a:picLocks noChangeAspect="1" noChangeArrowheads="1"/>
                          </pic:cNvPicPr>
                        </pic:nvPicPr>
                        <pic:blipFill>
                          <a:blip r:embed="rId186"/>
                          <a:stretch>
                            <a:fillRect/>
                          </a:stretch>
                        </pic:blipFill>
                        <pic:spPr bwMode="auto">
                          <a:xfrm>
                            <a:off x="0" y="0"/>
                            <a:ext cx="3048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Generated robust cash flow, which enabled a significant amount of cash to be returned to shareholders, including a $10.0 billion accelerated share repurchase program and a 33% increase in the stock dividend starting in 2024</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30480" cy="20320"/>
                  <wp:effectExtent l="0" t="0" r="0" b="0"/>
                  <wp:docPr id="19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8" descr=""/>
                          <pic:cNvPicPr>
                            <a:picLocks noChangeAspect="1" noChangeArrowheads="1"/>
                          </pic:cNvPicPr>
                        </pic:nvPicPr>
                        <pic:blipFill>
                          <a:blip r:embed="rId187"/>
                          <a:stretch>
                            <a:fillRect/>
                          </a:stretch>
                        </pic:blipFill>
                        <pic:spPr bwMode="auto">
                          <a:xfrm>
                            <a:off x="0" y="0"/>
                            <a:ext cx="30480" cy="203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Continued strong performance by GM Financial, which generated EBT-adjusted of $3.0 billion and paid $1.8 billion in dividends to GM</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29210" cy="29210"/>
                  <wp:effectExtent l="0" t="0" r="0" b="0"/>
                  <wp:docPr id="19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9" descr=""/>
                          <pic:cNvPicPr>
                            <a:picLocks noChangeAspect="1" noChangeArrowheads="1"/>
                          </pic:cNvPicPr>
                        </pic:nvPicPr>
                        <pic:blipFill>
                          <a:blip r:embed="rId188"/>
                          <a:stretch>
                            <a:fillRect/>
                          </a:stretch>
                        </pic:blipFill>
                        <pic:spPr bwMode="auto">
                          <a:xfrm>
                            <a:off x="0" y="0"/>
                            <a:ext cx="29210" cy="292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GM International delivered $1.2 billion in EBIT-adjusted profit, driven by key new vehicle launches such as the Chevrolet Montana and Chevrolet Trax</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30480" cy="30480"/>
                  <wp:effectExtent l="0" t="0" r="0" b="0"/>
                  <wp:docPr id="19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0" descr=""/>
                          <pic:cNvPicPr>
                            <a:picLocks noChangeAspect="1" noChangeArrowheads="1"/>
                          </pic:cNvPicPr>
                        </pic:nvPicPr>
                        <pic:blipFill>
                          <a:blip r:embed="rId189"/>
                          <a:stretch>
                            <a:fillRect/>
                          </a:stretch>
                        </pic:blipFill>
                        <pic:spPr bwMode="auto">
                          <a:xfrm>
                            <a:off x="0" y="0"/>
                            <a:ext cx="3048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Negotiated new labor agreements in the U.S., Canada and South Korea with significant wage increases for employees  </w:t>
            </w:r>
            <w:r>
              <w:rPr>
                <w:rFonts w:ascii="arial" w:hAnsi="arial"/>
                <w:color w:val="3E3935"/>
                <w:sz w:val="18"/>
              </w:rPr>
              <w:drawing>
                <wp:inline distT="0" distB="0" distL="0" distR="0">
                  <wp:extent cx="85725" cy="85725"/>
                  <wp:effectExtent l="0" t="0" r="0" b="0"/>
                  <wp:docPr id="19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1" descr=""/>
                          <pic:cNvPicPr>
                            <a:picLocks noChangeAspect="1" noChangeArrowheads="1"/>
                          </pic:cNvPicPr>
                        </pic:nvPicPr>
                        <pic:blipFill>
                          <a:blip r:embed="rId190"/>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30480" cy="30480"/>
                  <wp:effectExtent l="0" t="0" r="0" b="0"/>
                  <wp:docPr id="19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2" descr=""/>
                          <pic:cNvPicPr>
                            <a:picLocks noChangeAspect="1" noChangeArrowheads="1"/>
                          </pic:cNvPicPr>
                        </pic:nvPicPr>
                        <pic:blipFill>
                          <a:blip r:embed="rId191"/>
                          <a:stretch>
                            <a:fillRect/>
                          </a:stretch>
                        </pic:blipFill>
                        <pic:spPr bwMode="auto">
                          <a:xfrm>
                            <a:off x="0" y="0"/>
                            <a:ext cx="3048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Initiated a $2.0 billion fixed and variable cost reduction program enabling the Company to continue to achieve strong profitability and ongoing investments in future growth</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480" cy="30480"/>
                  <wp:effectExtent l="0" t="0" r="0" b="0"/>
                  <wp:docPr id="19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3" descr=""/>
                          <pic:cNvPicPr>
                            <a:picLocks noChangeAspect="1" noChangeArrowheads="1"/>
                          </pic:cNvPicPr>
                        </pic:nvPicPr>
                        <pic:blipFill>
                          <a:blip r:embed="rId192"/>
                          <a:stretch>
                            <a:fillRect/>
                          </a:stretch>
                        </pic:blipFill>
                        <pic:spPr bwMode="auto">
                          <a:xfrm>
                            <a:off x="0" y="0"/>
                            <a:ext cx="3048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Ranked as the #1 manufacturer on J.D. Power’s Initial Quality Study for the consecutive year</w:t>
            </w:r>
          </w:p>
          <w:p>
            <w:pPr>
              <w:pStyle w:val="TableContents"/>
              <w:bidi w:val="0"/>
              <w:spacing w:before="0" w:after="20"/>
              <w:jc w:val="left"/>
              <w:rPr/>
            </w:pPr>
            <w:r>
              <w:rPr/>
              <w:t> </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480" cy="30480"/>
                  <wp:effectExtent l="0" t="0" r="0" b="0"/>
                  <wp:docPr id="20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4" descr=""/>
                          <pic:cNvPicPr>
                            <a:picLocks noChangeAspect="1" noChangeArrowheads="1"/>
                          </pic:cNvPicPr>
                        </pic:nvPicPr>
                        <pic:blipFill>
                          <a:blip r:embed="rId193"/>
                          <a:stretch>
                            <a:fillRect/>
                          </a:stretch>
                        </pic:blipFill>
                        <pic:spPr bwMode="auto">
                          <a:xfrm>
                            <a:off x="0" y="0"/>
                            <a:ext cx="3048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Continued to enhance our portfolio of vehicles customers love, including the Chevrolet Colorado (2024 MotorTrend Truck of the Year), Chevrolet Blazer EV (2024 MotorTrend SUV of the Year), Chevrolet Trax (</w:t>
            </w:r>
            <w:r>
              <w:rPr>
                <w:rFonts w:ascii="arial" w:hAnsi="arial"/>
                <w:i/>
                <w:color w:val="3E3935"/>
                <w:sz w:val="18"/>
              </w:rPr>
              <w:t>Car and Driver’s</w:t>
            </w:r>
            <w:r>
              <w:rPr>
                <w:rFonts w:ascii="arial" w:hAnsi="arial"/>
                <w:color w:val="3E3935"/>
                <w:sz w:val="18"/>
              </w:rPr>
              <w:t> 10Best Trucks and SUVs), Chevrolet Corvette E-Ray and Stingray, Cadillac CT4-V Blackwing and CT5-V Blackwing (</w:t>
            </w:r>
            <w:r>
              <w:rPr>
                <w:rFonts w:ascii="arial" w:hAnsi="arial"/>
                <w:i/>
                <w:color w:val="3E3935"/>
                <w:sz w:val="18"/>
              </w:rPr>
              <w:t>Car and Driver’s</w:t>
            </w:r>
            <w:r>
              <w:rPr>
                <w:rFonts w:ascii="arial" w:hAnsi="arial"/>
                <w:color w:val="3E3935"/>
                <w:sz w:val="18"/>
              </w:rPr>
              <w:t xml:space="preserve"> 10Best Cars) </w:t>
            </w:r>
            <w:r>
              <w:rPr>
                <w:rFonts w:ascii="arial" w:hAnsi="arial"/>
                <w:color w:val="3E3935"/>
                <w:sz w:val="18"/>
              </w:rPr>
              <w:drawing>
                <wp:inline distT="0" distB="0" distL="0" distR="0">
                  <wp:extent cx="85725" cy="85725"/>
                  <wp:effectExtent l="0" t="0" r="0" b="0"/>
                  <wp:docPr id="20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5" descr=""/>
                          <pic:cNvPicPr>
                            <a:picLocks noChangeAspect="1" noChangeArrowheads="1"/>
                          </pic:cNvPicPr>
                        </pic:nvPicPr>
                        <pic:blipFill>
                          <a:blip r:embed="rId194"/>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265430" cy="111125"/>
                  <wp:effectExtent l="0" t="0" r="0" b="0"/>
                  <wp:docPr id="20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6" descr=""/>
                          <pic:cNvPicPr>
                            <a:picLocks noChangeAspect="1" noChangeArrowheads="1"/>
                          </pic:cNvPicPr>
                        </pic:nvPicPr>
                        <pic:blipFill>
                          <a:blip r:embed="rId195"/>
                          <a:stretch>
                            <a:fillRect/>
                          </a:stretch>
                        </pic:blipFill>
                        <pic:spPr bwMode="auto">
                          <a:xfrm>
                            <a:off x="0" y="0"/>
                            <a:ext cx="265430" cy="1111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Led the U.S. industry in total truck sales for the 23rd consecutive year, in full-size pickups for the 4th consecutive year and in full-size SUVs for the 49th consecutive year</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265430" cy="166370"/>
                  <wp:effectExtent l="0" t="0" r="0" b="0"/>
                  <wp:docPr id="20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7" descr=""/>
                          <pic:cNvPicPr>
                            <a:picLocks noChangeAspect="1" noChangeArrowheads="1"/>
                          </pic:cNvPicPr>
                        </pic:nvPicPr>
                        <pic:blipFill>
                          <a:blip r:embed="rId196"/>
                          <a:stretch>
                            <a:fillRect/>
                          </a:stretch>
                        </pic:blipFill>
                        <pic:spPr bwMode="auto">
                          <a:xfrm>
                            <a:off x="0" y="0"/>
                            <a:ext cx="265430" cy="1663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Delivered more than 1 million crossovers and became the new leader in affordable small SUVs, driven by the best-ever full-year sales of the new Chevrolet Trax and Buick Envista</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8575" cy="20320"/>
                  <wp:effectExtent l="0" t="0" r="0" b="0"/>
                  <wp:docPr id="20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8" descr=""/>
                          <pic:cNvPicPr>
                            <a:picLocks noChangeAspect="1" noChangeArrowheads="1"/>
                          </pic:cNvPicPr>
                        </pic:nvPicPr>
                        <pic:blipFill>
                          <a:blip r:embed="rId197"/>
                          <a:stretch>
                            <a:fillRect/>
                          </a:stretch>
                        </pic:blipFill>
                        <pic:spPr bwMode="auto">
                          <a:xfrm>
                            <a:off x="0" y="0"/>
                            <a:ext cx="28575" cy="203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Continued GM’s expansion in EVs with a 93% increase in U.S. EV sales in 2023 </w:t>
            </w:r>
            <w:r>
              <w:rPr>
                <w:rFonts w:ascii="arial" w:hAnsi="arial"/>
                <w:color w:val="3E3935"/>
                <w:sz w:val="18"/>
              </w:rPr>
              <w:drawing>
                <wp:inline distT="0" distB="0" distL="0" distR="0">
                  <wp:extent cx="85725" cy="85725"/>
                  <wp:effectExtent l="0" t="0" r="0" b="0"/>
                  <wp:docPr id="20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9" descr=""/>
                          <pic:cNvPicPr>
                            <a:picLocks noChangeAspect="1" noChangeArrowheads="1"/>
                          </pic:cNvPicPr>
                        </pic:nvPicPr>
                        <pic:blipFill>
                          <a:blip r:embed="rId198"/>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28575" cy="20320"/>
                  <wp:effectExtent l="0" t="0" r="0" b="0"/>
                  <wp:docPr id="20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0" descr=""/>
                          <pic:cNvPicPr>
                            <a:picLocks noChangeAspect="1" noChangeArrowheads="1"/>
                          </pic:cNvPicPr>
                        </pic:nvPicPr>
                        <pic:blipFill>
                          <a:blip r:embed="rId199"/>
                          <a:stretch>
                            <a:fillRect/>
                          </a:stretch>
                        </pic:blipFill>
                        <pic:spPr bwMode="auto">
                          <a:xfrm>
                            <a:off x="0" y="0"/>
                            <a:ext cx="28575" cy="203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Reached full production at the first joint venture U.S. battery cell plant in Ohio </w:t>
            </w:r>
            <w:r>
              <w:rPr>
                <w:rFonts w:ascii="arial" w:hAnsi="arial"/>
                <w:color w:val="3E3935"/>
                <w:sz w:val="18"/>
              </w:rPr>
              <w:drawing>
                <wp:inline distT="0" distB="0" distL="0" distR="0">
                  <wp:extent cx="85725" cy="85725"/>
                  <wp:effectExtent l="0" t="0" r="0" b="0"/>
                  <wp:docPr id="20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1" descr=""/>
                          <pic:cNvPicPr>
                            <a:picLocks noChangeAspect="1" noChangeArrowheads="1"/>
                          </pic:cNvPicPr>
                        </pic:nvPicPr>
                        <pic:blipFill>
                          <a:blip r:embed="rId200"/>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240665" cy="67945"/>
                  <wp:effectExtent l="0" t="0" r="0" b="0"/>
                  <wp:docPr id="20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2" descr=""/>
                          <pic:cNvPicPr>
                            <a:picLocks noChangeAspect="1" noChangeArrowheads="1"/>
                          </pic:cNvPicPr>
                        </pic:nvPicPr>
                        <pic:blipFill>
                          <a:blip r:embed="rId201"/>
                          <a:stretch>
                            <a:fillRect/>
                          </a:stretch>
                        </pic:blipFill>
                        <pic:spPr bwMode="auto">
                          <a:xfrm>
                            <a:off x="0" y="0"/>
                            <a:ext cx="240665" cy="679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Generated record combined sales of the Chevrolet Bolt EUV and Bolt EV </w:t>
            </w:r>
            <w:r>
              <w:rPr>
                <w:rFonts w:ascii="arial" w:hAnsi="arial"/>
                <w:color w:val="3E3935"/>
                <w:sz w:val="18"/>
              </w:rPr>
              <w:drawing>
                <wp:inline distT="0" distB="0" distL="0" distR="0">
                  <wp:extent cx="85725" cy="85725"/>
                  <wp:effectExtent l="0" t="0" r="0" b="0"/>
                  <wp:docPr id="20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3" descr=""/>
                          <pic:cNvPicPr>
                            <a:picLocks noChangeAspect="1" noChangeArrowheads="1"/>
                          </pic:cNvPicPr>
                        </pic:nvPicPr>
                        <pic:blipFill>
                          <a:blip r:embed="rId202"/>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32385" cy="32385"/>
                  <wp:effectExtent l="0" t="0" r="0" b="0"/>
                  <wp:docPr id="21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4" descr=""/>
                          <pic:cNvPicPr>
                            <a:picLocks noChangeAspect="1" noChangeArrowheads="1"/>
                          </pic:cNvPicPr>
                        </pic:nvPicPr>
                        <pic:blipFill>
                          <a:blip r:embed="rId203"/>
                          <a:stretch>
                            <a:fillRect/>
                          </a:stretch>
                        </pic:blipFill>
                        <pic:spPr bwMode="auto">
                          <a:xfrm>
                            <a:off x="0" y="0"/>
                            <a:ext cx="32385" cy="3238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Ranked highest among all brands in J.D. Power Sales Satisfaction Index for the consecutive year, became the fastest-growing mainstream brand in the industry and began sales of the all-new Buick Envista</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240665" cy="67945"/>
                  <wp:effectExtent l="0" t="0" r="0" b="0"/>
                  <wp:docPr id="21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5" descr=""/>
                          <pic:cNvPicPr>
                            <a:picLocks noChangeAspect="1" noChangeArrowheads="1"/>
                          </pic:cNvPicPr>
                        </pic:nvPicPr>
                        <pic:blipFill>
                          <a:blip r:embed="rId204"/>
                          <a:stretch>
                            <a:fillRect/>
                          </a:stretch>
                        </pic:blipFill>
                        <pic:spPr bwMode="auto">
                          <a:xfrm>
                            <a:off x="0" y="0"/>
                            <a:ext cx="240665" cy="679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Achieved best total sales since 2019, led the full-size pickup truck segment with record average transaction prices of the GMC Sierra, and continued to increase production and deliveries of the GMC HUMMER EV Pickup and SUV </w:t>
            </w:r>
            <w:r>
              <w:rPr>
                <w:rFonts w:ascii="arial" w:hAnsi="arial"/>
                <w:color w:val="3E3935"/>
                <w:sz w:val="18"/>
              </w:rPr>
              <w:drawing>
                <wp:inline distT="0" distB="0" distL="0" distR="0">
                  <wp:extent cx="85725" cy="85725"/>
                  <wp:effectExtent l="0" t="0" r="0" b="0"/>
                  <wp:docPr id="21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6" descr=""/>
                          <pic:cNvPicPr>
                            <a:picLocks noChangeAspect="1" noChangeArrowheads="1"/>
                          </pic:cNvPicPr>
                        </pic:nvPicPr>
                        <pic:blipFill>
                          <a:blip r:embed="rId205"/>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234950" cy="92710"/>
                  <wp:effectExtent l="0" t="0" r="0" b="0"/>
                  <wp:docPr id="21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7" descr=""/>
                          <pic:cNvPicPr>
                            <a:picLocks noChangeAspect="1" noChangeArrowheads="1"/>
                          </pic:cNvPicPr>
                        </pic:nvPicPr>
                        <pic:blipFill>
                          <a:blip r:embed="rId206"/>
                          <a:stretch>
                            <a:fillRect/>
                          </a:stretch>
                        </pic:blipFill>
                        <pic:spPr bwMode="auto">
                          <a:xfrm>
                            <a:off x="0" y="0"/>
                            <a:ext cx="234950" cy="927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Achieved best total sales since 2019 and record sales of the Cadillac CT5, Cadillac Escalade, and V-Series and Blackwing lineup, and continued to increase production and deliveries of the Cadillac LYRIQ </w:t>
            </w:r>
            <w:r>
              <w:rPr>
                <w:rFonts w:ascii="arial" w:hAnsi="arial"/>
                <w:color w:val="3E3935"/>
                <w:sz w:val="18"/>
              </w:rPr>
              <w:drawing>
                <wp:inline distT="0" distB="0" distL="0" distR="0">
                  <wp:extent cx="85725" cy="85725"/>
                  <wp:effectExtent l="0" t="0" r="0" b="0"/>
                  <wp:docPr id="21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8" descr=""/>
                          <pic:cNvPicPr>
                            <a:picLocks noChangeAspect="1" noChangeArrowheads="1"/>
                          </pic:cNvPicPr>
                        </pic:nvPicPr>
                        <pic:blipFill>
                          <a:blip r:embed="rId207"/>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r>
      <w:tr>
        <w:trPr/>
        <w:tc>
          <w:tcPr>
            <w:tcW w:w="449" w:type="dxa"/>
            <w:tcBorders/>
            <w:vAlign w:val="center"/>
          </w:tcPr>
          <w:p>
            <w:pPr>
              <w:pStyle w:val="TableContents"/>
              <w:bidi w:val="0"/>
              <w:spacing w:before="0" w:after="283"/>
              <w:jc w:val="left"/>
              <w:rPr>
                <w:sz w:val="4"/>
                <w:szCs w:val="4"/>
              </w:rPr>
            </w:pPr>
            <w:r>
              <w:rPr>
                <w:sz w:val="4"/>
                <w:szCs w:val="4"/>
              </w:rPr>
            </w:r>
          </w:p>
        </w:tc>
        <w:tc>
          <w:tcPr>
            <w:tcW w:w="9756" w:type="dxa"/>
            <w:gridSpan w:val="2"/>
            <w:tcBorders/>
            <w:vAlign w:val="center"/>
          </w:tcPr>
          <w:p>
            <w:pPr>
              <w:pStyle w:val="TableContents"/>
              <w:bidi w:val="0"/>
              <w:spacing w:before="0" w:after="283"/>
              <w:jc w:val="left"/>
              <w:rPr>
                <w:sz w:val="4"/>
                <w:szCs w:val="4"/>
              </w:rPr>
            </w:pPr>
            <w:r>
              <w:rPr>
                <w:sz w:val="4"/>
                <w:szCs w:val="4"/>
              </w:rPr>
            </w:r>
          </w:p>
        </w:tc>
      </w:tr>
      <w:tr>
        <w:trPr/>
        <w:tc>
          <w:tcPr>
            <w:tcW w:w="449" w:type="dxa"/>
            <w:tcBorders/>
            <w:vAlign w:val="center"/>
          </w:tcPr>
          <w:p>
            <w:pPr>
              <w:pStyle w:val="TableContents"/>
              <w:bidi w:val="0"/>
              <w:spacing w:before="0" w:after="283"/>
              <w:jc w:val="center"/>
              <w:rPr/>
            </w:pPr>
            <w:r>
              <w:rPr/>
              <w:drawing>
                <wp:inline distT="0" distB="0" distL="0" distR="0">
                  <wp:extent cx="265430" cy="80010"/>
                  <wp:effectExtent l="0" t="0" r="0" b="0"/>
                  <wp:docPr id="21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9" descr=""/>
                          <pic:cNvPicPr>
                            <a:picLocks noChangeAspect="1" noChangeArrowheads="1"/>
                          </pic:cNvPicPr>
                        </pic:nvPicPr>
                        <pic:blipFill>
                          <a:blip r:embed="rId208"/>
                          <a:stretch>
                            <a:fillRect/>
                          </a:stretch>
                        </pic:blipFill>
                        <pic:spPr bwMode="auto">
                          <a:xfrm>
                            <a:off x="0" y="0"/>
                            <a:ext cx="265430" cy="800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Led the industry in commercial fleet deliveries, and increased total fleet and commercial sales 20% year-over-year</w:t>
            </w:r>
          </w:p>
        </w:tc>
      </w:tr>
    </w:tbl>
    <w:p>
      <w:pPr>
        <w:pStyle w:val="TextBody"/>
        <w:bidi w:val="0"/>
        <w:spacing w:before="360" w:after="0"/>
        <w:jc w:val="right"/>
        <w:rPr>
          <w:color w:val="3E3935"/>
        </w:rPr>
      </w:pPr>
      <w:r>
        <w:rPr>
          <w:color w:val="3E3935"/>
        </w:rPr>
        <w:drawing>
          <wp:inline distT="0" distB="0" distL="0" distR="0">
            <wp:extent cx="85725" cy="85725"/>
            <wp:effectExtent l="0" t="0" r="0" b="0"/>
            <wp:docPr id="21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0" descr=""/>
                    <pic:cNvPicPr>
                      <a:picLocks noChangeAspect="1" noChangeArrowheads="1"/>
                    </pic:cNvPicPr>
                  </pic:nvPicPr>
                  <pic:blipFill>
                    <a:blip r:embed="rId209"/>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8"/>
        </w:rPr>
        <w:t>Represents Sustainability Results</w:t>
      </w:r>
      <w:r>
        <w:rPr>
          <w:rFonts w:ascii="arial" w:hAnsi="arial"/>
          <w:color w:val="3E3935"/>
          <w:sz w:val="18"/>
        </w:rPr>
        <w:t xml:space="preserve"> </w:t>
      </w:r>
    </w:p>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44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1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1" descr=""/>
                          <pic:cNvPicPr>
                            <a:picLocks noChangeAspect="1" noChangeArrowheads="1"/>
                          </pic:cNvPicPr>
                        </pic:nvPicPr>
                        <pic:blipFill>
                          <a:blip r:embed="rId210"/>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25" w:name="toc648661_23"/>
      <w:bookmarkEnd w:id="25"/>
      <w:r>
        <w:rPr>
          <w:rFonts w:ascii="arial" w:hAnsi="arial"/>
          <w:b/>
          <w:color w:val="0071CE"/>
          <w:sz w:val="28"/>
        </w:rPr>
        <w:t xml:space="preserve">Compensation Overview </w:t>
      </w:r>
    </w:p>
    <w:p>
      <w:pPr>
        <w:pStyle w:val="TextBody"/>
        <w:bidi w:val="0"/>
        <w:spacing w:before="360" w:after="0"/>
        <w:jc w:val="left"/>
        <w:rPr>
          <w:rFonts w:ascii="arial" w:hAnsi="arial"/>
          <w:b/>
          <w:color w:val="3E3935"/>
          <w:sz w:val="26"/>
        </w:rPr>
      </w:pPr>
      <w:r>
        <w:rPr>
          <w:rFonts w:ascii="arial" w:hAnsi="arial"/>
          <w:b/>
          <w:color w:val="3E3935"/>
          <w:sz w:val="26"/>
        </w:rPr>
        <w:t xml:space="preserve">Our Named Executive Officers </w:t>
      </w:r>
    </w:p>
    <w:p>
      <w:pPr>
        <w:pStyle w:val="TextBody"/>
        <w:bidi w:val="0"/>
        <w:spacing w:before="0" w:after="0"/>
        <w:jc w:val="left"/>
        <w:rPr/>
      </w:pPr>
      <w:r>
        <w:rPr/>
        <w:t> </w:t>
      </w:r>
    </w:p>
    <w:tbl>
      <w:tblPr>
        <w:tblW w:w="8490" w:type="dxa"/>
        <w:jc w:val="left"/>
        <w:tblInd w:w="0" w:type="dxa"/>
        <w:tblLayout w:type="fixed"/>
        <w:tblCellMar>
          <w:top w:w="0" w:type="dxa"/>
          <w:left w:w="0" w:type="dxa"/>
          <w:bottom w:w="0" w:type="dxa"/>
          <w:right w:w="0" w:type="dxa"/>
        </w:tblCellMar>
      </w:tblPr>
      <w:tblGrid>
        <w:gridCol w:w="2735"/>
        <w:gridCol w:w="120"/>
        <w:gridCol w:w="4250"/>
        <w:gridCol w:w="120"/>
        <w:gridCol w:w="126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center"/>
              <w:rPr/>
            </w:pPr>
            <w:r>
              <w:rPr/>
              <w:drawing>
                <wp:inline distT="0" distB="0" distL="0" distR="0">
                  <wp:extent cx="92075" cy="92075"/>
                  <wp:effectExtent l="0" t="0" r="0" b="0"/>
                  <wp:docPr id="21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2" descr=""/>
                          <pic:cNvPicPr>
                            <a:picLocks noChangeAspect="1" noChangeArrowheads="1"/>
                          </pic:cNvPicPr>
                        </pic:nvPicPr>
                        <pic:blipFill>
                          <a:blip r:embed="rId211"/>
                          <a:stretch>
                            <a:fillRect/>
                          </a:stretch>
                        </pic:blipFill>
                        <pic:spPr bwMode="auto">
                          <a:xfrm>
                            <a:off x="0" y="0"/>
                            <a:ext cx="92075" cy="92075"/>
                          </a:xfrm>
                          <a:prstGeom prst="rect">
                            <a:avLst/>
                          </a:prstGeom>
                        </pic:spPr>
                      </pic:pic>
                    </a:graphicData>
                  </a:graphic>
                </wp:inline>
              </w:drawing>
            </w:r>
            <w:r>
              <w:rPr/>
              <w:t xml:space="preserve"> </w:t>
            </w:r>
          </w:p>
          <w:p>
            <w:pPr>
              <w:pStyle w:val="TableContents"/>
              <w:bidi w:val="0"/>
              <w:spacing w:before="0" w:after="0"/>
              <w:jc w:val="center"/>
              <w:rPr>
                <w:rFonts w:ascii="arial" w:hAnsi="arial"/>
                <w:b/>
                <w:color w:val="0071CE"/>
                <w:sz w:val="18"/>
              </w:rPr>
            </w:pPr>
            <w:r>
              <w:rPr>
                <w:rFonts w:ascii="arial" w:hAnsi="arial"/>
                <w:b/>
                <w:color w:val="0071CE"/>
                <w:sz w:val="18"/>
              </w:rPr>
              <w:t>Mary T. Barra</w:t>
            </w:r>
          </w:p>
          <w:p>
            <w:pPr>
              <w:pStyle w:val="TableContents"/>
              <w:bidi w:val="0"/>
              <w:spacing w:before="0" w:after="20"/>
              <w:jc w:val="center"/>
              <w:rPr>
                <w:rFonts w:ascii="arial" w:hAnsi="arial"/>
                <w:color w:val="3E3935"/>
                <w:sz w:val="18"/>
              </w:rPr>
            </w:pPr>
            <w:r>
              <w:rPr>
                <w:rFonts w:ascii="arial" w:hAnsi="arial"/>
                <w:color w:val="3E3935"/>
                <w:sz w:val="18"/>
              </w:rPr>
              <w:t>Chair and Chief Executive Officer</w:t>
            </w:r>
          </w:p>
        </w:tc>
        <w:tc>
          <w:tcPr>
            <w:tcW w:w="12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center"/>
              <w:rPr/>
            </w:pPr>
            <w:r>
              <w:rPr/>
              <w:drawing>
                <wp:inline distT="0" distB="0" distL="0" distR="0">
                  <wp:extent cx="92075" cy="92075"/>
                  <wp:effectExtent l="0" t="0" r="0" b="0"/>
                  <wp:docPr id="21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3" descr=""/>
                          <pic:cNvPicPr>
                            <a:picLocks noChangeAspect="1" noChangeArrowheads="1"/>
                          </pic:cNvPicPr>
                        </pic:nvPicPr>
                        <pic:blipFill>
                          <a:blip r:embed="rId212"/>
                          <a:stretch>
                            <a:fillRect/>
                          </a:stretch>
                        </pic:blipFill>
                        <pic:spPr bwMode="auto">
                          <a:xfrm>
                            <a:off x="0" y="0"/>
                            <a:ext cx="92075" cy="92075"/>
                          </a:xfrm>
                          <a:prstGeom prst="rect">
                            <a:avLst/>
                          </a:prstGeom>
                        </pic:spPr>
                      </pic:pic>
                    </a:graphicData>
                  </a:graphic>
                </wp:inline>
              </w:drawing>
            </w:r>
            <w:r>
              <w:rPr/>
              <w:t xml:space="preserve"> </w:t>
            </w:r>
          </w:p>
          <w:p>
            <w:pPr>
              <w:pStyle w:val="TableContents"/>
              <w:bidi w:val="0"/>
              <w:spacing w:before="0" w:after="0"/>
              <w:jc w:val="center"/>
              <w:rPr>
                <w:rFonts w:ascii="arial" w:hAnsi="arial"/>
                <w:b/>
                <w:color w:val="0071CE"/>
                <w:sz w:val="18"/>
              </w:rPr>
            </w:pPr>
            <w:r>
              <w:rPr>
                <w:rFonts w:ascii="arial" w:hAnsi="arial"/>
                <w:b/>
                <w:color w:val="0071CE"/>
                <w:sz w:val="18"/>
              </w:rPr>
              <w:t>Paul A. Jacobson</w:t>
            </w:r>
          </w:p>
          <w:p>
            <w:pPr>
              <w:pStyle w:val="TableContents"/>
              <w:bidi w:val="0"/>
              <w:spacing w:before="0" w:after="20"/>
              <w:jc w:val="center"/>
              <w:rPr>
                <w:rFonts w:ascii="arial" w:hAnsi="arial"/>
                <w:color w:val="3E3935"/>
                <w:sz w:val="18"/>
              </w:rPr>
            </w:pPr>
            <w:r>
              <w:rPr>
                <w:rFonts w:ascii="arial" w:hAnsi="arial"/>
                <w:color w:val="3E3935"/>
                <w:sz w:val="18"/>
              </w:rPr>
              <w:t>Executive Vice President and Chief Financial Officer</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center"/>
              <w:rPr/>
            </w:pPr>
            <w:r>
              <w:rPr/>
              <w:drawing>
                <wp:inline distT="0" distB="0" distL="0" distR="0">
                  <wp:extent cx="92075" cy="92075"/>
                  <wp:effectExtent l="0" t="0" r="0" b="0"/>
                  <wp:docPr id="22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4" descr=""/>
                          <pic:cNvPicPr>
                            <a:picLocks noChangeAspect="1" noChangeArrowheads="1"/>
                          </pic:cNvPicPr>
                        </pic:nvPicPr>
                        <pic:blipFill>
                          <a:blip r:embed="rId213"/>
                          <a:stretch>
                            <a:fillRect/>
                          </a:stretch>
                        </pic:blipFill>
                        <pic:spPr bwMode="auto">
                          <a:xfrm>
                            <a:off x="0" y="0"/>
                            <a:ext cx="92075" cy="92075"/>
                          </a:xfrm>
                          <a:prstGeom prst="rect">
                            <a:avLst/>
                          </a:prstGeom>
                        </pic:spPr>
                      </pic:pic>
                    </a:graphicData>
                  </a:graphic>
                </wp:inline>
              </w:drawing>
            </w:r>
            <w:r>
              <w:rPr/>
              <w:t xml:space="preserve"> </w:t>
            </w:r>
          </w:p>
          <w:p>
            <w:pPr>
              <w:pStyle w:val="TableContents"/>
              <w:bidi w:val="0"/>
              <w:spacing w:before="0" w:after="0"/>
              <w:jc w:val="center"/>
              <w:rPr>
                <w:rFonts w:ascii="arial" w:hAnsi="arial"/>
                <w:b/>
                <w:color w:val="0071CE"/>
                <w:sz w:val="18"/>
              </w:rPr>
            </w:pPr>
            <w:r>
              <w:rPr>
                <w:rFonts w:ascii="arial" w:hAnsi="arial"/>
                <w:b/>
                <w:color w:val="0071CE"/>
                <w:sz w:val="18"/>
              </w:rPr>
              <w:t>Mark L. Reuss</w:t>
            </w:r>
          </w:p>
          <w:p>
            <w:pPr>
              <w:pStyle w:val="TableContents"/>
              <w:bidi w:val="0"/>
              <w:spacing w:before="0" w:after="20"/>
              <w:jc w:val="center"/>
              <w:rPr>
                <w:rFonts w:ascii="arial" w:hAnsi="arial"/>
                <w:color w:val="3E3935"/>
                <w:sz w:val="18"/>
              </w:rPr>
            </w:pPr>
            <w:r>
              <w:rPr>
                <w:rFonts w:ascii="arial" w:hAnsi="arial"/>
                <w:color w:val="3E3935"/>
                <w:sz w:val="18"/>
              </w:rPr>
              <w:t>President</w:t>
            </w:r>
          </w:p>
        </w:tc>
      </w:tr>
    </w:tbl>
    <w:tbl>
      <w:tblPr>
        <w:tblW w:w="10205" w:type="dxa"/>
        <w:jc w:val="left"/>
        <w:tblInd w:w="0" w:type="dxa"/>
        <w:tblLayout w:type="fixed"/>
        <w:tblCellMar>
          <w:top w:w="0" w:type="dxa"/>
          <w:left w:w="0" w:type="dxa"/>
          <w:bottom w:w="0" w:type="dxa"/>
          <w:right w:w="0" w:type="dxa"/>
        </w:tblCellMar>
      </w:tblPr>
      <w:tblGrid>
        <w:gridCol w:w="2684"/>
        <w:gridCol w:w="60"/>
        <w:gridCol w:w="1349"/>
        <w:gridCol w:w="120"/>
        <w:gridCol w:w="5992"/>
      </w:tblGrid>
      <w:tr>
        <w:trPr/>
        <w:tc>
          <w:tcPr>
            <w:tcW w:w="2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92" w:type="dxa"/>
            <w:tcBorders/>
            <w:vAlign w:val="center"/>
          </w:tcPr>
          <w:p>
            <w:pPr>
              <w:pStyle w:val="TableContents"/>
              <w:bidi w:val="0"/>
              <w:spacing w:before="0" w:after="283"/>
              <w:jc w:val="left"/>
              <w:rPr>
                <w:sz w:val="4"/>
                <w:szCs w:val="4"/>
              </w:rPr>
            </w:pPr>
            <w:r>
              <w:rPr>
                <w:sz w:val="4"/>
                <w:szCs w:val="4"/>
              </w:rPr>
            </w:r>
          </w:p>
        </w:tc>
      </w:tr>
      <w:tr>
        <w:trPr/>
        <w:tc>
          <w:tcPr>
            <w:tcW w:w="2684"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6112" w:type="dxa"/>
            <w:gridSpan w:val="2"/>
            <w:tcBorders/>
            <w:vAlign w:val="center"/>
          </w:tcPr>
          <w:p>
            <w:pPr>
              <w:pStyle w:val="TableContents"/>
              <w:bidi w:val="0"/>
              <w:spacing w:before="0" w:after="283"/>
              <w:jc w:val="left"/>
              <w:rPr>
                <w:sz w:val="4"/>
                <w:szCs w:val="4"/>
              </w:rPr>
            </w:pPr>
            <w:r>
              <w:rPr>
                <w:sz w:val="4"/>
                <w:szCs w:val="4"/>
              </w:rPr>
            </w:r>
          </w:p>
        </w:tc>
      </w:tr>
      <w:tr>
        <w:trPr/>
        <w:tc>
          <w:tcPr>
            <w:tcW w:w="2684" w:type="dxa"/>
            <w:tcBorders>
              <w:bottom w:val="single" w:sz="6" w:space="0" w:color="0071CE"/>
            </w:tcBorders>
            <w:tcMar>
              <w:bottom w:w="28" w:type="dxa"/>
            </w:tcMar>
            <w:vAlign w:val="center"/>
          </w:tcPr>
          <w:p>
            <w:pPr>
              <w:pStyle w:val="TableContents"/>
              <w:bidi w:val="0"/>
              <w:spacing w:before="0" w:after="0"/>
              <w:jc w:val="center"/>
              <w:rPr/>
            </w:pPr>
            <w:r>
              <w:rPr/>
              <w:drawing>
                <wp:inline distT="0" distB="0" distL="0" distR="0">
                  <wp:extent cx="92075" cy="92075"/>
                  <wp:effectExtent l="0" t="0" r="0" b="0"/>
                  <wp:docPr id="22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5" descr=""/>
                          <pic:cNvPicPr>
                            <a:picLocks noChangeAspect="1" noChangeArrowheads="1"/>
                          </pic:cNvPicPr>
                        </pic:nvPicPr>
                        <pic:blipFill>
                          <a:blip r:embed="rId214"/>
                          <a:stretch>
                            <a:fillRect/>
                          </a:stretch>
                        </pic:blipFill>
                        <pic:spPr bwMode="auto">
                          <a:xfrm>
                            <a:off x="0" y="0"/>
                            <a:ext cx="92075" cy="92075"/>
                          </a:xfrm>
                          <a:prstGeom prst="rect">
                            <a:avLst/>
                          </a:prstGeom>
                        </pic:spPr>
                      </pic:pic>
                    </a:graphicData>
                  </a:graphic>
                </wp:inline>
              </w:drawing>
            </w:r>
            <w:r>
              <w:rPr/>
              <w:t xml:space="preserve"> </w:t>
            </w:r>
          </w:p>
          <w:p>
            <w:pPr>
              <w:pStyle w:val="TableContents"/>
              <w:bidi w:val="0"/>
              <w:spacing w:before="0" w:after="0"/>
              <w:jc w:val="center"/>
              <w:rPr>
                <w:rFonts w:ascii="arial" w:hAnsi="arial"/>
                <w:b/>
                <w:color w:val="0071CE"/>
                <w:sz w:val="18"/>
              </w:rPr>
            </w:pPr>
            <w:r>
              <w:rPr>
                <w:rFonts w:ascii="arial" w:hAnsi="arial"/>
                <w:b/>
                <w:color w:val="0071CE"/>
                <w:sz w:val="18"/>
              </w:rPr>
              <w:t>Michael Abbott</w:t>
            </w:r>
          </w:p>
          <w:p>
            <w:pPr>
              <w:pStyle w:val="TableContents"/>
              <w:bidi w:val="0"/>
              <w:spacing w:before="0" w:after="20"/>
              <w:jc w:val="center"/>
              <w:rPr>
                <w:rFonts w:ascii="arial" w:hAnsi="arial"/>
                <w:color w:val="3E3935"/>
                <w:sz w:val="18"/>
              </w:rPr>
            </w:pPr>
            <w:r>
              <w:rPr>
                <w:rFonts w:ascii="arial" w:hAnsi="arial"/>
                <w:color w:val="3E3935"/>
                <w:sz w:val="18"/>
              </w:rPr>
              <w:t>Executive Vice President, Software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349" w:type="dxa"/>
            <w:tcBorders>
              <w:bottom w:val="single" w:sz="6" w:space="0" w:color="0071CE"/>
            </w:tcBorders>
            <w:tcMar>
              <w:bottom w:w="28" w:type="dxa"/>
            </w:tcMar>
            <w:vAlign w:val="center"/>
          </w:tcPr>
          <w:p>
            <w:pPr>
              <w:pStyle w:val="TableContents"/>
              <w:bidi w:val="0"/>
              <w:spacing w:before="0" w:after="283"/>
              <w:jc w:val="center"/>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5992" w:type="dxa"/>
            <w:tcBorders>
              <w:bottom w:val="single" w:sz="6" w:space="0" w:color="0071CE"/>
            </w:tcBorders>
            <w:tcMar>
              <w:bottom w:w="28" w:type="dxa"/>
            </w:tcMar>
            <w:vAlign w:val="center"/>
          </w:tcPr>
          <w:p>
            <w:pPr>
              <w:pStyle w:val="TableContents"/>
              <w:bidi w:val="0"/>
              <w:spacing w:before="0" w:after="0"/>
              <w:jc w:val="center"/>
              <w:rPr/>
            </w:pPr>
            <w:r>
              <w:rPr/>
              <w:drawing>
                <wp:inline distT="0" distB="0" distL="0" distR="0">
                  <wp:extent cx="92075" cy="92075"/>
                  <wp:effectExtent l="0" t="0" r="0" b="0"/>
                  <wp:docPr id="22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6" descr=""/>
                          <pic:cNvPicPr>
                            <a:picLocks noChangeAspect="1" noChangeArrowheads="1"/>
                          </pic:cNvPicPr>
                        </pic:nvPicPr>
                        <pic:blipFill>
                          <a:blip r:embed="rId215"/>
                          <a:stretch>
                            <a:fillRect/>
                          </a:stretch>
                        </pic:blipFill>
                        <pic:spPr bwMode="auto">
                          <a:xfrm>
                            <a:off x="0" y="0"/>
                            <a:ext cx="92075" cy="92075"/>
                          </a:xfrm>
                          <a:prstGeom prst="rect">
                            <a:avLst/>
                          </a:prstGeom>
                        </pic:spPr>
                      </pic:pic>
                    </a:graphicData>
                  </a:graphic>
                </wp:inline>
              </w:drawing>
            </w:r>
            <w:r>
              <w:rPr/>
              <w:t xml:space="preserve"> </w:t>
            </w:r>
          </w:p>
          <w:p>
            <w:pPr>
              <w:pStyle w:val="TableContents"/>
              <w:bidi w:val="0"/>
              <w:spacing w:before="0" w:after="0"/>
              <w:jc w:val="center"/>
              <w:rPr>
                <w:rFonts w:ascii="arial" w:hAnsi="arial"/>
                <w:b/>
                <w:color w:val="0071CE"/>
                <w:sz w:val="18"/>
              </w:rPr>
            </w:pPr>
            <w:r>
              <w:rPr>
                <w:rFonts w:ascii="arial" w:hAnsi="arial"/>
                <w:b/>
                <w:color w:val="0071CE"/>
                <w:sz w:val="18"/>
              </w:rPr>
              <w:t>Craig B. Glidden</w:t>
            </w:r>
          </w:p>
          <w:p>
            <w:pPr>
              <w:pStyle w:val="TableContents"/>
              <w:bidi w:val="0"/>
              <w:spacing w:before="0" w:after="20"/>
              <w:jc w:val="center"/>
              <w:rPr>
                <w:rFonts w:ascii="arial" w:hAnsi="arial"/>
                <w:color w:val="3E3935"/>
                <w:sz w:val="18"/>
              </w:rPr>
            </w:pPr>
            <w:r>
              <w:rPr>
                <w:rFonts w:ascii="arial" w:hAnsi="arial"/>
                <w:color w:val="3E3935"/>
                <w:sz w:val="18"/>
              </w:rPr>
              <w:t>Executive Vice President, Legal, Policy, Cybersecurity, and Corporate Secretary</w:t>
            </w:r>
          </w:p>
        </w:tc>
      </w:tr>
    </w:tbl>
    <w:p>
      <w:pPr>
        <w:pStyle w:val="TextBody"/>
        <w:bidi w:val="0"/>
        <w:spacing w:before="120" w:after="0"/>
        <w:jc w:val="both"/>
        <w:rPr>
          <w:rFonts w:ascii="arial" w:hAnsi="arial"/>
          <w:i/>
          <w:color w:val="3E3935"/>
          <w:sz w:val="18"/>
        </w:rPr>
      </w:pPr>
      <w:r>
        <w:rPr>
          <w:rFonts w:ascii="arial" w:hAnsi="arial"/>
          <w:i/>
          <w:color w:val="3E3935"/>
          <w:sz w:val="18"/>
        </w:rPr>
        <w:t xml:space="preserve">Positions as of December 31, 2023. As described on page 60, Mr. Abbott resigned from the Company effective April 2, 2024. </w:t>
      </w:r>
    </w:p>
    <w:p>
      <w:pPr>
        <w:pStyle w:val="TextBody"/>
        <w:bidi w:val="0"/>
        <w:spacing w:before="360" w:after="0"/>
        <w:jc w:val="left"/>
        <w:rPr>
          <w:rFonts w:ascii="arial" w:hAnsi="arial"/>
          <w:b/>
          <w:color w:val="3E3935"/>
          <w:sz w:val="26"/>
        </w:rPr>
      </w:pPr>
      <w:r>
        <w:rPr>
          <w:rFonts w:ascii="arial" w:hAnsi="arial"/>
          <w:b/>
          <w:color w:val="3E3935"/>
          <w:sz w:val="26"/>
        </w:rPr>
        <w:t xml:space="preserve">Compensation Governance and Best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070"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WHAT WE DO</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Provide short-term and long-term incentive plans with performance targets aligned to business goals</w:t>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101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70"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Maintain a Compensation Committee composed entirely of independent directors who are advised by an independent compensation consultant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Require stock ownership for all senior leaders to align with the interests of our shareholders</w:t>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101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70"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Engage with shareholders and other stakeholders on various topics with members of management and directors, including our Compensation Committee and our Independent Lead Director</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Maintain an Insider Trading Policy requiring directors, executive officers, and all other senior leaders to trade only during pre-established periods after receiving preclearance from the GM legal staff</w:t>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101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70"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Require equity awards to have double trigger (change in control and termination of employment) vesting provisions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Complete an annual risk review evaluating incentive compensation plans</w:t>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101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70"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Require short-term cash and long-term equity awards for all executive officers to be subject to clawback and cancellation provisions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070" w:type="dxa"/>
            <w:tcBorders>
              <w:bottom w:val="single" w:sz="6" w:space="0" w:color="0071CE"/>
            </w:tcBorders>
            <w:tcMar>
              <w:bottom w:w="60" w:type="dxa"/>
            </w:tcM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7"/>
              </w:rPr>
              <w:t>Conduct an annual audit of senior executive expenses and perquisites that is reviewed by the Audit Committee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070"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WHAT WE DON’T DO</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left"/>
              <w:rPr>
                <w:rFonts w:ascii="arial" w:hAnsi="arial"/>
                <w:color w:val="3E3935"/>
                <w:sz w:val="17"/>
              </w:rPr>
            </w:pPr>
            <w:r>
              <w:rPr>
                <w:rFonts w:ascii="Times New Roman" w:hAnsi="Times New Roman"/>
                <w:color w:val="0071CE"/>
                <w:sz w:val="17"/>
              </w:rPr>
              <w:t>×</w:t>
            </w:r>
            <w:r>
              <w:rPr>
                <w:rFonts w:ascii="arial" w:hAnsi="arial"/>
                <w:color w:val="3E3935"/>
                <w:sz w:val="17"/>
              </w:rPr>
              <w:t>  Provide gross-up payments to cover personal income taxes or excise taxes pertaining to executive severance benefits</w:t>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101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70" w:type="dxa"/>
            <w:tcBorders/>
            <w:shd w:fill="CCF2F8" w:val="clear"/>
            <w:vAlign w:val="center"/>
          </w:tcPr>
          <w:p>
            <w:pPr>
              <w:pStyle w:val="TableContents"/>
              <w:bidi w:val="0"/>
              <w:spacing w:before="0" w:after="0"/>
              <w:jc w:val="left"/>
              <w:rPr>
                <w:rFonts w:ascii="arial" w:hAnsi="arial"/>
                <w:color w:val="3E3935"/>
                <w:sz w:val="17"/>
              </w:rPr>
            </w:pPr>
            <w:r>
              <w:rPr>
                <w:rFonts w:ascii="Times New Roman" w:hAnsi="Times New Roman"/>
                <w:color w:val="0071CE"/>
                <w:sz w:val="17"/>
              </w:rPr>
              <w:t>×</w:t>
            </w:r>
            <w:r>
              <w:rPr>
                <w:rFonts w:ascii="arial" w:hAnsi="arial"/>
                <w:color w:val="3E3935"/>
                <w:sz w:val="17"/>
              </w:rPr>
              <w:t>  Pay above-market interest on deferred compensation in retirement plans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left"/>
              <w:rPr>
                <w:rFonts w:ascii="arial" w:hAnsi="arial"/>
                <w:color w:val="3E3935"/>
                <w:sz w:val="17"/>
              </w:rPr>
            </w:pPr>
            <w:r>
              <w:rPr>
                <w:rFonts w:ascii="Times New Roman" w:hAnsi="Times New Roman"/>
                <w:color w:val="0071CE"/>
                <w:sz w:val="17"/>
              </w:rPr>
              <w:t>×</w:t>
            </w:r>
            <w:r>
              <w:rPr>
                <w:rFonts w:ascii="arial" w:hAnsi="arial"/>
                <w:color w:val="3E3935"/>
                <w:sz w:val="17"/>
              </w:rPr>
              <w:t>  Allow any director or employee to engage in hedging or pledging of GM securities</w:t>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101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70" w:type="dxa"/>
            <w:tcBorders/>
            <w:shd w:fill="CCF2F8" w:val="clear"/>
            <w:vAlign w:val="center"/>
          </w:tcPr>
          <w:p>
            <w:pPr>
              <w:pStyle w:val="TableContents"/>
              <w:bidi w:val="0"/>
              <w:spacing w:before="0" w:after="0"/>
              <w:jc w:val="left"/>
              <w:rPr>
                <w:rFonts w:ascii="arial" w:hAnsi="arial"/>
                <w:color w:val="3E3935"/>
                <w:sz w:val="17"/>
              </w:rPr>
            </w:pPr>
            <w:r>
              <w:rPr>
                <w:rFonts w:ascii="Times New Roman" w:hAnsi="Times New Roman"/>
                <w:color w:val="0071CE"/>
                <w:sz w:val="17"/>
              </w:rPr>
              <w:t>×</w:t>
            </w:r>
            <w:r>
              <w:rPr>
                <w:rFonts w:ascii="arial" w:hAnsi="arial"/>
                <w:color w:val="3E3935"/>
                <w:sz w:val="17"/>
              </w:rPr>
              <w:t>  Reward executives for excessive, imprudent, inappropriate, or unnecessary risk-taking</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070" w:type="dxa"/>
            <w:tcBorders>
              <w:bottom w:val="single" w:sz="6" w:space="0" w:color="0071CE"/>
            </w:tcBorders>
            <w:tcMar>
              <w:bottom w:w="60" w:type="dxa"/>
            </w:tcMar>
            <w:vAlign w:val="center"/>
          </w:tcPr>
          <w:p>
            <w:pPr>
              <w:pStyle w:val="TableContents"/>
              <w:bidi w:val="0"/>
              <w:spacing w:before="0" w:after="0"/>
              <w:jc w:val="left"/>
              <w:rPr>
                <w:rFonts w:ascii="arial" w:hAnsi="arial"/>
                <w:color w:val="3E3935"/>
                <w:sz w:val="17"/>
              </w:rPr>
            </w:pPr>
            <w:r>
              <w:rPr>
                <w:rFonts w:ascii="Times New Roman" w:hAnsi="Times New Roman"/>
                <w:color w:val="0071CE"/>
                <w:sz w:val="17"/>
              </w:rPr>
              <w:t>×</w:t>
            </w:r>
            <w:r>
              <w:rPr>
                <w:rFonts w:ascii="arial" w:hAnsi="arial"/>
                <w:color w:val="3E3935"/>
                <w:sz w:val="17"/>
              </w:rPr>
              <w:t>  Allow the repricing, spring-loading, or backdating of equity awards</w:t>
            </w:r>
          </w:p>
        </w:tc>
      </w:tr>
    </w:tbl>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45</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bookmarkStart w:id="26" w:name="toc648661_24"/>
      <w:bookmarkEnd w:id="26"/>
      <w:r>
        <w:rPr>
          <w:rFonts w:ascii="arial" w:hAnsi="arial"/>
          <w:b/>
          <w:color w:val="3E3935"/>
          <w:sz w:val="26"/>
        </w:rPr>
        <w:t xml:space="preserve">Compensation Principles </w:t>
      </w:r>
    </w:p>
    <w:p>
      <w:pPr>
        <w:pStyle w:val="TextBody"/>
        <w:bidi w:val="0"/>
        <w:spacing w:before="120" w:after="0"/>
        <w:jc w:val="both"/>
        <w:rPr>
          <w:rFonts w:ascii="arial" w:hAnsi="arial"/>
          <w:color w:val="3E3935"/>
          <w:sz w:val="18"/>
        </w:rPr>
      </w:pPr>
      <w:r>
        <w:rPr>
          <w:rFonts w:ascii="arial" w:hAnsi="arial"/>
          <w:color w:val="3E3935"/>
          <w:sz w:val="18"/>
        </w:rPr>
        <w:t xml:space="preserve">The compensation provided to our executives is guided by pay-for-performance and the following principles: </w:t>
      </w:r>
    </w:p>
    <w:p>
      <w:pPr>
        <w:pStyle w:val="TextBody"/>
        <w:bidi w:val="0"/>
        <w:spacing w:before="120" w:after="0"/>
        <w:jc w:val="both"/>
        <w:rPr>
          <w:rFonts w:ascii="arial" w:hAnsi="arial"/>
          <w:sz w:val="18"/>
        </w:rPr>
      </w:pPr>
      <w:r>
        <w:rPr>
          <w:rFonts w:ascii="arial" w:hAnsi="arial"/>
          <w:b/>
          <w:color w:val="0071CE"/>
          <w:sz w:val="18"/>
        </w:rPr>
        <w:t>Align with Shareholders</w:t>
      </w:r>
      <w:r>
        <w:rPr>
          <w:rFonts w:ascii="arial" w:hAnsi="arial"/>
          <w:color w:val="3E3935"/>
          <w:sz w:val="18"/>
        </w:rPr>
        <w:t xml:space="preserve"> – Compensation paid should align directly with the long-term interests of our shareholders, and our executives should share with them in the performance and value of our common stock. </w:t>
      </w:r>
    </w:p>
    <w:p>
      <w:pPr>
        <w:pStyle w:val="TextBody"/>
        <w:bidi w:val="0"/>
        <w:spacing w:before="120" w:after="0"/>
        <w:jc w:val="both"/>
        <w:rPr>
          <w:rFonts w:ascii="arial" w:hAnsi="arial"/>
          <w:sz w:val="18"/>
        </w:rPr>
      </w:pPr>
      <w:r>
        <w:rPr>
          <w:rFonts w:ascii="arial" w:hAnsi="arial"/>
          <w:b/>
          <w:color w:val="0071CE"/>
          <w:sz w:val="18"/>
        </w:rPr>
        <w:t>Enable Company Strategy</w:t>
      </w:r>
      <w:r>
        <w:rPr>
          <w:rFonts w:ascii="arial" w:hAnsi="arial"/>
          <w:color w:val="3E3935"/>
          <w:sz w:val="18"/>
        </w:rPr>
        <w:t xml:space="preserve"> – Compensation should be based on challenging Company performance and strategic goals, which are within our executives’ control, and reward performance aligned with GM’s strategy, values, and expected behaviors. </w:t>
      </w:r>
    </w:p>
    <w:p>
      <w:pPr>
        <w:pStyle w:val="TextBody"/>
        <w:bidi w:val="0"/>
        <w:spacing w:before="120" w:after="0"/>
        <w:jc w:val="both"/>
        <w:rPr>
          <w:rFonts w:ascii="arial" w:hAnsi="arial"/>
          <w:sz w:val="18"/>
        </w:rPr>
      </w:pPr>
      <w:r>
        <w:rPr>
          <w:rFonts w:ascii="arial" w:hAnsi="arial"/>
          <w:b/>
          <w:color w:val="0071CE"/>
          <w:sz w:val="18"/>
        </w:rPr>
        <w:t>Market-Competitive</w:t>
      </w:r>
      <w:r>
        <w:rPr>
          <w:rFonts w:ascii="arial" w:hAnsi="arial"/>
          <w:color w:val="3E3935"/>
          <w:sz w:val="18"/>
        </w:rPr>
        <w:t xml:space="preserve"> – Target compensation should have an appropriate mix of short-term and long-term pay elements and should be competitive with that paid to individuals at peer group companies so that it attracts, motivates, and retains talent. </w:t>
      </w:r>
    </w:p>
    <w:p>
      <w:pPr>
        <w:pStyle w:val="TextBody"/>
        <w:bidi w:val="0"/>
        <w:spacing w:before="120" w:after="0"/>
        <w:jc w:val="both"/>
        <w:rPr>
          <w:rFonts w:ascii="arial" w:hAnsi="arial"/>
          <w:sz w:val="18"/>
        </w:rPr>
      </w:pPr>
      <w:r>
        <w:rPr>
          <w:rFonts w:ascii="arial" w:hAnsi="arial"/>
          <w:b/>
          <w:color w:val="0071CE"/>
          <w:sz w:val="18"/>
        </w:rPr>
        <w:t xml:space="preserve">Avoid Excessive Risk-Taking </w:t>
      </w:r>
      <w:r>
        <w:rPr>
          <w:rFonts w:ascii="arial" w:hAnsi="arial"/>
          <w:color w:val="3E3935"/>
          <w:sz w:val="18"/>
        </w:rPr>
        <w:t xml:space="preserve">– Compensation structure should avoid incentivizing unnecessary and excessive risk-taking. </w:t>
      </w:r>
    </w:p>
    <w:p>
      <w:pPr>
        <w:pStyle w:val="TextBody"/>
        <w:bidi w:val="0"/>
        <w:spacing w:before="120" w:after="0"/>
        <w:jc w:val="both"/>
        <w:rPr>
          <w:rFonts w:ascii="arial" w:hAnsi="arial"/>
          <w:sz w:val="18"/>
        </w:rPr>
      </w:pPr>
      <w:r>
        <w:rPr>
          <w:rFonts w:ascii="arial" w:hAnsi="arial"/>
          <w:b/>
          <w:color w:val="0071CE"/>
          <w:sz w:val="18"/>
        </w:rPr>
        <w:t xml:space="preserve">Simple Design </w:t>
      </w:r>
      <w:r>
        <w:rPr>
          <w:rFonts w:ascii="arial" w:hAnsi="arial"/>
          <w:color w:val="3E3935"/>
          <w:sz w:val="18"/>
        </w:rPr>
        <w:t xml:space="preserve">– Compensation plans should be easy to understand and communicate, and should minimize unintended consequences. </w:t>
      </w:r>
    </w:p>
    <w:p>
      <w:pPr>
        <w:pStyle w:val="TextBody"/>
        <w:bidi w:val="0"/>
        <w:spacing w:before="360" w:after="0"/>
        <w:jc w:val="left"/>
        <w:rPr>
          <w:rFonts w:ascii="arial" w:hAnsi="arial"/>
          <w:b/>
          <w:color w:val="3E3935"/>
          <w:sz w:val="26"/>
        </w:rPr>
      </w:pPr>
      <w:r>
        <w:rPr>
          <w:rFonts w:ascii="arial" w:hAnsi="arial"/>
          <w:b/>
          <w:color w:val="3E3935"/>
          <w:sz w:val="26"/>
        </w:rPr>
        <w:t xml:space="preserve">Compensation Program Evolution </w:t>
      </w:r>
    </w:p>
    <w:p>
      <w:pPr>
        <w:pStyle w:val="TextBody"/>
        <w:bidi w:val="0"/>
        <w:spacing w:before="120" w:after="0"/>
        <w:jc w:val="both"/>
        <w:rPr>
          <w:rFonts w:ascii="arial" w:hAnsi="arial"/>
          <w:color w:val="3E3935"/>
          <w:sz w:val="18"/>
        </w:rPr>
      </w:pPr>
      <w:r>
        <w:rPr>
          <w:rFonts w:ascii="arial" w:hAnsi="arial"/>
          <w:color w:val="3E3935"/>
          <w:sz w:val="18"/>
        </w:rPr>
        <w:t xml:space="preserve">Our executive compensation program is designed to focus our leaders on key areas that drive the business forward and align to the short-term and long-term interests of our shareholders. The Compensation Committee regularly reviews and discusses incentive compensation plan performance at each meeting. The Compensation Committee considers many factors when electing to make changes for future incentive plans, including business results, market trends, and feedback from its independent compensation consultant and shareholders. The timeline below shows the actions we have taken to develop executive compensation plans that align the interests of our senior leaders with those of our shareholders.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1515" cy="3485515"/>
            <wp:effectExtent l="0" t="0" r="0" b="0"/>
            <wp:docPr id="22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7" descr=""/>
                    <pic:cNvPicPr>
                      <a:picLocks noChangeAspect="1" noChangeArrowheads="1"/>
                    </pic:cNvPicPr>
                  </pic:nvPicPr>
                  <pic:blipFill>
                    <a:blip r:embed="rId216"/>
                    <a:stretch>
                      <a:fillRect/>
                    </a:stretch>
                  </pic:blipFill>
                  <pic:spPr bwMode="auto">
                    <a:xfrm>
                      <a:off x="0" y="0"/>
                      <a:ext cx="5771515" cy="3485515"/>
                    </a:xfrm>
                    <a:prstGeom prst="rect">
                      <a:avLst/>
                    </a:prstGeom>
                  </pic:spPr>
                </pic:pic>
              </a:graphicData>
            </a:graphic>
          </wp:inline>
        </w:drawing>
      </w:r>
      <w:r>
        <w:rPr/>
        <w:t xml:space="preserve"> </w:t>
      </w:r>
    </w:p>
    <w:p>
      <w:pPr>
        <w:pStyle w:val="TextBody"/>
        <w:bidi w:val="0"/>
        <w:spacing w:before="0" w:after="0"/>
        <w:jc w:val="left"/>
        <w:rPr/>
      </w:pPr>
      <w:r>
        <w:rPr/>
        <w:t> </w:t>
      </w:r>
    </w:p>
    <w:tbl>
      <w:tblPr>
        <w:tblW w:w="7496" w:type="dxa"/>
        <w:jc w:val="left"/>
        <w:tblInd w:w="0" w:type="dxa"/>
        <w:tblLayout w:type="fixed"/>
        <w:tblCellMar>
          <w:top w:w="0" w:type="dxa"/>
          <w:left w:w="0" w:type="dxa"/>
          <w:bottom w:w="0" w:type="dxa"/>
          <w:right w:w="0" w:type="dxa"/>
        </w:tblCellMar>
      </w:tblPr>
      <w:tblGrid>
        <w:gridCol w:w="275"/>
        <w:gridCol w:w="60"/>
        <w:gridCol w:w="1380"/>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46</w:t>
            </w:r>
          </w:p>
        </w:tc>
        <w:tc>
          <w:tcPr>
            <w:tcW w:w="60"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left"/>
              <w:rPr/>
            </w:pPr>
            <w:r>
              <w:rPr/>
              <w:drawing>
                <wp:inline distT="0" distB="0" distL="0" distR="0">
                  <wp:extent cx="838200" cy="107315"/>
                  <wp:effectExtent l="0" t="0" r="0" b="0"/>
                  <wp:docPr id="22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8" descr=""/>
                          <pic:cNvPicPr>
                            <a:picLocks noChangeAspect="1" noChangeArrowheads="1"/>
                          </pic:cNvPicPr>
                        </pic:nvPicPr>
                        <pic:blipFill>
                          <a:blip r:embed="rId217"/>
                          <a:stretch>
                            <a:fillRect/>
                          </a:stretch>
                        </pic:blipFill>
                        <pic:spPr bwMode="auto">
                          <a:xfrm>
                            <a:off x="0" y="0"/>
                            <a:ext cx="838200" cy="1073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2024 STIP and LTIP Design Changes </w:t>
      </w:r>
    </w:p>
    <w:p>
      <w:pPr>
        <w:pStyle w:val="TextBody"/>
        <w:bidi w:val="0"/>
        <w:spacing w:before="120" w:after="0"/>
        <w:jc w:val="both"/>
        <w:rPr>
          <w:rFonts w:ascii="arial" w:hAnsi="arial"/>
          <w:color w:val="3E3935"/>
          <w:sz w:val="18"/>
        </w:rPr>
      </w:pPr>
      <w:r>
        <w:rPr>
          <w:rFonts w:ascii="arial" w:hAnsi="arial"/>
          <w:color w:val="3E3935"/>
          <w:sz w:val="18"/>
        </w:rPr>
        <w:t xml:space="preserve">Heading into 2024, the Compensation Committee undertook an extensive review of our STIP and LTIP designs with the objective of strengthening the alignment of our plans with our evolving financial and strategic goals. Following this review, we have enhanced our STIP and LTIP beginning with the 2024 performance year. The 2024 STIP performance measures will continue to include EBIT-adjusted (35% of STIP) and AAFCF (25% of STIP) as the primary financial measures to align with the performance of our ICE portfolio. In addition, the STIP will now incorporate EV (25% of STIP), Software &amp; Services (“S&amp;S”) (10% of STIP), and AV (5% of STIP) performance measures that align to the strategic pillars of our business. The final STIP payout will also be subject to an individual performance modifier not to exceed 110% of the STIP payout amount generated by Company performance. The final STIP payout will not exceed 200% of target. Recognizing the focus on strategy execution and the dynamic nature of the evolving markets for EV and AV technologies, the Committee decided it was more appropriate for the EV, AV, and S&amp;S metrics to be in the STIP than in the LTIP to better align with the pace of the Company’s transformation strategy. </w:t>
      </w:r>
    </w:p>
    <w:p>
      <w:pPr>
        <w:pStyle w:val="TextBody"/>
        <w:bidi w:val="0"/>
        <w:spacing w:before="120" w:after="0"/>
        <w:jc w:val="both"/>
        <w:rPr>
          <w:rFonts w:ascii="arial" w:hAnsi="arial"/>
          <w:color w:val="3E3935"/>
          <w:sz w:val="18"/>
        </w:rPr>
      </w:pPr>
      <w:r>
        <w:rPr>
          <w:rFonts w:ascii="arial" w:hAnsi="arial"/>
          <w:color w:val="3E3935"/>
          <w:sz w:val="18"/>
        </w:rPr>
        <w:t xml:space="preserve">The 2024 LTIP structure will continue to include PSUs (75% of LTIP), and will now incorporate RSUs (25% of LTIP) in lieu of stock options to improve our ability to attract and retain critical talent and to more efficiently use the shares available in the equity plan. The PSUs will continue to follow a three-year cliff vesting, and RSUs will vest ratably over three years. The 2024 LTIP PSU performance measures will include Cumulative AAOCF (30% of LTIP), EBIT-adjusted Margin (15% of LTIP), and Relative TSR (30% of LTIP). Relative TSR performance payout will continue to be capped at target if GM’s TSR is negative over the performance period. The redesigned LTIP continues to focus on driving shareholder value and Company profitability, while increasing the focus on cash generation during this critical period of transformation.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4375" cy="2324735"/>
            <wp:effectExtent l="0" t="0" r="0" b="0"/>
            <wp:docPr id="22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9" descr=""/>
                    <pic:cNvPicPr>
                      <a:picLocks noChangeAspect="1" noChangeArrowheads="1"/>
                    </pic:cNvPicPr>
                  </pic:nvPicPr>
                  <pic:blipFill>
                    <a:blip r:embed="rId218"/>
                    <a:stretch>
                      <a:fillRect/>
                    </a:stretch>
                  </pic:blipFill>
                  <pic:spPr bwMode="auto">
                    <a:xfrm>
                      <a:off x="0" y="0"/>
                      <a:ext cx="5794375" cy="2324735"/>
                    </a:xfrm>
                    <a:prstGeom prst="rect">
                      <a:avLst/>
                    </a:prstGeom>
                  </pic:spPr>
                </pic:pic>
              </a:graphicData>
            </a:graphic>
          </wp:inline>
        </w:drawing>
      </w:r>
      <w:r>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2023 STIP and LTIP Overview </w:t>
      </w:r>
    </w:p>
    <w:p>
      <w:pPr>
        <w:pStyle w:val="TextBody"/>
        <w:bidi w:val="0"/>
        <w:spacing w:before="120" w:after="0"/>
        <w:jc w:val="both"/>
        <w:rPr>
          <w:rFonts w:ascii="arial" w:hAnsi="arial"/>
          <w:color w:val="3E3935"/>
          <w:sz w:val="18"/>
        </w:rPr>
      </w:pPr>
      <w:r>
        <w:rPr>
          <w:rFonts w:ascii="arial" w:hAnsi="arial"/>
          <w:color w:val="3E3935"/>
          <w:sz w:val="18"/>
        </w:rPr>
        <w:t xml:space="preserve">The 2023 STIP was designed to focus our leaders on key financial measures (75% of STIP) and strategic goals (25% of STIP). The total payout for the STIP ranges from 0 to 200 percent based on performance against pre-established targets. The Compensation Committee determines performance to strategic goals using a rigorous assessment process that evaluates final results against pre-established operational goals, safety results, and other measures, including sustainability outcomes. The payout for strategic goals performance occurs only if threshold performance of at least one financial measure is met. </w:t>
      </w:r>
    </w:p>
    <w:p>
      <w:pPr>
        <w:pStyle w:val="TextBody"/>
        <w:bidi w:val="0"/>
        <w:spacing w:before="120" w:after="0"/>
        <w:jc w:val="both"/>
        <w:rPr>
          <w:rFonts w:ascii="arial" w:hAnsi="arial"/>
          <w:color w:val="3E3935"/>
          <w:sz w:val="18"/>
        </w:rPr>
      </w:pPr>
      <w:r>
        <w:rPr>
          <w:rFonts w:ascii="arial" w:hAnsi="arial"/>
          <w:color w:val="3E3935"/>
          <w:sz w:val="18"/>
        </w:rPr>
        <w:t xml:space="preserve">The 2023 LTIP design features stock options (25% of LTIP) to align our senior leaders with shareholders’ interest in stock price appreciation and PSUs (75% of LTIP) with performance measures that drive long-term results. PSU performance measures include EBIT-adjusted Margin (30% of LTIP), Relative TSR (30% of LTIP), and GMNA EV Measures (15% of LTIP). Relative TSR performance payout is capped at target if GM’s TSR is negative over the performance period. </w:t>
      </w:r>
    </w:p>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47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Focusing 2023 performance on EBIT-adjusted, AAFCF, and strategic goals in the short term, combined with the PSU performance measures described above in the long term, provides direct alignment of our executive compensation program with the interests of our shareholders, and links the long-term compensation of our executives to the long-term strategy of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03250" cy="240665"/>
            <wp:effectExtent l="0" t="0" r="0" b="0"/>
            <wp:docPr id="22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0" descr=""/>
                    <pic:cNvPicPr>
                      <a:picLocks noChangeAspect="1" noChangeArrowheads="1"/>
                    </pic:cNvPicPr>
                  </pic:nvPicPr>
                  <pic:blipFill>
                    <a:blip r:embed="rId219"/>
                    <a:stretch>
                      <a:fillRect/>
                    </a:stretch>
                  </pic:blipFill>
                  <pic:spPr bwMode="auto">
                    <a:xfrm>
                      <a:off x="0" y="0"/>
                      <a:ext cx="603250" cy="240665"/>
                    </a:xfrm>
                    <a:prstGeom prst="rect">
                      <a:avLst/>
                    </a:prstGeom>
                  </pic:spPr>
                </pic:pic>
              </a:graphicData>
            </a:graphic>
          </wp:inline>
        </w:drawing>
      </w:r>
      <w:r>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Peer Group for 2023–2025 LTIP Performance </w:t>
      </w:r>
    </w:p>
    <w:p>
      <w:pPr>
        <w:pStyle w:val="TextBody"/>
        <w:bidi w:val="0"/>
        <w:spacing w:before="120" w:after="0"/>
        <w:jc w:val="both"/>
        <w:rPr>
          <w:rFonts w:ascii="arial" w:hAnsi="arial"/>
          <w:color w:val="3E3935"/>
          <w:sz w:val="18"/>
        </w:rPr>
      </w:pPr>
      <w:r>
        <w:rPr>
          <w:rFonts w:ascii="arial" w:hAnsi="arial"/>
          <w:color w:val="3E3935"/>
          <w:sz w:val="18"/>
        </w:rPr>
        <w:t xml:space="preserve">The Compensation Committee uses the following OEMs in the Dow Jones Automobiles &amp; Parts Titans 30 Index to measure relative performance for the Relative TSR measure in the 2023–2025 PSU awards, as they represent our global competition and are subject to similar macroeconomic forces. </w:t>
      </w:r>
    </w:p>
    <w:p>
      <w:pPr>
        <w:pStyle w:val="TextBody"/>
        <w:bidi w:val="0"/>
        <w:spacing w:before="0" w:after="0"/>
        <w:jc w:val="left"/>
        <w:rPr/>
      </w:pPr>
      <w:r>
        <w:rPr/>
        <w:t> </w:t>
      </w:r>
    </w:p>
    <w:tbl>
      <w:tblPr>
        <w:tblW w:w="6450" w:type="dxa"/>
        <w:jc w:val="left"/>
        <w:tblInd w:w="0" w:type="dxa"/>
        <w:tblLayout w:type="fixed"/>
        <w:tblCellMar>
          <w:top w:w="0" w:type="dxa"/>
          <w:left w:w="0" w:type="dxa"/>
          <w:bottom w:w="0" w:type="dxa"/>
          <w:right w:w="0" w:type="dxa"/>
        </w:tblCellMar>
      </w:tblPr>
      <w:tblGrid>
        <w:gridCol w:w="2315"/>
        <w:gridCol w:w="120"/>
        <w:gridCol w:w="1985"/>
        <w:gridCol w:w="120"/>
        <w:gridCol w:w="1910"/>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6450" w:type="dxa"/>
            <w:gridSpan w:val="5"/>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Dow Jones Automobiles &amp; Parts Titans 30 Index – OEM Peer Group(1)</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Bayerische Motoren Werke AG</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Mercedes-Benz Group AG</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Suzuki Motor Corporation</w:t>
            </w:r>
          </w:p>
        </w:tc>
      </w:tr>
      <w:tr>
        <w:trPr/>
        <w:tc>
          <w:tcPr>
            <w:tcW w:w="2315" w:type="dxa"/>
            <w:tcBorders/>
            <w:shd w:fill="CCF2F8" w:val="clear"/>
            <w:vAlign w:val="center"/>
          </w:tcPr>
          <w:p>
            <w:pPr>
              <w:pStyle w:val="TableContents"/>
              <w:bidi w:val="0"/>
              <w:spacing w:before="0" w:after="283"/>
              <w:jc w:val="left"/>
              <w:rPr>
                <w:sz w:val="4"/>
                <w:szCs w:val="4"/>
              </w:rPr>
            </w:pPr>
            <w:r>
              <w:rPr>
                <w:sz w:val="4"/>
                <w:szCs w:val="4"/>
              </w:rPr>
            </w:r>
          </w:p>
        </w:tc>
        <w:tc>
          <w:tcPr>
            <w:tcW w:w="2105" w:type="dxa"/>
            <w:gridSpan w:val="2"/>
            <w:tcBorders/>
            <w:shd w:fill="CCF2F8" w:val="clear"/>
            <w:vAlign w:val="center"/>
          </w:tcPr>
          <w:p>
            <w:pPr>
              <w:pStyle w:val="TableContents"/>
              <w:bidi w:val="0"/>
              <w:spacing w:before="0" w:after="283"/>
              <w:jc w:val="left"/>
              <w:rPr>
                <w:sz w:val="4"/>
                <w:szCs w:val="4"/>
              </w:rPr>
            </w:pPr>
            <w:r>
              <w:rPr>
                <w:sz w:val="4"/>
                <w:szCs w:val="4"/>
              </w:rPr>
            </w:r>
          </w:p>
        </w:tc>
        <w:tc>
          <w:tcPr>
            <w:tcW w:w="20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315" w:type="dxa"/>
            <w:tcBorders/>
            <w:shd w:fill="CCF2F8" w:val="clear"/>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Ford Motor Company</w:t>
            </w:r>
          </w:p>
        </w:tc>
        <w:tc>
          <w:tcPr>
            <w:tcW w:w="120" w:type="dxa"/>
            <w:tcBorders/>
            <w:shd w:fill="CCF2F8" w:val="clear"/>
            <w:vAlign w:val="center"/>
          </w:tcPr>
          <w:p>
            <w:pPr>
              <w:pStyle w:val="TableContents"/>
              <w:bidi w:val="0"/>
              <w:spacing w:before="0" w:after="283"/>
              <w:jc w:val="left"/>
              <w:rPr/>
            </w:pPr>
            <w:r>
              <w:rPr/>
              <w:t>  </w:t>
            </w:r>
          </w:p>
        </w:tc>
        <w:tc>
          <w:tcPr>
            <w:tcW w:w="1985" w:type="dxa"/>
            <w:tcBorders/>
            <w:shd w:fill="CCF2F8" w:val="clear"/>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Nissan Motor Co., Ltd.</w:t>
            </w:r>
          </w:p>
        </w:tc>
        <w:tc>
          <w:tcPr>
            <w:tcW w:w="120" w:type="dxa"/>
            <w:tcBorders/>
            <w:shd w:fill="CCF2F8" w:val="clear"/>
            <w:vAlign w:val="center"/>
          </w:tcPr>
          <w:p>
            <w:pPr>
              <w:pStyle w:val="TableContents"/>
              <w:bidi w:val="0"/>
              <w:spacing w:before="0" w:after="283"/>
              <w:jc w:val="left"/>
              <w:rPr/>
            </w:pPr>
            <w:r>
              <w:rPr/>
              <w:t>  </w:t>
            </w:r>
          </w:p>
        </w:tc>
        <w:tc>
          <w:tcPr>
            <w:tcW w:w="1910" w:type="dxa"/>
            <w:tcBorders/>
            <w:shd w:fill="CCF2F8" w:val="clear"/>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Tesla, Inc.</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Honda Motor Co., Ltd.</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Renault SA</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Toyota Motor Corporation</w:t>
            </w:r>
          </w:p>
        </w:tc>
      </w:tr>
      <w:tr>
        <w:trPr/>
        <w:tc>
          <w:tcPr>
            <w:tcW w:w="2315" w:type="dxa"/>
            <w:tcBorders/>
            <w:shd w:fill="CCF2F8" w:val="clear"/>
            <w:vAlign w:val="center"/>
          </w:tcPr>
          <w:p>
            <w:pPr>
              <w:pStyle w:val="TableContents"/>
              <w:bidi w:val="0"/>
              <w:spacing w:before="0" w:after="283"/>
              <w:jc w:val="left"/>
              <w:rPr>
                <w:sz w:val="4"/>
                <w:szCs w:val="4"/>
              </w:rPr>
            </w:pPr>
            <w:r>
              <w:rPr>
                <w:sz w:val="4"/>
                <w:szCs w:val="4"/>
              </w:rPr>
            </w:r>
          </w:p>
        </w:tc>
        <w:tc>
          <w:tcPr>
            <w:tcW w:w="2105" w:type="dxa"/>
            <w:gridSpan w:val="2"/>
            <w:tcBorders/>
            <w:shd w:fill="CCF2F8" w:val="clear"/>
            <w:vAlign w:val="center"/>
          </w:tcPr>
          <w:p>
            <w:pPr>
              <w:pStyle w:val="TableContents"/>
              <w:bidi w:val="0"/>
              <w:spacing w:before="0" w:after="283"/>
              <w:jc w:val="left"/>
              <w:rPr>
                <w:sz w:val="4"/>
                <w:szCs w:val="4"/>
              </w:rPr>
            </w:pPr>
            <w:r>
              <w:rPr>
                <w:sz w:val="4"/>
                <w:szCs w:val="4"/>
              </w:rPr>
            </w:r>
          </w:p>
        </w:tc>
        <w:tc>
          <w:tcPr>
            <w:tcW w:w="203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315" w:type="dxa"/>
            <w:tcBorders/>
            <w:shd w:fill="CCF2F8" w:val="clear"/>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Hyundai Motor Company</w:t>
            </w:r>
          </w:p>
        </w:tc>
        <w:tc>
          <w:tcPr>
            <w:tcW w:w="120" w:type="dxa"/>
            <w:tcBorders/>
            <w:shd w:fill="CCF2F8" w:val="clear"/>
            <w:vAlign w:val="center"/>
          </w:tcPr>
          <w:p>
            <w:pPr>
              <w:pStyle w:val="TableContents"/>
              <w:bidi w:val="0"/>
              <w:spacing w:before="0" w:after="283"/>
              <w:jc w:val="left"/>
              <w:rPr/>
            </w:pPr>
            <w:r>
              <w:rPr/>
              <w:t>  </w:t>
            </w:r>
          </w:p>
        </w:tc>
        <w:tc>
          <w:tcPr>
            <w:tcW w:w="1985" w:type="dxa"/>
            <w:tcBorders/>
            <w:shd w:fill="CCF2F8" w:val="clear"/>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Stellantis NV</w:t>
            </w:r>
          </w:p>
        </w:tc>
        <w:tc>
          <w:tcPr>
            <w:tcW w:w="120" w:type="dxa"/>
            <w:tcBorders/>
            <w:shd w:fill="CCF2F8" w:val="clear"/>
            <w:vAlign w:val="center"/>
          </w:tcPr>
          <w:p>
            <w:pPr>
              <w:pStyle w:val="TableContents"/>
              <w:bidi w:val="0"/>
              <w:spacing w:before="0" w:after="283"/>
              <w:jc w:val="left"/>
              <w:rPr/>
            </w:pPr>
            <w:r>
              <w:rPr/>
              <w:t>  </w:t>
            </w:r>
          </w:p>
        </w:tc>
        <w:tc>
          <w:tcPr>
            <w:tcW w:w="1910" w:type="dxa"/>
            <w:tcBorders/>
            <w:shd w:fill="CCF2F8" w:val="clear"/>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Volkswagen AG</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bottom w:val="single" w:sz="6" w:space="0" w:color="0071CE"/>
            </w:tcBorders>
            <w:tcMar>
              <w:bottom w:w="28" w:type="dxa"/>
            </w:tcMar>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Kia Corporation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85" w:type="dxa"/>
            <w:tcBorders>
              <w:bottom w:val="single" w:sz="6" w:space="0" w:color="0071CE"/>
            </w:tcBorders>
            <w:tcMar>
              <w:bottom w:w="28" w:type="dxa"/>
            </w:tcMar>
            <w:vAlign w:val="center"/>
          </w:tcPr>
          <w:p>
            <w:pPr>
              <w:pStyle w:val="TableContents"/>
              <w:bidi w:val="0"/>
              <w:spacing w:lineRule="atLeast" w:line="400" w:before="0" w:after="0"/>
              <w:jc w:val="center"/>
              <w:rPr>
                <w:rFonts w:ascii="arial" w:hAnsi="arial"/>
                <w:color w:val="3E3935"/>
                <w:sz w:val="17"/>
              </w:rPr>
            </w:pPr>
            <w:r>
              <w:rPr>
                <w:rFonts w:ascii="arial" w:hAnsi="arial"/>
                <w:color w:val="3E3935"/>
                <w:sz w:val="17"/>
              </w:rPr>
              <w:t>Subaru Corporation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10"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color w:val="3E3935"/>
              </w:rPr>
            </w:pPr>
            <w:r>
              <w:rPr>
                <w:color w:val="3E3935"/>
              </w:rPr>
              <w:t>(1)</w:t>
            </w:r>
          </w:p>
        </w:tc>
        <w:tc>
          <w:tcPr>
            <w:tcW w:w="9917"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GM is a member of the Dow Jones Automobiles &amp; Parts Titans 30 Index. Our performance is determined on a continuous ranking for performance relative to the OEM peer group. </w:t>
            </w:r>
          </w:p>
        </w:tc>
      </w:tr>
    </w:tbl>
    <w:p>
      <w:pPr>
        <w:pStyle w:val="TextBody"/>
        <w:bidi w:val="0"/>
        <w:spacing w:before="360" w:after="0"/>
        <w:jc w:val="left"/>
        <w:rPr>
          <w:rFonts w:ascii="arial" w:hAnsi="arial"/>
          <w:b/>
          <w:color w:val="3E3935"/>
          <w:sz w:val="26"/>
        </w:rPr>
      </w:pPr>
      <w:r>
        <w:rPr>
          <w:rFonts w:ascii="arial" w:hAnsi="arial"/>
          <w:b/>
          <w:color w:val="3E3935"/>
          <w:sz w:val="26"/>
        </w:rPr>
        <w:t xml:space="preserve">Peer Group for Compensation Benchmarking </w:t>
      </w:r>
    </w:p>
    <w:p>
      <w:pPr>
        <w:pStyle w:val="TextBody"/>
        <w:bidi w:val="0"/>
        <w:spacing w:before="120" w:after="0"/>
        <w:jc w:val="both"/>
        <w:rPr>
          <w:rFonts w:ascii="arial" w:hAnsi="arial"/>
          <w:color w:val="3E3935"/>
          <w:sz w:val="18"/>
        </w:rPr>
      </w:pPr>
      <w:r>
        <w:rPr>
          <w:rFonts w:ascii="arial" w:hAnsi="arial"/>
          <w:color w:val="3E3935"/>
          <w:sz w:val="18"/>
        </w:rPr>
        <w:t xml:space="preserve">The Compensation Committee annually reviews the peer group for compensation benchmarking comparisons and makes updates as needed to align with the established criteria and the Company’s strategy. We use the peer group to gather competitive market data on executive pay levels, executive compensation program design, and evolving trends in pay practices. We do not limit the peer group to our industry alone because we believe compensation practices for NEOs at other large, U.S.-based, multinational companies affect our ability to attract and retain diverse talent around the globe. </w:t>
      </w:r>
    </w:p>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48</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2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1" descr=""/>
                          <pic:cNvPicPr>
                            <a:picLocks noChangeAspect="1" noChangeArrowheads="1"/>
                          </pic:cNvPicPr>
                        </pic:nvPicPr>
                        <pic:blipFill>
                          <a:blip r:embed="rId220"/>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The Compensation Committee considered the following factors when selecting the peer group used to help establish 2023 target compensation levels for our NEOs: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800850" cy="4686300"/>
            <wp:effectExtent l="0" t="0" r="0" b="0"/>
            <wp:docPr id="22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2" descr=""/>
                    <pic:cNvPicPr>
                      <a:picLocks noChangeAspect="1" noChangeArrowheads="1"/>
                    </pic:cNvPicPr>
                  </pic:nvPicPr>
                  <pic:blipFill>
                    <a:blip r:embed="rId221"/>
                    <a:stretch>
                      <a:fillRect/>
                    </a:stretch>
                  </pic:blipFill>
                  <pic:spPr bwMode="auto">
                    <a:xfrm>
                      <a:off x="0" y="0"/>
                      <a:ext cx="6800850" cy="4686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810375" cy="1390650"/>
            <wp:effectExtent l="0" t="0" r="0" b="0"/>
            <wp:docPr id="22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3" descr=""/>
                    <pic:cNvPicPr>
                      <a:picLocks noChangeAspect="1" noChangeArrowheads="1"/>
                    </pic:cNvPicPr>
                  </pic:nvPicPr>
                  <pic:blipFill>
                    <a:blip r:embed="rId222"/>
                    <a:stretch>
                      <a:fillRect/>
                    </a:stretch>
                  </pic:blipFill>
                  <pic:spPr bwMode="auto">
                    <a:xfrm>
                      <a:off x="0" y="0"/>
                      <a:ext cx="6810375" cy="1390650"/>
                    </a:xfrm>
                    <a:prstGeom prst="rect">
                      <a:avLst/>
                    </a:prstGeom>
                  </pic:spPr>
                </pic:pic>
              </a:graphicData>
            </a:graphic>
          </wp:inline>
        </w:drawing>
      </w:r>
      <w:r>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How We Use Benchmarking Data to Assess Compensation </w:t>
      </w:r>
    </w:p>
    <w:p>
      <w:pPr>
        <w:pStyle w:val="TextBody"/>
        <w:bidi w:val="0"/>
        <w:spacing w:before="120" w:after="0"/>
        <w:jc w:val="both"/>
        <w:rPr>
          <w:rFonts w:ascii="arial" w:hAnsi="arial"/>
          <w:color w:val="3E3935"/>
          <w:sz w:val="18"/>
        </w:rPr>
      </w:pPr>
      <w:r>
        <w:rPr>
          <w:rFonts w:ascii="arial" w:hAnsi="arial"/>
          <w:color w:val="3E3935"/>
          <w:sz w:val="18"/>
        </w:rPr>
        <w:t xml:space="preserve">We benchmark pay practices and compensation levels against the proxy statement disclosures of our peer group. In addition, we use executive compensation surveys and competitive data to benchmark executive positions and adjust this data to reflect GM’s size and market-expected compensation trends. Furthermore, the Compensation Committee reviews an analysis completed by its independent compensation consultant of the competitive position of each of our executives relative to its benchmark data. </w:t>
      </w:r>
    </w:p>
    <w:p>
      <w:pPr>
        <w:pStyle w:val="TextBody"/>
        <w:bidi w:val="0"/>
        <w:spacing w:before="120" w:after="0"/>
        <w:jc w:val="both"/>
        <w:rPr>
          <w:rFonts w:ascii="arial" w:hAnsi="arial"/>
          <w:color w:val="3E3935"/>
          <w:sz w:val="18"/>
        </w:rPr>
      </w:pPr>
      <w:r>
        <w:rPr>
          <w:rFonts w:ascii="arial" w:hAnsi="arial"/>
          <w:color w:val="3E3935"/>
          <w:sz w:val="18"/>
        </w:rPr>
        <w:t xml:space="preserve">We review each element of total direct compensation (base salary, STIP, and LTIP) compared with the market. An individual element or an individual’s total direct compensation may be positioned above or below the market due to a variety of considerations, such as specific responsibilities, experience, performance in role, and pay positioning required to attract and retain top talent needed to execute on our vision during this critical period of transformation. </w:t>
      </w:r>
    </w:p>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49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How We Plan Compensation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8960" cy="229235"/>
            <wp:effectExtent l="0" t="0" r="0" b="0"/>
            <wp:docPr id="23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4" descr=""/>
                    <pic:cNvPicPr>
                      <a:picLocks noChangeAspect="1" noChangeArrowheads="1"/>
                    </pic:cNvPicPr>
                  </pic:nvPicPr>
                  <pic:blipFill>
                    <a:blip r:embed="rId223"/>
                    <a:stretch>
                      <a:fillRect/>
                    </a:stretch>
                  </pic:blipFill>
                  <pic:spPr bwMode="auto">
                    <a:xfrm>
                      <a:off x="0" y="0"/>
                      <a:ext cx="568960" cy="229235"/>
                    </a:xfrm>
                    <a:prstGeom prst="rect">
                      <a:avLst/>
                    </a:prstGeom>
                  </pic:spPr>
                </pic:pic>
              </a:graphicData>
            </a:graphic>
          </wp:inline>
        </w:drawing>
      </w:r>
      <w:r>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Performance-Based Compensation Structure </w:t>
      </w:r>
    </w:p>
    <w:p>
      <w:pPr>
        <w:pStyle w:val="TextBody"/>
        <w:bidi w:val="0"/>
        <w:spacing w:before="120" w:after="0"/>
        <w:jc w:val="both"/>
        <w:rPr>
          <w:rFonts w:ascii="arial" w:hAnsi="arial"/>
          <w:color w:val="3E3935"/>
          <w:sz w:val="18"/>
        </w:rPr>
      </w:pPr>
      <w:r>
        <w:rPr>
          <w:rFonts w:ascii="arial" w:hAnsi="arial"/>
          <w:color w:val="3E3935"/>
          <w:sz w:val="18"/>
        </w:rPr>
        <w:t xml:space="preserve">Our incentive plans are designed to optimize long-term financial returns for our shareholders and reward our NEOs for delivering on the Company’s strategy and vision of zero crashes, zero emissions, and zero congestion. The 2023 performance-based structure incorporated short-term and long-term incentives tied to financial and operational measures to drive Company performance for fiscal year 2023 and beyond. The Compensation Committee believes a majority of the compensation opportunity should be in the form of equity to align the interests of executives with those of shareholders.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8490" w:type="dxa"/>
        <w:jc w:val="left"/>
        <w:tblInd w:w="0" w:type="dxa"/>
        <w:tblLayout w:type="fixed"/>
        <w:tblCellMar>
          <w:top w:w="0" w:type="dxa"/>
          <w:left w:w="0" w:type="dxa"/>
          <w:bottom w:w="0" w:type="dxa"/>
          <w:right w:w="0" w:type="dxa"/>
        </w:tblCellMar>
      </w:tblPr>
      <w:tblGrid>
        <w:gridCol w:w="4215"/>
        <w:gridCol w:w="60"/>
        <w:gridCol w:w="4215"/>
      </w:tblGrid>
      <w:tr>
        <w:trPr/>
        <w:tc>
          <w:tcPr>
            <w:tcW w:w="4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r>
      <w:tr>
        <w:trPr/>
        <w:tc>
          <w:tcPr>
            <w:tcW w:w="4215" w:type="dxa"/>
            <w:tcBorders/>
            <w:vAlign w:val="center"/>
          </w:tcPr>
          <w:p>
            <w:pPr>
              <w:pStyle w:val="TableContents"/>
              <w:bidi w:val="0"/>
              <w:spacing w:before="0" w:after="283"/>
              <w:jc w:val="center"/>
              <w:rPr/>
            </w:pPr>
            <w:r>
              <w:rPr/>
              <w:drawing>
                <wp:inline distT="0" distB="0" distL="0" distR="0">
                  <wp:extent cx="2628900" cy="3257550"/>
                  <wp:effectExtent l="0" t="0" r="0" b="0"/>
                  <wp:docPr id="23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5" descr=""/>
                          <pic:cNvPicPr>
                            <a:picLocks noChangeAspect="1" noChangeArrowheads="1"/>
                          </pic:cNvPicPr>
                        </pic:nvPicPr>
                        <pic:blipFill>
                          <a:blip r:embed="rId224"/>
                          <a:stretch>
                            <a:fillRect/>
                          </a:stretch>
                        </pic:blipFill>
                        <pic:spPr bwMode="auto">
                          <a:xfrm>
                            <a:off x="0" y="0"/>
                            <a:ext cx="2628900" cy="32575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215" w:type="dxa"/>
            <w:tcBorders/>
            <w:vAlign w:val="center"/>
          </w:tcPr>
          <w:p>
            <w:pPr>
              <w:pStyle w:val="TableContents"/>
              <w:bidi w:val="0"/>
              <w:spacing w:before="0" w:after="283"/>
              <w:jc w:val="center"/>
              <w:rPr/>
            </w:pPr>
            <w:r>
              <w:rPr/>
              <w:drawing>
                <wp:inline distT="0" distB="0" distL="0" distR="0">
                  <wp:extent cx="2628900" cy="3257550"/>
                  <wp:effectExtent l="0" t="0" r="0" b="0"/>
                  <wp:docPr id="23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6" descr=""/>
                          <pic:cNvPicPr>
                            <a:picLocks noChangeAspect="1" noChangeArrowheads="1"/>
                          </pic:cNvPicPr>
                        </pic:nvPicPr>
                        <pic:blipFill>
                          <a:blip r:embed="rId225"/>
                          <a:stretch>
                            <a:fillRect/>
                          </a:stretch>
                        </pic:blipFill>
                        <pic:spPr bwMode="auto">
                          <a:xfrm>
                            <a:off x="0" y="0"/>
                            <a:ext cx="2628900" cy="32575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50</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3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7" descr=""/>
                          <pic:cNvPicPr>
                            <a:picLocks noChangeAspect="1" noChangeArrowheads="1"/>
                          </pic:cNvPicPr>
                        </pic:nvPicPr>
                        <pic:blipFill>
                          <a:blip r:embed="rId226"/>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27" w:name="toc648661_25"/>
      <w:bookmarkEnd w:id="27"/>
      <w:r>
        <w:rPr>
          <w:rFonts w:ascii="arial" w:hAnsi="arial"/>
          <w:b/>
          <w:color w:val="0071CE"/>
          <w:sz w:val="28"/>
        </w:rPr>
        <w:t xml:space="preserve">Compensation Elements </w:t>
      </w:r>
    </w:p>
    <w:p>
      <w:pPr>
        <w:pStyle w:val="TextBody"/>
        <w:bidi w:val="0"/>
        <w:spacing w:before="360" w:after="0"/>
        <w:jc w:val="left"/>
        <w:rPr>
          <w:rFonts w:ascii="arial" w:hAnsi="arial"/>
          <w:b/>
          <w:color w:val="3E3935"/>
          <w:sz w:val="26"/>
        </w:rPr>
      </w:pPr>
      <w:r>
        <w:rPr>
          <w:rFonts w:ascii="arial" w:hAnsi="arial"/>
          <w:b/>
          <w:color w:val="3E3935"/>
          <w:sz w:val="26"/>
        </w:rPr>
        <w:t xml:space="preserve">Compensation Structure </w:t>
      </w:r>
    </w:p>
    <w:p>
      <w:pPr>
        <w:pStyle w:val="TextBody"/>
        <w:bidi w:val="0"/>
        <w:spacing w:before="120" w:after="0"/>
        <w:jc w:val="left"/>
        <w:rPr>
          <w:rFonts w:ascii="arial" w:hAnsi="arial"/>
          <w:color w:val="3E3935"/>
          <w:sz w:val="18"/>
        </w:rPr>
      </w:pPr>
      <w:r>
        <w:rPr>
          <w:rFonts w:ascii="arial" w:hAnsi="arial"/>
          <w:color w:val="3E3935"/>
          <w:sz w:val="18"/>
        </w:rPr>
        <w:t xml:space="preserve">The 2023 compensation structure is market-competitive and includes the following pay elements: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59765" cy="311150"/>
            <wp:effectExtent l="0" t="0" r="0" b="0"/>
            <wp:docPr id="23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8" descr=""/>
                    <pic:cNvPicPr>
                      <a:picLocks noChangeAspect="1" noChangeArrowheads="1"/>
                    </pic:cNvPicPr>
                  </pic:nvPicPr>
                  <pic:blipFill>
                    <a:blip r:embed="rId227"/>
                    <a:stretch>
                      <a:fillRect/>
                    </a:stretch>
                  </pic:blipFill>
                  <pic:spPr bwMode="auto">
                    <a:xfrm>
                      <a:off x="0" y="0"/>
                      <a:ext cx="659765" cy="311150"/>
                    </a:xfrm>
                    <a:prstGeom prst="rect">
                      <a:avLst/>
                    </a:prstGeom>
                  </pic:spPr>
                </pic:pic>
              </a:graphicData>
            </a:graphic>
          </wp:inline>
        </w:drawing>
      </w:r>
      <w:r>
        <w:rPr/>
        <w:t xml:space="preserve"> </w:t>
      </w:r>
    </w:p>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283"/>
              <w:jc w:val="left"/>
              <w:rPr>
                <w:color w:val="3E3935"/>
              </w:rPr>
            </w:pPr>
            <w:r>
              <w:rPr>
                <w:color w:val="3E3935"/>
              </w:rPr>
              <w:t>(1)</w:t>
            </w:r>
          </w:p>
        </w:tc>
        <w:tc>
          <w:tcPr>
            <w:tcW w:w="83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EV Measures are comprised of GMNA EV Volume, GMNA EV Launch Timing, and GMNA EV Launch Quality (modifier). </w:t>
            </w:r>
          </w:p>
        </w:tc>
      </w:tr>
    </w:tbl>
    <w:tbl>
      <w:tblPr>
        <w:tblW w:w="6340" w:type="dxa"/>
        <w:jc w:val="left"/>
        <w:tblInd w:w="0" w:type="dxa"/>
        <w:tblLayout w:type="fixed"/>
        <w:tblCellMar>
          <w:top w:w="0" w:type="dxa"/>
          <w:left w:w="0" w:type="dxa"/>
          <w:bottom w:w="0" w:type="dxa"/>
          <w:right w:w="0" w:type="dxa"/>
        </w:tblCellMar>
      </w:tblPr>
      <w:tblGrid>
        <w:gridCol w:w="305"/>
        <w:gridCol w:w="6035"/>
      </w:tblGrid>
      <w:tr>
        <w:trPr/>
        <w:tc>
          <w:tcPr>
            <w:tcW w:w="305" w:type="dxa"/>
            <w:tcBorders/>
            <w:vAlign w:val="center"/>
          </w:tcPr>
          <w:p>
            <w:pPr>
              <w:pStyle w:val="TableContents"/>
              <w:bidi w:val="0"/>
              <w:spacing w:before="0" w:after="283"/>
              <w:jc w:val="left"/>
              <w:rPr>
                <w:color w:val="3E3935"/>
              </w:rPr>
            </w:pPr>
            <w:r>
              <w:rPr>
                <w:color w:val="3E3935"/>
              </w:rPr>
              <w:t>(2)</w:t>
            </w:r>
          </w:p>
        </w:tc>
        <w:tc>
          <w:tcPr>
            <w:tcW w:w="60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Relative TSR is capped at target if GM’s TSR is negative over the performance period. </w:t>
            </w:r>
          </w:p>
        </w:tc>
      </w:tr>
    </w:tbl>
    <w:p>
      <w:pPr>
        <w:pStyle w:val="TextBody"/>
        <w:bidi w:val="0"/>
        <w:spacing w:before="360" w:after="0"/>
        <w:jc w:val="left"/>
        <w:rPr>
          <w:rFonts w:ascii="arial" w:hAnsi="arial"/>
          <w:b/>
          <w:color w:val="3E3935"/>
          <w:sz w:val="26"/>
        </w:rPr>
      </w:pPr>
      <w:r>
        <w:rPr>
          <w:rFonts w:ascii="arial" w:hAnsi="arial"/>
          <w:b/>
          <w:color w:val="3E3935"/>
          <w:sz w:val="26"/>
        </w:rPr>
        <w:t xml:space="preserve">2023 Target Compensation </w:t>
      </w:r>
    </w:p>
    <w:p>
      <w:pPr>
        <w:pStyle w:val="TextBody"/>
        <w:bidi w:val="0"/>
        <w:spacing w:before="120" w:after="0"/>
        <w:jc w:val="both"/>
        <w:rPr>
          <w:rFonts w:ascii="arial" w:hAnsi="arial"/>
          <w:color w:val="3E3935"/>
          <w:sz w:val="18"/>
        </w:rPr>
      </w:pPr>
      <w:r>
        <w:rPr>
          <w:rFonts w:ascii="arial" w:hAnsi="arial"/>
          <w:color w:val="3E3935"/>
          <w:sz w:val="18"/>
        </w:rPr>
        <w:t xml:space="preserve">Our total target direct compensation for each NEO in 2023 was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5"/>
        <w:gridCol w:w="120"/>
        <w:gridCol w:w="60"/>
        <w:gridCol w:w="980"/>
        <w:gridCol w:w="60"/>
        <w:gridCol w:w="120"/>
        <w:gridCol w:w="76"/>
        <w:gridCol w:w="484"/>
        <w:gridCol w:w="275"/>
        <w:gridCol w:w="120"/>
        <w:gridCol w:w="60"/>
        <w:gridCol w:w="980"/>
        <w:gridCol w:w="60"/>
        <w:gridCol w:w="120"/>
        <w:gridCol w:w="85"/>
        <w:gridCol w:w="1405"/>
        <w:gridCol w:w="60"/>
        <w:gridCol w:w="120"/>
        <w:gridCol w:w="60"/>
        <w:gridCol w:w="1100"/>
        <w:gridCol w:w="60"/>
        <w:gridCol w:w="120"/>
        <w:gridCol w:w="60"/>
        <w:gridCol w:w="980"/>
        <w:gridCol w:w="60"/>
        <w:gridCol w:w="120"/>
        <w:gridCol w:w="77"/>
        <w:gridCol w:w="1413"/>
        <w:gridCol w:w="75"/>
      </w:tblGrid>
      <w:tr>
        <w:trPr/>
        <w:tc>
          <w:tcPr>
            <w:tcW w:w="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380" w:type="dxa"/>
            <w:gridSpan w:val="6"/>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LTIP</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9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Name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Base</w:t>
              <w:br/>
              <w:t>Salary</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STIP</w:t>
              <w:br/>
              <w:t>(%)</w:t>
            </w:r>
          </w:p>
        </w:tc>
        <w:tc>
          <w:tcPr>
            <w:tcW w:w="275"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STIP</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Total Target</w:t>
              <w:br/>
              <w:t>Cash</w:t>
              <w:br/>
              <w:t>Compensation</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PSUs(1)</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Stock</w:t>
              <w:br/>
              <w:t>Options</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Total Target</w:t>
              <w:br/>
              <w:t>Direct</w:t>
              <w:br/>
              <w:t>Compensation</w:t>
              <w:br/>
              <w: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89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Mary T. Barra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2,100,000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484" w:type="dxa"/>
            <w:tcBorders/>
            <w:vAlign w:val="center"/>
          </w:tcPr>
          <w:p>
            <w:pPr>
              <w:pStyle w:val="TableContents"/>
              <w:bidi w:val="0"/>
              <w:spacing w:before="0" w:after="283"/>
              <w:jc w:val="right"/>
              <w:rPr>
                <w:color w:val="3E3935"/>
              </w:rPr>
            </w:pPr>
            <w:r>
              <w:rPr>
                <w:color w:val="3E3935"/>
              </w:rPr>
              <w:t>200</w:t>
            </w:r>
          </w:p>
        </w:tc>
        <w:tc>
          <w:tcPr>
            <w:tcW w:w="275"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4,200,000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color w:val="3E3935"/>
              </w:rPr>
            </w:pPr>
            <w:r>
              <w:rPr>
                <w:color w:val="3E3935"/>
              </w:rPr>
              <w:t> </w:t>
            </w:r>
          </w:p>
        </w:tc>
        <w:tc>
          <w:tcPr>
            <w:tcW w:w="1405" w:type="dxa"/>
            <w:tcBorders/>
            <w:vAlign w:val="center"/>
          </w:tcPr>
          <w:p>
            <w:pPr>
              <w:pStyle w:val="TableContents"/>
              <w:bidi w:val="0"/>
              <w:spacing w:before="0" w:after="283"/>
              <w:jc w:val="right"/>
              <w:rPr>
                <w:b/>
                <w:color w:val="3E3935"/>
              </w:rPr>
            </w:pPr>
            <w:r>
              <w:rPr>
                <w:b/>
                <w:color w:val="3E3935"/>
              </w:rPr>
              <w:t>6,300,000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14,625,000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4,875,000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color w:val="3E3935"/>
              </w:rPr>
            </w:pPr>
            <w:r>
              <w:rPr>
                <w:color w:val="3E3935"/>
              </w:rPr>
              <w:t> </w:t>
            </w:r>
          </w:p>
        </w:tc>
        <w:tc>
          <w:tcPr>
            <w:tcW w:w="1413" w:type="dxa"/>
            <w:tcBorders/>
            <w:vAlign w:val="center"/>
          </w:tcPr>
          <w:p>
            <w:pPr>
              <w:pStyle w:val="TableContents"/>
              <w:bidi w:val="0"/>
              <w:spacing w:before="0" w:after="283"/>
              <w:jc w:val="right"/>
              <w:rPr>
                <w:b/>
                <w:color w:val="3E3935"/>
              </w:rPr>
            </w:pPr>
            <w:r>
              <w:rPr>
                <w:b/>
                <w:color w:val="3E3935"/>
              </w:rPr>
              <w:t>25,800,000</w:t>
            </w:r>
          </w:p>
        </w:tc>
        <w:tc>
          <w:tcPr>
            <w:tcW w:w="75" w:type="dxa"/>
            <w:tcBorders/>
            <w:vAlign w:val="center"/>
          </w:tcPr>
          <w:p>
            <w:pPr>
              <w:pStyle w:val="TableContents"/>
              <w:bidi w:val="0"/>
              <w:spacing w:before="0" w:after="283"/>
              <w:jc w:val="left"/>
              <w:rPr>
                <w:color w:val="3E3935"/>
              </w:rPr>
            </w:pPr>
            <w:r>
              <w:rPr>
                <w:color w:val="3E3935"/>
              </w:rPr>
              <w:t> </w:t>
            </w:r>
          </w:p>
        </w:tc>
      </w:tr>
      <w:tr>
        <w:trPr/>
        <w:tc>
          <w:tcPr>
            <w:tcW w:w="895" w:type="dxa"/>
            <w:tcBorders/>
            <w:shd w:fill="CCF2F8" w:val="clear"/>
            <w:vAlign w:val="center"/>
          </w:tcPr>
          <w:p>
            <w:pPr>
              <w:pStyle w:val="TableContents"/>
              <w:bidi w:val="0"/>
              <w:spacing w:before="0" w:after="283"/>
              <w:jc w:val="left"/>
              <w:rPr>
                <w:sz w:val="4"/>
                <w:szCs w:val="4"/>
              </w:rPr>
            </w:pPr>
            <w:r>
              <w:rPr>
                <w:sz w:val="4"/>
                <w:szCs w:val="4"/>
              </w:rPr>
            </w:r>
          </w:p>
        </w:tc>
        <w:tc>
          <w:tcPr>
            <w:tcW w:w="1220" w:type="dxa"/>
            <w:gridSpan w:val="4"/>
            <w:tcBorders/>
            <w:shd w:fill="CCF2F8" w:val="clear"/>
            <w:vAlign w:val="center"/>
          </w:tcPr>
          <w:p>
            <w:pPr>
              <w:pStyle w:val="TableContents"/>
              <w:bidi w:val="0"/>
              <w:spacing w:before="0" w:after="283"/>
              <w:jc w:val="left"/>
              <w:rPr>
                <w:sz w:val="4"/>
                <w:szCs w:val="4"/>
              </w:rPr>
            </w:pPr>
            <w:r>
              <w:rPr>
                <w:sz w:val="4"/>
                <w:szCs w:val="4"/>
              </w:rPr>
            </w:r>
          </w:p>
        </w:tc>
        <w:tc>
          <w:tcPr>
            <w:tcW w:w="955" w:type="dxa"/>
            <w:gridSpan w:val="4"/>
            <w:tcBorders/>
            <w:shd w:fill="CCF2F8" w:val="clear"/>
            <w:vAlign w:val="center"/>
          </w:tcPr>
          <w:p>
            <w:pPr>
              <w:pStyle w:val="TableContents"/>
              <w:bidi w:val="0"/>
              <w:spacing w:before="0" w:after="283"/>
              <w:jc w:val="left"/>
              <w:rPr>
                <w:sz w:val="4"/>
                <w:szCs w:val="4"/>
              </w:rPr>
            </w:pPr>
            <w:r>
              <w:rPr>
                <w:sz w:val="4"/>
                <w:szCs w:val="4"/>
              </w:rPr>
            </w:r>
          </w:p>
        </w:tc>
        <w:tc>
          <w:tcPr>
            <w:tcW w:w="1220" w:type="dxa"/>
            <w:gridSpan w:val="4"/>
            <w:tcBorders/>
            <w:shd w:fill="CCF2F8" w:val="clear"/>
            <w:vAlign w:val="center"/>
          </w:tcPr>
          <w:p>
            <w:pPr>
              <w:pStyle w:val="TableContents"/>
              <w:bidi w:val="0"/>
              <w:spacing w:before="0" w:after="283"/>
              <w:jc w:val="left"/>
              <w:rPr>
                <w:sz w:val="4"/>
                <w:szCs w:val="4"/>
              </w:rPr>
            </w:pPr>
            <w:r>
              <w:rPr>
                <w:sz w:val="4"/>
                <w:szCs w:val="4"/>
              </w:rPr>
            </w:r>
          </w:p>
        </w:tc>
        <w:tc>
          <w:tcPr>
            <w:tcW w:w="1670" w:type="dxa"/>
            <w:gridSpan w:val="4"/>
            <w:tcBorders/>
            <w:shd w:fill="CCF2F8" w:val="clear"/>
            <w:vAlign w:val="center"/>
          </w:tcPr>
          <w:p>
            <w:pPr>
              <w:pStyle w:val="TableContents"/>
              <w:bidi w:val="0"/>
              <w:spacing w:before="0" w:after="283"/>
              <w:jc w:val="left"/>
              <w:rPr>
                <w:sz w:val="4"/>
                <w:szCs w:val="4"/>
              </w:rPr>
            </w:pPr>
            <w:r>
              <w:rPr>
                <w:sz w:val="4"/>
                <w:szCs w:val="4"/>
              </w:rPr>
            </w:r>
          </w:p>
        </w:tc>
        <w:tc>
          <w:tcPr>
            <w:tcW w:w="1340" w:type="dxa"/>
            <w:gridSpan w:val="4"/>
            <w:tcBorders/>
            <w:shd w:fill="CCF2F8" w:val="clear"/>
            <w:vAlign w:val="center"/>
          </w:tcPr>
          <w:p>
            <w:pPr>
              <w:pStyle w:val="TableContents"/>
              <w:bidi w:val="0"/>
              <w:spacing w:before="0" w:after="283"/>
              <w:jc w:val="left"/>
              <w:rPr>
                <w:sz w:val="4"/>
                <w:szCs w:val="4"/>
              </w:rPr>
            </w:pPr>
            <w:r>
              <w:rPr>
                <w:sz w:val="4"/>
                <w:szCs w:val="4"/>
              </w:rPr>
            </w:r>
          </w:p>
        </w:tc>
        <w:tc>
          <w:tcPr>
            <w:tcW w:w="1220" w:type="dxa"/>
            <w:gridSpan w:val="4"/>
            <w:tcBorders/>
            <w:shd w:fill="CCF2F8" w:val="clear"/>
            <w:vAlign w:val="center"/>
          </w:tcPr>
          <w:p>
            <w:pPr>
              <w:pStyle w:val="TableContents"/>
              <w:bidi w:val="0"/>
              <w:spacing w:before="0" w:after="283"/>
              <w:jc w:val="left"/>
              <w:rPr>
                <w:sz w:val="4"/>
                <w:szCs w:val="4"/>
              </w:rPr>
            </w:pPr>
            <w:r>
              <w:rPr>
                <w:sz w:val="4"/>
                <w:szCs w:val="4"/>
              </w:rPr>
            </w:r>
          </w:p>
        </w:tc>
        <w:tc>
          <w:tcPr>
            <w:tcW w:w="16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Paul A. Jacobson</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1,000,000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color w:val="3E3935"/>
              </w:rPr>
            </w:pPr>
            <w:r>
              <w:rPr>
                <w:color w:val="3E3935"/>
              </w:rPr>
              <w:t> </w:t>
            </w:r>
          </w:p>
        </w:tc>
        <w:tc>
          <w:tcPr>
            <w:tcW w:w="484" w:type="dxa"/>
            <w:tcBorders/>
            <w:shd w:fill="CCF2F8" w:val="clear"/>
            <w:vAlign w:val="center"/>
          </w:tcPr>
          <w:p>
            <w:pPr>
              <w:pStyle w:val="TableContents"/>
              <w:bidi w:val="0"/>
              <w:spacing w:before="0" w:after="283"/>
              <w:jc w:val="right"/>
              <w:rPr>
                <w:color w:val="3E3935"/>
              </w:rPr>
            </w:pPr>
            <w:r>
              <w:rPr>
                <w:color w:val="3E3935"/>
              </w:rPr>
              <w:t>125</w:t>
            </w:r>
          </w:p>
        </w:tc>
        <w:tc>
          <w:tcPr>
            <w:tcW w:w="275"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1,250,000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5" w:type="dxa"/>
            <w:tcBorders/>
            <w:shd w:fill="CCF2F8" w:val="clear"/>
            <w:vAlign w:val="center"/>
          </w:tcPr>
          <w:p>
            <w:pPr>
              <w:pStyle w:val="TableContents"/>
              <w:bidi w:val="0"/>
              <w:spacing w:before="0" w:after="283"/>
              <w:jc w:val="left"/>
              <w:rPr>
                <w:color w:val="3E3935"/>
              </w:rPr>
            </w:pPr>
            <w:r>
              <w:rPr>
                <w:color w:val="3E3935"/>
              </w:rPr>
              <w:t> </w:t>
            </w:r>
          </w:p>
        </w:tc>
        <w:tc>
          <w:tcPr>
            <w:tcW w:w="1405" w:type="dxa"/>
            <w:tcBorders/>
            <w:shd w:fill="CCF2F8" w:val="clear"/>
            <w:vAlign w:val="center"/>
          </w:tcPr>
          <w:p>
            <w:pPr>
              <w:pStyle w:val="TableContents"/>
              <w:bidi w:val="0"/>
              <w:spacing w:before="0" w:after="283"/>
              <w:jc w:val="right"/>
              <w:rPr>
                <w:b/>
                <w:color w:val="3E3935"/>
              </w:rPr>
            </w:pPr>
            <w:r>
              <w:rPr>
                <w:b/>
                <w:color w:val="3E3935"/>
              </w:rPr>
              <w:t>2,250,000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6,187,500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2,062,500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77" w:type="dxa"/>
            <w:tcBorders/>
            <w:shd w:fill="CCF2F8" w:val="clear"/>
            <w:vAlign w:val="center"/>
          </w:tcPr>
          <w:p>
            <w:pPr>
              <w:pStyle w:val="TableContents"/>
              <w:bidi w:val="0"/>
              <w:spacing w:before="0" w:after="283"/>
              <w:jc w:val="left"/>
              <w:rPr>
                <w:color w:val="3E3935"/>
              </w:rPr>
            </w:pPr>
            <w:r>
              <w:rPr>
                <w:color w:val="3E3935"/>
              </w:rPr>
              <w:t> </w:t>
            </w:r>
          </w:p>
        </w:tc>
        <w:tc>
          <w:tcPr>
            <w:tcW w:w="1413" w:type="dxa"/>
            <w:tcBorders/>
            <w:shd w:fill="CCF2F8" w:val="clear"/>
            <w:vAlign w:val="center"/>
          </w:tcPr>
          <w:p>
            <w:pPr>
              <w:pStyle w:val="TableContents"/>
              <w:bidi w:val="0"/>
              <w:spacing w:before="0" w:after="283"/>
              <w:jc w:val="right"/>
              <w:rPr>
                <w:b/>
                <w:color w:val="3E3935"/>
              </w:rPr>
            </w:pPr>
            <w:r>
              <w:rPr>
                <w:b/>
                <w:color w:val="3E3935"/>
              </w:rPr>
              <w:t>10,500,000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9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89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L. Reuss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1,350,000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484" w:type="dxa"/>
            <w:tcBorders/>
            <w:vAlign w:val="center"/>
          </w:tcPr>
          <w:p>
            <w:pPr>
              <w:pStyle w:val="TableContents"/>
              <w:bidi w:val="0"/>
              <w:spacing w:before="0" w:after="283"/>
              <w:jc w:val="right"/>
              <w:rPr>
                <w:color w:val="3E3935"/>
              </w:rPr>
            </w:pPr>
            <w:r>
              <w:rPr>
                <w:color w:val="3E3935"/>
              </w:rPr>
              <w:t>125</w:t>
            </w:r>
          </w:p>
        </w:tc>
        <w:tc>
          <w:tcPr>
            <w:tcW w:w="275"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1,687,500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color w:val="3E3935"/>
              </w:rPr>
            </w:pPr>
            <w:r>
              <w:rPr>
                <w:color w:val="3E3935"/>
              </w:rPr>
              <w:t> </w:t>
            </w:r>
          </w:p>
        </w:tc>
        <w:tc>
          <w:tcPr>
            <w:tcW w:w="1405" w:type="dxa"/>
            <w:tcBorders/>
            <w:vAlign w:val="center"/>
          </w:tcPr>
          <w:p>
            <w:pPr>
              <w:pStyle w:val="TableContents"/>
              <w:bidi w:val="0"/>
              <w:spacing w:before="0" w:after="283"/>
              <w:jc w:val="right"/>
              <w:rPr>
                <w:b/>
                <w:color w:val="3E3935"/>
              </w:rPr>
            </w:pPr>
            <w:r>
              <w:rPr>
                <w:b/>
                <w:color w:val="3E3935"/>
              </w:rPr>
              <w:t>3,037,500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10,471,875</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3,490,625</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color w:val="3E3935"/>
              </w:rPr>
            </w:pPr>
            <w:r>
              <w:rPr>
                <w:color w:val="3E3935"/>
              </w:rPr>
              <w:t> </w:t>
            </w:r>
          </w:p>
        </w:tc>
        <w:tc>
          <w:tcPr>
            <w:tcW w:w="1413" w:type="dxa"/>
            <w:tcBorders/>
            <w:vAlign w:val="center"/>
          </w:tcPr>
          <w:p>
            <w:pPr>
              <w:pStyle w:val="TableContents"/>
              <w:bidi w:val="0"/>
              <w:spacing w:before="0" w:after="283"/>
              <w:jc w:val="right"/>
              <w:rPr>
                <w:b/>
                <w:color w:val="3E3935"/>
              </w:rPr>
            </w:pPr>
            <w:r>
              <w:rPr>
                <w:b/>
                <w:color w:val="3E3935"/>
              </w:rPr>
              <w:t>17,000,000</w:t>
            </w:r>
          </w:p>
        </w:tc>
        <w:tc>
          <w:tcPr>
            <w:tcW w:w="75" w:type="dxa"/>
            <w:tcBorders/>
            <w:vAlign w:val="center"/>
          </w:tcPr>
          <w:p>
            <w:pPr>
              <w:pStyle w:val="TableContents"/>
              <w:bidi w:val="0"/>
              <w:spacing w:before="0" w:after="283"/>
              <w:jc w:val="left"/>
              <w:rPr>
                <w:color w:val="3E3935"/>
              </w:rPr>
            </w:pPr>
            <w:r>
              <w:rPr>
                <w:color w:val="3E3935"/>
              </w:rPr>
              <w:t> </w:t>
            </w:r>
          </w:p>
        </w:tc>
      </w:tr>
      <w:tr>
        <w:trPr/>
        <w:tc>
          <w:tcPr>
            <w:tcW w:w="895" w:type="dxa"/>
            <w:tcBorders/>
            <w:shd w:fill="CCF2F8" w:val="clear"/>
            <w:vAlign w:val="center"/>
          </w:tcPr>
          <w:p>
            <w:pPr>
              <w:pStyle w:val="TableContents"/>
              <w:bidi w:val="0"/>
              <w:spacing w:before="0" w:after="283"/>
              <w:jc w:val="left"/>
              <w:rPr>
                <w:sz w:val="4"/>
                <w:szCs w:val="4"/>
              </w:rPr>
            </w:pPr>
            <w:r>
              <w:rPr>
                <w:sz w:val="4"/>
                <w:szCs w:val="4"/>
              </w:rPr>
            </w:r>
          </w:p>
        </w:tc>
        <w:tc>
          <w:tcPr>
            <w:tcW w:w="1220" w:type="dxa"/>
            <w:gridSpan w:val="4"/>
            <w:tcBorders/>
            <w:shd w:fill="CCF2F8" w:val="clear"/>
            <w:vAlign w:val="center"/>
          </w:tcPr>
          <w:p>
            <w:pPr>
              <w:pStyle w:val="TableContents"/>
              <w:bidi w:val="0"/>
              <w:spacing w:before="0" w:after="283"/>
              <w:jc w:val="left"/>
              <w:rPr>
                <w:sz w:val="4"/>
                <w:szCs w:val="4"/>
              </w:rPr>
            </w:pPr>
            <w:r>
              <w:rPr>
                <w:sz w:val="4"/>
                <w:szCs w:val="4"/>
              </w:rPr>
            </w:r>
          </w:p>
        </w:tc>
        <w:tc>
          <w:tcPr>
            <w:tcW w:w="955" w:type="dxa"/>
            <w:gridSpan w:val="4"/>
            <w:tcBorders/>
            <w:shd w:fill="CCF2F8" w:val="clear"/>
            <w:vAlign w:val="center"/>
          </w:tcPr>
          <w:p>
            <w:pPr>
              <w:pStyle w:val="TableContents"/>
              <w:bidi w:val="0"/>
              <w:spacing w:before="0" w:after="283"/>
              <w:jc w:val="left"/>
              <w:rPr>
                <w:sz w:val="4"/>
                <w:szCs w:val="4"/>
              </w:rPr>
            </w:pPr>
            <w:r>
              <w:rPr>
                <w:sz w:val="4"/>
                <w:szCs w:val="4"/>
              </w:rPr>
            </w:r>
          </w:p>
        </w:tc>
        <w:tc>
          <w:tcPr>
            <w:tcW w:w="1220" w:type="dxa"/>
            <w:gridSpan w:val="4"/>
            <w:tcBorders/>
            <w:shd w:fill="CCF2F8" w:val="clear"/>
            <w:vAlign w:val="center"/>
          </w:tcPr>
          <w:p>
            <w:pPr>
              <w:pStyle w:val="TableContents"/>
              <w:bidi w:val="0"/>
              <w:spacing w:before="0" w:after="283"/>
              <w:jc w:val="left"/>
              <w:rPr>
                <w:sz w:val="4"/>
                <w:szCs w:val="4"/>
              </w:rPr>
            </w:pPr>
            <w:r>
              <w:rPr>
                <w:sz w:val="4"/>
                <w:szCs w:val="4"/>
              </w:rPr>
            </w:r>
          </w:p>
        </w:tc>
        <w:tc>
          <w:tcPr>
            <w:tcW w:w="1670" w:type="dxa"/>
            <w:gridSpan w:val="4"/>
            <w:tcBorders/>
            <w:shd w:fill="CCF2F8" w:val="clear"/>
            <w:vAlign w:val="center"/>
          </w:tcPr>
          <w:p>
            <w:pPr>
              <w:pStyle w:val="TableContents"/>
              <w:bidi w:val="0"/>
              <w:spacing w:before="0" w:after="283"/>
              <w:jc w:val="left"/>
              <w:rPr>
                <w:sz w:val="4"/>
                <w:szCs w:val="4"/>
              </w:rPr>
            </w:pPr>
            <w:r>
              <w:rPr>
                <w:sz w:val="4"/>
                <w:szCs w:val="4"/>
              </w:rPr>
            </w:r>
          </w:p>
        </w:tc>
        <w:tc>
          <w:tcPr>
            <w:tcW w:w="1340" w:type="dxa"/>
            <w:gridSpan w:val="4"/>
            <w:tcBorders/>
            <w:shd w:fill="CCF2F8" w:val="clear"/>
            <w:vAlign w:val="center"/>
          </w:tcPr>
          <w:p>
            <w:pPr>
              <w:pStyle w:val="TableContents"/>
              <w:bidi w:val="0"/>
              <w:spacing w:before="0" w:after="283"/>
              <w:jc w:val="left"/>
              <w:rPr>
                <w:sz w:val="4"/>
                <w:szCs w:val="4"/>
              </w:rPr>
            </w:pPr>
            <w:r>
              <w:rPr>
                <w:sz w:val="4"/>
                <w:szCs w:val="4"/>
              </w:rPr>
            </w:r>
          </w:p>
        </w:tc>
        <w:tc>
          <w:tcPr>
            <w:tcW w:w="1220" w:type="dxa"/>
            <w:gridSpan w:val="4"/>
            <w:tcBorders/>
            <w:shd w:fill="CCF2F8" w:val="clear"/>
            <w:vAlign w:val="center"/>
          </w:tcPr>
          <w:p>
            <w:pPr>
              <w:pStyle w:val="TableContents"/>
              <w:bidi w:val="0"/>
              <w:spacing w:before="0" w:after="283"/>
              <w:jc w:val="left"/>
              <w:rPr>
                <w:sz w:val="4"/>
                <w:szCs w:val="4"/>
              </w:rPr>
            </w:pPr>
            <w:r>
              <w:rPr>
                <w:sz w:val="4"/>
                <w:szCs w:val="4"/>
              </w:rPr>
            </w:r>
          </w:p>
        </w:tc>
        <w:tc>
          <w:tcPr>
            <w:tcW w:w="16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9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Michael Abbott(2)</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800,000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color w:val="3E3935"/>
              </w:rPr>
            </w:pPr>
            <w:r>
              <w:rPr>
                <w:color w:val="3E3935"/>
              </w:rPr>
              <w:t> </w:t>
            </w:r>
          </w:p>
        </w:tc>
        <w:tc>
          <w:tcPr>
            <w:tcW w:w="484" w:type="dxa"/>
            <w:tcBorders/>
            <w:shd w:fill="CCF2F8" w:val="clear"/>
            <w:vAlign w:val="center"/>
          </w:tcPr>
          <w:p>
            <w:pPr>
              <w:pStyle w:val="TableContents"/>
              <w:bidi w:val="0"/>
              <w:spacing w:before="0" w:after="283"/>
              <w:jc w:val="right"/>
              <w:rPr>
                <w:color w:val="3E3935"/>
              </w:rPr>
            </w:pPr>
            <w:r>
              <w:rPr>
                <w:color w:val="3E3935"/>
              </w:rPr>
              <w:t>125</w:t>
            </w:r>
          </w:p>
        </w:tc>
        <w:tc>
          <w:tcPr>
            <w:tcW w:w="275"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1,000,000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5" w:type="dxa"/>
            <w:tcBorders/>
            <w:shd w:fill="CCF2F8" w:val="clear"/>
            <w:vAlign w:val="center"/>
          </w:tcPr>
          <w:p>
            <w:pPr>
              <w:pStyle w:val="TableContents"/>
              <w:bidi w:val="0"/>
              <w:spacing w:before="0" w:after="283"/>
              <w:jc w:val="left"/>
              <w:rPr>
                <w:color w:val="3E3935"/>
              </w:rPr>
            </w:pPr>
            <w:r>
              <w:rPr>
                <w:color w:val="3E3935"/>
              </w:rPr>
              <w:t> </w:t>
            </w:r>
          </w:p>
        </w:tc>
        <w:tc>
          <w:tcPr>
            <w:tcW w:w="1405" w:type="dxa"/>
            <w:tcBorders/>
            <w:shd w:fill="CCF2F8" w:val="clear"/>
            <w:vAlign w:val="center"/>
          </w:tcPr>
          <w:p>
            <w:pPr>
              <w:pStyle w:val="TableContents"/>
              <w:bidi w:val="0"/>
              <w:spacing w:before="0" w:after="283"/>
              <w:jc w:val="right"/>
              <w:rPr>
                <w:b/>
                <w:color w:val="3E3935"/>
              </w:rPr>
            </w:pPr>
            <w:r>
              <w:rPr>
                <w:b/>
                <w:color w:val="3E3935"/>
              </w:rPr>
              <w:t>1,800,000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7,650,000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2,550,000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77" w:type="dxa"/>
            <w:tcBorders/>
            <w:shd w:fill="CCF2F8" w:val="clear"/>
            <w:vAlign w:val="center"/>
          </w:tcPr>
          <w:p>
            <w:pPr>
              <w:pStyle w:val="TableContents"/>
              <w:bidi w:val="0"/>
              <w:spacing w:before="0" w:after="283"/>
              <w:jc w:val="left"/>
              <w:rPr>
                <w:color w:val="3E3935"/>
              </w:rPr>
            </w:pPr>
            <w:r>
              <w:rPr>
                <w:color w:val="3E3935"/>
              </w:rPr>
              <w:t> </w:t>
            </w:r>
          </w:p>
        </w:tc>
        <w:tc>
          <w:tcPr>
            <w:tcW w:w="1413" w:type="dxa"/>
            <w:tcBorders/>
            <w:shd w:fill="CCF2F8" w:val="clear"/>
            <w:vAlign w:val="center"/>
          </w:tcPr>
          <w:p>
            <w:pPr>
              <w:pStyle w:val="TableContents"/>
              <w:bidi w:val="0"/>
              <w:spacing w:before="0" w:after="283"/>
              <w:jc w:val="right"/>
              <w:rPr>
                <w:b/>
                <w:color w:val="3E3935"/>
              </w:rPr>
            </w:pPr>
            <w:r>
              <w:rPr>
                <w:b/>
                <w:color w:val="3E3935"/>
              </w:rPr>
              <w:t>12,000,000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9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895" w:type="dxa"/>
            <w:tcBorders>
              <w:bottom w:val="single" w:sz="6" w:space="0" w:color="0071CE"/>
            </w:tcBorders>
            <w:tcMar>
              <w:bottom w:w="8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Craig B. Glidden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98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1,100,000</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6"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484"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125</w:t>
            </w:r>
          </w:p>
        </w:tc>
        <w:tc>
          <w:tcPr>
            <w:tcW w:w="27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98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1,375,000</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405" w:type="dxa"/>
            <w:tcBorders>
              <w:bottom w:val="single" w:sz="6" w:space="0" w:color="0071CE"/>
            </w:tcBorders>
            <w:tcMar>
              <w:bottom w:w="80" w:type="dxa"/>
            </w:tcMar>
            <w:vAlign w:val="center"/>
          </w:tcPr>
          <w:p>
            <w:pPr>
              <w:pStyle w:val="TableContents"/>
              <w:bidi w:val="0"/>
              <w:spacing w:before="0" w:after="283"/>
              <w:jc w:val="right"/>
              <w:rPr>
                <w:b/>
                <w:color w:val="3E3935"/>
              </w:rPr>
            </w:pPr>
            <w:r>
              <w:rPr>
                <w:b/>
                <w:color w:val="3E3935"/>
              </w:rPr>
              <w:t>2,475,000</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10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4,898,400</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98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1,632,800</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7"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413" w:type="dxa"/>
            <w:tcBorders>
              <w:bottom w:val="single" w:sz="6" w:space="0" w:color="0071CE"/>
            </w:tcBorders>
            <w:tcMar>
              <w:bottom w:w="80" w:type="dxa"/>
            </w:tcMar>
            <w:vAlign w:val="center"/>
          </w:tcPr>
          <w:p>
            <w:pPr>
              <w:pStyle w:val="TableContents"/>
              <w:bidi w:val="0"/>
              <w:spacing w:before="0" w:after="283"/>
              <w:jc w:val="right"/>
              <w:rPr>
                <w:b/>
                <w:color w:val="3E3935"/>
              </w:rPr>
            </w:pPr>
            <w:r>
              <w:rPr>
                <w:b/>
                <w:color w:val="3E3935"/>
              </w:rPr>
              <w:t>9,006,200</w:t>
            </w:r>
          </w:p>
        </w:tc>
        <w:tc>
          <w:tcPr>
            <w:tcW w:w="7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color w:val="3E3935"/>
              </w:rPr>
            </w:pPr>
            <w:r>
              <w:rPr>
                <w:color w:val="3E3935"/>
              </w:rPr>
              <w:t>(1)</w:t>
            </w:r>
          </w:p>
        </w:tc>
        <w:tc>
          <w:tcPr>
            <w:tcW w:w="994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number of PSUs awarded is determined by using the target PSU value divided by the closing stock price on the date of grant for the EBIT-adjusted Margin and EV Measures portions of the award, and the results of the Monte Carlo analysis for the Relative TSR portion of the award.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color w:val="3E3935"/>
              </w:rPr>
            </w:pPr>
            <w:r>
              <w:rPr>
                <w:color w:val="3E3935"/>
              </w:rPr>
              <w:t>(2)</w:t>
            </w:r>
          </w:p>
        </w:tc>
        <w:tc>
          <w:tcPr>
            <w:tcW w:w="9946"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As discussed on page 60, Mr. Abbott was awarded a new hire equity grant in the form of RSUs to align his compensation in the year of hire with his target compensation levels approved by the Compensation Committee. Upon Mr. Abbott’s resignation described on page 60, the entirety of the new hire equity award was subsequently forfeited. </w:t>
            </w:r>
          </w:p>
        </w:tc>
      </w:tr>
    </w:tbl>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51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Perquisites and Other Compensation </w:t>
      </w:r>
    </w:p>
    <w:p>
      <w:pPr>
        <w:pStyle w:val="TextBody"/>
        <w:bidi w:val="0"/>
        <w:spacing w:before="120" w:after="0"/>
        <w:jc w:val="both"/>
        <w:rPr>
          <w:rFonts w:ascii="arial" w:hAnsi="arial"/>
          <w:color w:val="3E3935"/>
          <w:sz w:val="18"/>
        </w:rPr>
      </w:pPr>
      <w:r>
        <w:rPr>
          <w:rFonts w:ascii="arial" w:hAnsi="arial"/>
          <w:color w:val="3E3935"/>
          <w:sz w:val="18"/>
        </w:rPr>
        <w:t xml:space="preserve">We provide perquisites and other compensation to our NEOs consistent with market practices. The following perquisites and other compensation were provided in 2023: </w:t>
      </w:r>
    </w:p>
    <w:p>
      <w:pPr>
        <w:pStyle w:val="TextBody"/>
        <w:bidi w:val="0"/>
        <w:spacing w:before="120" w:after="0"/>
        <w:jc w:val="both"/>
        <w:rPr>
          <w:rFonts w:ascii="arial" w:hAnsi="arial"/>
          <w:sz w:val="18"/>
        </w:rPr>
      </w:pPr>
      <w:r>
        <w:rPr>
          <w:rFonts w:ascii="arial" w:hAnsi="arial"/>
          <w:b/>
          <w:color w:val="0071CE"/>
          <w:sz w:val="18"/>
        </w:rPr>
        <w:t>Personal Air Travel</w:t>
      </w:r>
      <w:r>
        <w:rPr>
          <w:rFonts w:ascii="arial" w:hAnsi="arial"/>
          <w:color w:val="3E3935"/>
          <w:sz w:val="18"/>
        </w:rPr>
        <w:t xml:space="preserve"> – Due to security reasons identified by an independent, third-party security consultant, Company policy prohibits Ms. Barra from using commercial air travel for business or personal use. As a result, the Company pays the costs associated with both business and personal use of aircraft. Other NEOs may travel on company aircraft in certain circumstances with prior approval from the CEO or the Senior Vice President and Chief People Officer. All NEOs, including our CEO, incur imputed income when aircraft is used for personal travel and do not receive any tax gross-up payments. Aircraft travel by NEOs for an annual executive physical through the Executive Physical Program is included under Personal Travel in the “Perquisites and Other Personal Benefits” table. Certain NEOs, including our CEO, have personal travel caps and may be eligible for reimbursement of personal travel pursuant to time-sharing agreements that the Company may enter into from time-to-time, subject to Federal Aviation Administration regulations. </w:t>
      </w:r>
    </w:p>
    <w:p>
      <w:pPr>
        <w:pStyle w:val="TextBody"/>
        <w:bidi w:val="0"/>
        <w:spacing w:before="120" w:after="0"/>
        <w:jc w:val="both"/>
        <w:rPr>
          <w:rFonts w:ascii="arial" w:hAnsi="arial"/>
          <w:sz w:val="18"/>
        </w:rPr>
      </w:pPr>
      <w:r>
        <w:rPr>
          <w:rFonts w:ascii="arial" w:hAnsi="arial"/>
          <w:b/>
          <w:color w:val="0071CE"/>
          <w:sz w:val="18"/>
        </w:rPr>
        <w:t>Security</w:t>
      </w:r>
      <w:r>
        <w:rPr>
          <w:rFonts w:ascii="arial" w:hAnsi="arial"/>
          <w:color w:val="3E3935"/>
          <w:sz w:val="18"/>
        </w:rPr>
        <w:t xml:space="preserve"> – NEOs may receive security services, including home security systems and monitoring, for specific security-related reasons identified by an independent, third-party security consultant or our security team. We maintain security staff to help provide all employees with a safe and secure environment, which aligns to and reinforces our safety culture. </w:t>
      </w:r>
    </w:p>
    <w:p>
      <w:pPr>
        <w:pStyle w:val="TextBody"/>
        <w:bidi w:val="0"/>
        <w:spacing w:before="120" w:after="0"/>
        <w:jc w:val="both"/>
        <w:rPr>
          <w:rFonts w:ascii="arial" w:hAnsi="arial"/>
          <w:sz w:val="18"/>
        </w:rPr>
      </w:pPr>
      <w:r>
        <w:rPr>
          <w:rFonts w:ascii="arial" w:hAnsi="arial"/>
          <w:b/>
          <w:color w:val="0071CE"/>
          <w:sz w:val="18"/>
        </w:rPr>
        <w:t>Company Vehicle Programs</w:t>
      </w:r>
      <w:r>
        <w:rPr>
          <w:rFonts w:ascii="arial" w:hAnsi="arial"/>
          <w:color w:val="3E3935"/>
          <w:sz w:val="18"/>
        </w:rPr>
        <w:t xml:space="preserve"> – NEOs are eligible to participate in the Executive Company Vehicle Program and may use evaluation vehicles for the purpose of providing feedback on Company products. In addition, NEOs are eligible to use driver services provided by the Company in accordance with Company policies. </w:t>
      </w:r>
    </w:p>
    <w:p>
      <w:pPr>
        <w:pStyle w:val="TextBody"/>
        <w:bidi w:val="0"/>
        <w:spacing w:before="120" w:after="0"/>
        <w:jc w:val="both"/>
        <w:rPr>
          <w:rFonts w:ascii="arial" w:hAnsi="arial"/>
          <w:sz w:val="18"/>
        </w:rPr>
      </w:pPr>
      <w:r>
        <w:rPr>
          <w:rFonts w:ascii="arial" w:hAnsi="arial"/>
          <w:b/>
          <w:color w:val="0071CE"/>
          <w:sz w:val="18"/>
        </w:rPr>
        <w:t>Executive Physicals</w:t>
      </w:r>
      <w:r>
        <w:rPr>
          <w:rFonts w:ascii="arial" w:hAnsi="arial"/>
          <w:color w:val="3E3935"/>
          <w:sz w:val="18"/>
        </w:rPr>
        <w:t xml:space="preserve"> – The health and wellness of our workforce is a priority, and all employees are encouraged to complete an annual physical. NEOs are eligible to receive a comprehensive wellness examination with an approved provider. The cost of meals, lodging, commercial air travel, and ground transportation for NEOs who traveled for an annual executive physical through the Executive Physical Program is included under Executive Physicals in the “Perquisites and Other Personal Benefits” table. These wellness visits promote employee well-being and enable employees to take appropriate steps in the event of illness or a medical condition that may impact their ability to perform their duties. </w:t>
      </w:r>
    </w:p>
    <w:p>
      <w:pPr>
        <w:pStyle w:val="TextBody"/>
        <w:bidi w:val="0"/>
        <w:spacing w:before="120" w:after="0"/>
        <w:jc w:val="both"/>
        <w:rPr>
          <w:rFonts w:ascii="arial" w:hAnsi="arial"/>
          <w:sz w:val="18"/>
        </w:rPr>
      </w:pPr>
      <w:r>
        <w:rPr>
          <w:rFonts w:ascii="arial" w:hAnsi="arial"/>
          <w:b/>
          <w:color w:val="0071CE"/>
          <w:sz w:val="18"/>
        </w:rPr>
        <w:t>Financial Counseling</w:t>
      </w:r>
      <w:r>
        <w:rPr>
          <w:rFonts w:ascii="arial" w:hAnsi="arial"/>
          <w:color w:val="3E3935"/>
          <w:sz w:val="18"/>
        </w:rPr>
        <w:t xml:space="preserve"> – NEOs are eligible to receive financial counseling, estate planning, and tax preparation services through an approved provider. These services allow our NEOs to focus on Company business and ensure accurate personal tax reporting. </w:t>
      </w:r>
    </w:p>
    <w:p>
      <w:pPr>
        <w:pStyle w:val="TextBody"/>
        <w:bidi w:val="0"/>
        <w:spacing w:before="360" w:after="0"/>
        <w:jc w:val="left"/>
        <w:rPr>
          <w:rFonts w:ascii="arial" w:hAnsi="arial"/>
          <w:b/>
          <w:color w:val="0071CE"/>
          <w:sz w:val="28"/>
        </w:rPr>
      </w:pPr>
      <w:bookmarkStart w:id="28" w:name="toc648661_26"/>
      <w:bookmarkEnd w:id="28"/>
      <w:r>
        <w:rPr>
          <w:rFonts w:ascii="arial" w:hAnsi="arial"/>
          <w:b/>
          <w:color w:val="0071CE"/>
          <w:sz w:val="28"/>
        </w:rPr>
        <w:t xml:space="preserve">Performance Measures </w:t>
      </w:r>
    </w:p>
    <w:p>
      <w:pPr>
        <w:pStyle w:val="TextBody"/>
        <w:bidi w:val="0"/>
        <w:spacing w:before="360" w:after="0"/>
        <w:jc w:val="left"/>
        <w:rPr>
          <w:rFonts w:ascii="arial" w:hAnsi="arial"/>
          <w:b/>
          <w:color w:val="3E3935"/>
          <w:sz w:val="26"/>
        </w:rPr>
      </w:pPr>
      <w:r>
        <w:rPr>
          <w:rFonts w:ascii="arial" w:hAnsi="arial"/>
          <w:b/>
          <w:color w:val="3E3935"/>
          <w:sz w:val="26"/>
        </w:rPr>
        <w:t xml:space="preserve">How We Set Performance Targets </w:t>
      </w:r>
    </w:p>
    <w:p>
      <w:pPr>
        <w:pStyle w:val="TextBody"/>
        <w:bidi w:val="0"/>
        <w:spacing w:before="120" w:after="0"/>
        <w:jc w:val="both"/>
        <w:rPr>
          <w:rFonts w:ascii="arial" w:hAnsi="arial"/>
          <w:color w:val="3E3935"/>
          <w:sz w:val="18"/>
        </w:rPr>
      </w:pPr>
      <w:r>
        <w:rPr>
          <w:rFonts w:ascii="arial" w:hAnsi="arial"/>
          <w:color w:val="3E3935"/>
          <w:sz w:val="18"/>
        </w:rPr>
        <w:t xml:space="preserve">The Compensation Committee approves the performance measures for the STIP and LTIP annually. The Compensation Committee reviews recommendations from management, receives input from its independent compensation consultant, evaluates the Company’s annual budget and long-term business plan, and reviews prior year performance to approve value-creating goals tied to long-term shareholder value. The 2023 STIP and LTIP performance measures are discussed below. For the 2024 STIP and LTIP, the Compensation Committee aligned target payout to the Company’s business plan approved by the Board. Maximum payout was set at what was assessed to be top quartile performance, and threshold payout was set at what the Compensation Committee believed to be a reasonable risk-based downside to the plan. </w:t>
      </w:r>
    </w:p>
    <w:p>
      <w:pPr>
        <w:pStyle w:val="TextBody"/>
        <w:bidi w:val="0"/>
        <w:spacing w:before="360" w:after="0"/>
        <w:jc w:val="left"/>
        <w:rPr>
          <w:rFonts w:ascii="arial" w:hAnsi="arial"/>
          <w:b/>
          <w:color w:val="3E3935"/>
          <w:sz w:val="26"/>
        </w:rPr>
      </w:pPr>
      <w:r>
        <w:rPr>
          <w:rFonts w:ascii="arial" w:hAnsi="arial"/>
          <w:b/>
          <w:color w:val="3E3935"/>
          <w:sz w:val="26"/>
        </w:rPr>
        <w:t xml:space="preserve">2023 STIP Performance Measures </w:t>
      </w:r>
    </w:p>
    <w:p>
      <w:pPr>
        <w:pStyle w:val="TextBody"/>
        <w:bidi w:val="0"/>
        <w:spacing w:before="120" w:after="0"/>
        <w:jc w:val="both"/>
        <w:rPr>
          <w:rFonts w:ascii="arial" w:hAnsi="arial"/>
          <w:color w:val="3E3935"/>
          <w:sz w:val="18"/>
        </w:rPr>
      </w:pPr>
      <w:r>
        <w:rPr>
          <w:rFonts w:ascii="arial" w:hAnsi="arial"/>
          <w:color w:val="3E3935"/>
          <w:sz w:val="18"/>
        </w:rPr>
        <w:t xml:space="preserve">STIP performance measures are linked to the Company’s annual financial goals and strategic goals that drive our long-term strategy. The Compensation Committee annually reviews and approves STIP performance measures that align with our shareholders’ interests. </w:t>
      </w:r>
    </w:p>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52</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3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9" descr=""/>
                          <pic:cNvPicPr>
                            <a:picLocks noChangeAspect="1" noChangeArrowheads="1"/>
                          </pic:cNvPicPr>
                        </pic:nvPicPr>
                        <pic:blipFill>
                          <a:blip r:embed="rId228"/>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STIP awards, if any, are determined based on final Company financial performance and the Compensation Committee’s assessment of performance to strategic goals for each NEO. 2023 STIP targets were aligned to the Company’s business plan, which is reviewed and approved by the Board each year. The Compensation Committee set the 2023 STIP targets for EBIT-adjusted and AAFCF below the prior year’s results due to (i) moderation in the pricing environment based on industry supply normalization and softening overall macroeconomic conditions; (ii) normalization of GM Financial EBT performance; (iii) lower pension income driven by increasing interest rates; and (iv) increased investment in EVs and growth initiatives. The table below describes each STIP performance measure – its weight, its target, and the leadership behavior each measure drives.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0"/>
        <w:gridCol w:w="120"/>
        <w:gridCol w:w="755"/>
        <w:gridCol w:w="120"/>
        <w:gridCol w:w="710"/>
        <w:gridCol w:w="60"/>
        <w:gridCol w:w="6050"/>
      </w:tblGrid>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0" w:type="dxa"/>
            <w:tcBorders/>
            <w:vAlign w:val="center"/>
          </w:tcPr>
          <w:p>
            <w:pPr>
              <w:pStyle w:val="TableContents"/>
              <w:bidi w:val="0"/>
              <w:spacing w:before="0" w:after="283"/>
              <w:jc w:val="left"/>
              <w:rPr>
                <w:sz w:val="4"/>
                <w:szCs w:val="4"/>
              </w:rPr>
            </w:pPr>
            <w:r>
              <w:rPr>
                <w:sz w:val="4"/>
                <w:szCs w:val="4"/>
              </w:rPr>
            </w:r>
          </w:p>
        </w:tc>
      </w:tr>
      <w:tr>
        <w:trPr/>
        <w:tc>
          <w:tcPr>
            <w:tcW w:w="239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STIP Performance Measure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55"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Weight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10"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Target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50"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Leadership Behaviors</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611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EBIT-adjusted ($B)(1)</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color w:val="3E3935"/>
              </w:rPr>
            </w:pPr>
            <w:r>
              <w:rPr>
                <w:color w:val="3E3935"/>
              </w:rPr>
              <w:t>50%</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color w:val="3E3935"/>
              </w:rPr>
            </w:pPr>
            <w:r>
              <w:rPr>
                <w:color w:val="3E3935"/>
              </w:rPr>
              <w:t>$14.4</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color w:val="3E3935"/>
              </w:rPr>
            </w:pPr>
            <w:r>
              <w:rPr>
                <w:color w:val="3E3935"/>
              </w:rPr>
              <w:t>Focus on operating results and driving strong profitability</w:t>
            </w:r>
          </w:p>
        </w:tc>
      </w:tr>
      <w:tr>
        <w:trPr/>
        <w:tc>
          <w:tcPr>
            <w:tcW w:w="2390" w:type="dxa"/>
            <w:tcBorders/>
            <w:shd w:fill="CCF2F8" w:val="clear"/>
            <w:vAlign w:val="center"/>
          </w:tcPr>
          <w:p>
            <w:pPr>
              <w:pStyle w:val="TableContents"/>
              <w:bidi w:val="0"/>
              <w:spacing w:before="0" w:after="283"/>
              <w:jc w:val="left"/>
              <w:rPr>
                <w:sz w:val="4"/>
                <w:szCs w:val="4"/>
              </w:rPr>
            </w:pPr>
            <w:r>
              <w:rPr>
                <w:sz w:val="4"/>
                <w:szCs w:val="4"/>
              </w:rPr>
            </w:r>
          </w:p>
        </w:tc>
        <w:tc>
          <w:tcPr>
            <w:tcW w:w="875" w:type="dxa"/>
            <w:gridSpan w:val="2"/>
            <w:tcBorders/>
            <w:shd w:fill="CCF2F8" w:val="clear"/>
            <w:vAlign w:val="center"/>
          </w:tcPr>
          <w:p>
            <w:pPr>
              <w:pStyle w:val="TableContents"/>
              <w:bidi w:val="0"/>
              <w:spacing w:before="0" w:after="283"/>
              <w:jc w:val="left"/>
              <w:rPr>
                <w:sz w:val="4"/>
                <w:szCs w:val="4"/>
              </w:rPr>
            </w:pPr>
            <w:r>
              <w:rPr>
                <w:sz w:val="4"/>
                <w:szCs w:val="4"/>
              </w:rPr>
            </w:r>
          </w:p>
        </w:tc>
        <w:tc>
          <w:tcPr>
            <w:tcW w:w="830" w:type="dxa"/>
            <w:gridSpan w:val="2"/>
            <w:tcBorders/>
            <w:shd w:fill="CCF2F8" w:val="clear"/>
            <w:vAlign w:val="center"/>
          </w:tcPr>
          <w:p>
            <w:pPr>
              <w:pStyle w:val="TableContents"/>
              <w:bidi w:val="0"/>
              <w:spacing w:before="0" w:after="283"/>
              <w:jc w:val="left"/>
              <w:rPr>
                <w:sz w:val="4"/>
                <w:szCs w:val="4"/>
              </w:rPr>
            </w:pPr>
            <w:r>
              <w:rPr>
                <w:sz w:val="4"/>
                <w:szCs w:val="4"/>
              </w:rPr>
            </w:r>
          </w:p>
        </w:tc>
        <w:tc>
          <w:tcPr>
            <w:tcW w:w="6110"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39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AAFCF ($B)(2)</w:t>
            </w:r>
          </w:p>
        </w:tc>
        <w:tc>
          <w:tcPr>
            <w:tcW w:w="120" w:type="dxa"/>
            <w:tcBorders/>
            <w:shd w:fill="CCF2F8" w:val="clear"/>
            <w:vAlign w:val="center"/>
          </w:tcPr>
          <w:p>
            <w:pPr>
              <w:pStyle w:val="TableContents"/>
              <w:bidi w:val="0"/>
              <w:spacing w:before="0" w:after="283"/>
              <w:jc w:val="left"/>
              <w:rPr/>
            </w:pPr>
            <w:r>
              <w:rPr/>
              <w:t>  </w:t>
            </w:r>
          </w:p>
        </w:tc>
        <w:tc>
          <w:tcPr>
            <w:tcW w:w="755" w:type="dxa"/>
            <w:tcBorders/>
            <w:shd w:fill="CCF2F8" w:val="clear"/>
            <w:vAlign w:val="center"/>
          </w:tcPr>
          <w:p>
            <w:pPr>
              <w:pStyle w:val="TableContents"/>
              <w:bidi w:val="0"/>
              <w:spacing w:before="0" w:after="283"/>
              <w:jc w:val="center"/>
              <w:rPr>
                <w:color w:val="3E3935"/>
              </w:rPr>
            </w:pPr>
            <w:r>
              <w:rPr>
                <w:color w:val="3E3935"/>
              </w:rPr>
              <w:t>25%</w:t>
            </w:r>
          </w:p>
        </w:tc>
        <w:tc>
          <w:tcPr>
            <w:tcW w:w="120" w:type="dxa"/>
            <w:tcBorders/>
            <w:shd w:fill="CCF2F8" w:val="clear"/>
            <w:vAlign w:val="center"/>
          </w:tcPr>
          <w:p>
            <w:pPr>
              <w:pStyle w:val="TableContents"/>
              <w:bidi w:val="0"/>
              <w:spacing w:before="0" w:after="283"/>
              <w:jc w:val="left"/>
              <w:rPr/>
            </w:pPr>
            <w:r>
              <w:rPr/>
              <w:t>  </w:t>
            </w:r>
          </w:p>
        </w:tc>
        <w:tc>
          <w:tcPr>
            <w:tcW w:w="710" w:type="dxa"/>
            <w:tcBorders/>
            <w:shd w:fill="CCF2F8" w:val="clear"/>
            <w:vAlign w:val="center"/>
          </w:tcPr>
          <w:p>
            <w:pPr>
              <w:pStyle w:val="TableContents"/>
              <w:bidi w:val="0"/>
              <w:spacing w:before="0" w:after="283"/>
              <w:jc w:val="center"/>
              <w:rPr>
                <w:color w:val="3E3935"/>
              </w:rPr>
            </w:pPr>
            <w:r>
              <w:rPr>
                <w:color w:val="3E3935"/>
              </w:rPr>
              <w:t>$6.3</w:t>
            </w:r>
          </w:p>
        </w:tc>
        <w:tc>
          <w:tcPr>
            <w:tcW w:w="60" w:type="dxa"/>
            <w:tcBorders/>
            <w:shd w:fill="CCF2F8" w:val="clear"/>
            <w:vAlign w:val="center"/>
          </w:tcPr>
          <w:p>
            <w:pPr>
              <w:pStyle w:val="TableContents"/>
              <w:bidi w:val="0"/>
              <w:spacing w:before="0" w:after="283"/>
              <w:jc w:val="left"/>
              <w:rPr/>
            </w:pPr>
            <w:r>
              <w:rPr/>
              <w:t> </w:t>
            </w:r>
          </w:p>
        </w:tc>
        <w:tc>
          <w:tcPr>
            <w:tcW w:w="6050" w:type="dxa"/>
            <w:tcBorders/>
            <w:shd w:fill="CCF2F8" w:val="clear"/>
            <w:vAlign w:val="center"/>
          </w:tcPr>
          <w:p>
            <w:pPr>
              <w:pStyle w:val="TableContents"/>
              <w:bidi w:val="0"/>
              <w:spacing w:before="0" w:after="283"/>
              <w:jc w:val="left"/>
              <w:rPr>
                <w:color w:val="3E3935"/>
              </w:rPr>
            </w:pPr>
            <w:r>
              <w:rPr>
                <w:color w:val="3E3935"/>
              </w:rPr>
              <w:t>Focus on driving strong cash flow to invest in the business and returning capital to shareholders</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611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Strategic Goals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55" w:type="dxa"/>
            <w:tcBorders>
              <w:bottom w:val="single" w:sz="6" w:space="0" w:color="0071CE"/>
            </w:tcBorders>
            <w:tcMar>
              <w:bottom w:w="80" w:type="dxa"/>
            </w:tcMar>
            <w:vAlign w:val="center"/>
          </w:tcPr>
          <w:p>
            <w:pPr>
              <w:pStyle w:val="TableContents"/>
              <w:bidi w:val="0"/>
              <w:spacing w:before="0" w:after="283"/>
              <w:jc w:val="center"/>
              <w:rPr>
                <w:color w:val="3E3935"/>
              </w:rPr>
            </w:pPr>
            <w:r>
              <w:rPr>
                <w:color w:val="3E3935"/>
              </w:rPr>
              <w:t>25%</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10" w:type="dxa"/>
            <w:tcBorders>
              <w:bottom w:val="single" w:sz="6" w:space="0" w:color="0071CE"/>
            </w:tcBorders>
            <w:tcMar>
              <w:bottom w:w="80" w:type="dxa"/>
            </w:tcMar>
            <w:vAlign w:val="center"/>
          </w:tcPr>
          <w:p>
            <w:pPr>
              <w:pStyle w:val="TableContents"/>
              <w:bidi w:val="0"/>
              <w:spacing w:before="0" w:after="283"/>
              <w:jc w:val="center"/>
              <w:rPr>
                <w:color w:val="3E3935"/>
              </w:rPr>
            </w:pPr>
            <w:r>
              <w:rPr>
                <w:color w:val="3E3935"/>
              </w:rPr>
              <w:t>25 pts.</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5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Focus on performance that aligns to the Company vision, our broad social responsibilities, and drives business results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color w:val="3E3935"/>
              </w:rPr>
            </w:pPr>
            <w:r>
              <w:rPr>
                <w:color w:val="3E3935"/>
              </w:rPr>
              <w:t>(1)</w:t>
            </w:r>
          </w:p>
        </w:tc>
        <w:tc>
          <w:tcPr>
            <w:tcW w:w="990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Measure adjusted for incentive purposes and excludes the impact of Cruise. For a description of how EBIT-adjusted is calculated, see Appendix A.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3E3935"/>
              </w:rPr>
            </w:pPr>
            <w:r>
              <w:rPr>
                <w:color w:val="3E3935"/>
              </w:rPr>
              <w:t>(2)</w:t>
            </w:r>
          </w:p>
        </w:tc>
        <w:tc>
          <w:tcPr>
            <w:tcW w:w="9926"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Measure adjusted for incentive purposes and excludes payments related to certain recall-related expenses attributable to events occurring in 2014. For a description of how AAFCF is calculated, see Appendix A. </w:t>
            </w:r>
          </w:p>
        </w:tc>
      </w:tr>
    </w:tbl>
    <w:p>
      <w:pPr>
        <w:pStyle w:val="TextBody"/>
        <w:bidi w:val="0"/>
        <w:spacing w:before="120" w:after="0"/>
        <w:jc w:val="both"/>
        <w:rPr>
          <w:rFonts w:ascii="arial" w:hAnsi="arial"/>
          <w:color w:val="3E3935"/>
          <w:sz w:val="18"/>
        </w:rPr>
      </w:pPr>
      <w:r>
        <w:rPr>
          <w:rFonts w:ascii="arial" w:hAnsi="arial"/>
          <w:color w:val="3E3935"/>
          <w:sz w:val="18"/>
        </w:rPr>
        <w:t xml:space="preserve">Strategic goals are approved by the Compensation Committee and align to delivering on our long-term Company strategy and objectives. Strategic goals cover the following five areas: </w:t>
      </w:r>
    </w:p>
    <w:p>
      <w:pPr>
        <w:pStyle w:val="TextBody"/>
        <w:bidi w:val="0"/>
        <w:spacing w:before="120" w:after="0"/>
        <w:jc w:val="both"/>
        <w:rPr>
          <w:rFonts w:ascii="arial" w:hAnsi="arial"/>
          <w:sz w:val="18"/>
        </w:rPr>
      </w:pPr>
      <w:r>
        <w:rPr>
          <w:rFonts w:ascii="arial" w:hAnsi="arial"/>
          <w:b/>
          <w:color w:val="0071CE"/>
          <w:sz w:val="18"/>
        </w:rPr>
        <w:t xml:space="preserve">Our People </w:t>
      </w:r>
      <w:r>
        <w:rPr>
          <w:rFonts w:ascii="arial" w:hAnsi="arial"/>
          <w:color w:val="3E3935"/>
          <w:sz w:val="18"/>
        </w:rPr>
        <w:t xml:space="preserve">– Attracting, retaining, and engaging our people by providing the best employee experience that supports and invests in DE&amp;I, while promoting values and behaviors that return people home safely every day. </w:t>
      </w:r>
    </w:p>
    <w:p>
      <w:pPr>
        <w:pStyle w:val="TextBody"/>
        <w:bidi w:val="0"/>
        <w:spacing w:before="120" w:after="0"/>
        <w:jc w:val="both"/>
        <w:rPr>
          <w:rFonts w:ascii="arial" w:hAnsi="arial"/>
          <w:sz w:val="18"/>
        </w:rPr>
      </w:pPr>
      <w:r>
        <w:rPr>
          <w:rFonts w:ascii="arial" w:hAnsi="arial"/>
          <w:b/>
          <w:color w:val="0071CE"/>
          <w:sz w:val="18"/>
        </w:rPr>
        <w:t>Products, Software, and Services</w:t>
      </w:r>
      <w:r>
        <w:rPr>
          <w:rFonts w:ascii="arial" w:hAnsi="arial"/>
          <w:color w:val="3E3935"/>
          <w:sz w:val="18"/>
        </w:rPr>
        <w:t xml:space="preserve"> – Creating leading technologies and innovations that deliver customer value, and executing launch excellence with best-in-class product quality to achieve our vision of a world of zero crashes, zero emissions, and zero congestion. </w:t>
      </w:r>
    </w:p>
    <w:p>
      <w:pPr>
        <w:pStyle w:val="TextBody"/>
        <w:bidi w:val="0"/>
        <w:spacing w:before="120" w:after="0"/>
        <w:jc w:val="both"/>
        <w:rPr>
          <w:rFonts w:ascii="arial" w:hAnsi="arial"/>
          <w:sz w:val="18"/>
        </w:rPr>
      </w:pPr>
      <w:r>
        <w:rPr>
          <w:rFonts w:ascii="arial" w:hAnsi="arial"/>
          <w:b/>
          <w:color w:val="0071CE"/>
          <w:sz w:val="18"/>
        </w:rPr>
        <w:t>Citizenship</w:t>
      </w:r>
      <w:r>
        <w:rPr>
          <w:rFonts w:ascii="arial" w:hAnsi="arial"/>
          <w:color w:val="3E3935"/>
          <w:sz w:val="18"/>
        </w:rPr>
        <w:t xml:space="preserve"> – Prioritizing actions that are inclusive for the communities in which we live and work, including implementation of our plan to be carbon neutral in our global products and operations by 2040 and to eliminate tailpipe emissions from new U.S. light-duty vehicles by 2035. </w:t>
      </w:r>
    </w:p>
    <w:p>
      <w:pPr>
        <w:pStyle w:val="TextBody"/>
        <w:bidi w:val="0"/>
        <w:spacing w:before="120" w:after="0"/>
        <w:jc w:val="both"/>
        <w:rPr>
          <w:rFonts w:ascii="arial" w:hAnsi="arial"/>
          <w:sz w:val="18"/>
        </w:rPr>
      </w:pPr>
      <w:r>
        <w:rPr>
          <w:rFonts w:ascii="arial" w:hAnsi="arial"/>
          <w:b/>
          <w:color w:val="0071CE"/>
          <w:sz w:val="18"/>
        </w:rPr>
        <w:t>Enterprise</w:t>
      </w:r>
      <w:r>
        <w:rPr>
          <w:rFonts w:ascii="arial" w:hAnsi="arial"/>
          <w:color w:val="3E3935"/>
          <w:sz w:val="18"/>
        </w:rPr>
        <w:t xml:space="preserve"> – Maximizing our EV opportunity through scale and cost optimization by expanding manufacturing capabilities and operational excellence, while exceeding our financial and structural cost objectives. </w:t>
      </w:r>
    </w:p>
    <w:p>
      <w:pPr>
        <w:pStyle w:val="TextBody"/>
        <w:bidi w:val="0"/>
        <w:spacing w:before="120" w:after="0"/>
        <w:jc w:val="both"/>
        <w:rPr>
          <w:rFonts w:ascii="arial" w:hAnsi="arial"/>
          <w:sz w:val="18"/>
        </w:rPr>
      </w:pPr>
      <w:r>
        <w:rPr>
          <w:rFonts w:ascii="arial" w:hAnsi="arial"/>
          <w:b/>
          <w:color w:val="0071CE"/>
          <w:sz w:val="18"/>
        </w:rPr>
        <w:t>Customer Experience</w:t>
      </w:r>
      <w:r>
        <w:rPr>
          <w:rFonts w:ascii="arial" w:hAnsi="arial"/>
          <w:color w:val="3E3935"/>
          <w:sz w:val="18"/>
        </w:rPr>
        <w:t xml:space="preserve"> – Reimagining the customer experience, while in pursuit of EV leadership and enhancing human experiences across the GM ecosystem. </w:t>
      </w:r>
    </w:p>
    <w:p>
      <w:pPr>
        <w:pStyle w:val="TextBody"/>
        <w:bidi w:val="0"/>
        <w:spacing w:before="120" w:after="0"/>
        <w:jc w:val="both"/>
        <w:rPr>
          <w:rFonts w:ascii="arial" w:hAnsi="arial"/>
          <w:color w:val="3E3935"/>
          <w:sz w:val="18"/>
        </w:rPr>
      </w:pPr>
      <w:r>
        <w:rPr>
          <w:rFonts w:ascii="arial" w:hAnsi="arial"/>
          <w:color w:val="3E3935"/>
          <w:sz w:val="18"/>
        </w:rPr>
        <w:t xml:space="preserve">Following the performance period, the Compensation Committee uses a scorecard to assess individual performance results to the strategic goals above and makes final compensation decisions as discussed beginning on page 42. </w:t>
      </w:r>
    </w:p>
    <w:p>
      <w:pPr>
        <w:pStyle w:val="TextBody"/>
        <w:bidi w:val="0"/>
        <w:spacing w:before="120" w:after="0"/>
        <w:jc w:val="both"/>
        <w:rPr>
          <w:rFonts w:ascii="arial" w:hAnsi="arial"/>
          <w:color w:val="3E3935"/>
          <w:sz w:val="18"/>
        </w:rPr>
      </w:pPr>
      <w:r>
        <w:rPr>
          <w:rFonts w:ascii="arial" w:hAnsi="arial"/>
          <w:color w:val="3E3935"/>
          <w:sz w:val="18"/>
        </w:rPr>
        <w:t xml:space="preserve">The potential payout for each Company performance measure and for the strategic goals ranges from 0 to 200 percent of target based on actual Company performance and performance to strategic goals. The payout for threshold performance is 25 percent for both EBIT-adjusted and AAFCF; performance below threshold results in a 0 percent payout. Final STIP awards are calculated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198755"/>
            <wp:effectExtent l="0" t="0" r="0" b="0"/>
            <wp:docPr id="23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20" descr=""/>
                    <pic:cNvPicPr>
                      <a:picLocks noChangeAspect="1" noChangeArrowheads="1"/>
                    </pic:cNvPicPr>
                  </pic:nvPicPr>
                  <pic:blipFill>
                    <a:blip r:embed="rId229"/>
                    <a:stretch>
                      <a:fillRect/>
                    </a:stretch>
                  </pic:blipFill>
                  <pic:spPr bwMode="auto">
                    <a:xfrm>
                      <a:off x="0" y="0"/>
                      <a:ext cx="578485" cy="198755"/>
                    </a:xfrm>
                    <a:prstGeom prst="rect">
                      <a:avLst/>
                    </a:prstGeom>
                  </pic:spPr>
                </pic:pic>
              </a:graphicData>
            </a:graphic>
          </wp:inline>
        </w:drawing>
      </w:r>
      <w:r>
        <w:rPr/>
        <w:t xml:space="preserve"> </w:t>
      </w:r>
    </w:p>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53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2023–2025 LTIP Performance Measures </w:t>
      </w:r>
    </w:p>
    <w:p>
      <w:pPr>
        <w:pStyle w:val="TextBody"/>
        <w:bidi w:val="0"/>
        <w:spacing w:before="120" w:after="0"/>
        <w:jc w:val="both"/>
        <w:rPr>
          <w:rFonts w:ascii="arial" w:hAnsi="arial"/>
          <w:color w:val="3E3935"/>
          <w:sz w:val="18"/>
        </w:rPr>
      </w:pPr>
      <w:r>
        <w:rPr>
          <w:rFonts w:ascii="arial" w:hAnsi="arial"/>
          <w:color w:val="3E3935"/>
          <w:sz w:val="18"/>
        </w:rPr>
        <w:t xml:space="preserve">Grants made under the LTIP are intended to link the financial interests of NEOs with the long-term interests of shareholders. When determining grant amounts, the Compensation Committee considers factors such as individual responsibilities, experience, and performance. In addition, the Compensation Committee factors relevant market compensation comparison data and input provided by its independent compensation consultant. The structure includes 75 percent PSUs and 25 percent stock options. PSUs cliff-vest following a three-year performance period and stock options vest ratably over three years. </w:t>
      </w:r>
    </w:p>
    <w:p>
      <w:pPr>
        <w:pStyle w:val="TextBody"/>
        <w:bidi w:val="0"/>
        <w:spacing w:before="120" w:after="0"/>
        <w:jc w:val="both"/>
        <w:rPr>
          <w:rFonts w:ascii="arial" w:hAnsi="arial"/>
          <w:color w:val="3E3935"/>
          <w:sz w:val="18"/>
        </w:rPr>
      </w:pPr>
      <w:r>
        <w:rPr>
          <w:rFonts w:ascii="arial" w:hAnsi="arial"/>
          <w:color w:val="3E3935"/>
          <w:sz w:val="18"/>
        </w:rPr>
        <w:t xml:space="preserve">PSUs are based on EBIT-adjusted Margin performance, Relative TSR performance against our OEM peer group shown on page 48, and EV performance measures. Relative TSR performance payout is capped at target if GM’s TSR is negative over the performance period. The PSU performance measures align our executive compensation program with our all-electric future and direct additional focus on Company growth and sustainability performance, while continuing to focus on delivering shareholder returns. The table below describes each PSU performance measure — its weight, its target, and the leadership behavior each measure drives.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5"/>
        <w:gridCol w:w="120"/>
        <w:gridCol w:w="755"/>
        <w:gridCol w:w="120"/>
        <w:gridCol w:w="896"/>
        <w:gridCol w:w="60"/>
        <w:gridCol w:w="5879"/>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9" w:type="dxa"/>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PSU Performance Measure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55"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Weight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96"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Target(1)</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879"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Leadership Behaviors</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16" w:type="dxa"/>
            <w:gridSpan w:val="2"/>
            <w:tcBorders/>
            <w:vAlign w:val="center"/>
          </w:tcPr>
          <w:p>
            <w:pPr>
              <w:pStyle w:val="TableContents"/>
              <w:bidi w:val="0"/>
              <w:spacing w:before="0" w:after="283"/>
              <w:jc w:val="left"/>
              <w:rPr>
                <w:sz w:val="4"/>
                <w:szCs w:val="4"/>
              </w:rPr>
            </w:pPr>
            <w:r>
              <w:rPr>
                <w:sz w:val="4"/>
                <w:szCs w:val="4"/>
              </w:rPr>
            </w:r>
          </w:p>
        </w:tc>
        <w:tc>
          <w:tcPr>
            <w:tcW w:w="5939"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EBIT-adjusted Margin</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color w:val="3E3935"/>
              </w:rPr>
            </w:pPr>
            <w:r>
              <w:rPr>
                <w:color w:val="3E3935"/>
              </w:rPr>
              <w:t>40%</w:t>
            </w:r>
          </w:p>
        </w:tc>
        <w:tc>
          <w:tcPr>
            <w:tcW w:w="120"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center"/>
              <w:rPr>
                <w:color w:val="3E3935"/>
              </w:rPr>
            </w:pPr>
            <w:r>
              <w:rPr>
                <w:color w:val="3E3935"/>
              </w:rPr>
              <w:t>—</w:t>
            </w:r>
          </w:p>
        </w:tc>
        <w:tc>
          <w:tcPr>
            <w:tcW w:w="60" w:type="dxa"/>
            <w:tcBorders/>
            <w:vAlign w:val="center"/>
          </w:tcPr>
          <w:p>
            <w:pPr>
              <w:pStyle w:val="TableContents"/>
              <w:bidi w:val="0"/>
              <w:spacing w:before="0" w:after="283"/>
              <w:jc w:val="left"/>
              <w:rPr/>
            </w:pPr>
            <w:r>
              <w:rPr/>
              <w:t> </w:t>
            </w:r>
          </w:p>
        </w:tc>
        <w:tc>
          <w:tcPr>
            <w:tcW w:w="5879" w:type="dxa"/>
            <w:tcBorders/>
            <w:vAlign w:val="center"/>
          </w:tcPr>
          <w:p>
            <w:pPr>
              <w:pStyle w:val="TableContents"/>
              <w:bidi w:val="0"/>
              <w:spacing w:before="0" w:after="283"/>
              <w:jc w:val="left"/>
              <w:rPr>
                <w:color w:val="3E3935"/>
              </w:rPr>
            </w:pPr>
            <w:r>
              <w:rPr>
                <w:color w:val="3E3935"/>
              </w:rPr>
              <w:t>Focus on pursuing profitable growth opportunities and driving higher margins on existing revenue bases</w:t>
            </w:r>
          </w:p>
        </w:tc>
      </w:tr>
      <w:tr>
        <w:trPr/>
        <w:tc>
          <w:tcPr>
            <w:tcW w:w="2375" w:type="dxa"/>
            <w:tcBorders/>
            <w:shd w:fill="CCF2F8" w:val="clear"/>
            <w:vAlign w:val="center"/>
          </w:tcPr>
          <w:p>
            <w:pPr>
              <w:pStyle w:val="TableContents"/>
              <w:bidi w:val="0"/>
              <w:spacing w:before="0" w:after="283"/>
              <w:jc w:val="left"/>
              <w:rPr>
                <w:sz w:val="4"/>
                <w:szCs w:val="4"/>
              </w:rPr>
            </w:pPr>
            <w:r>
              <w:rPr>
                <w:sz w:val="4"/>
                <w:szCs w:val="4"/>
              </w:rPr>
            </w:r>
          </w:p>
        </w:tc>
        <w:tc>
          <w:tcPr>
            <w:tcW w:w="875" w:type="dxa"/>
            <w:gridSpan w:val="2"/>
            <w:tcBorders/>
            <w:shd w:fill="CCF2F8" w:val="clear"/>
            <w:vAlign w:val="center"/>
          </w:tcPr>
          <w:p>
            <w:pPr>
              <w:pStyle w:val="TableContents"/>
              <w:bidi w:val="0"/>
              <w:spacing w:before="0" w:after="283"/>
              <w:jc w:val="left"/>
              <w:rPr>
                <w:sz w:val="4"/>
                <w:szCs w:val="4"/>
              </w:rPr>
            </w:pPr>
            <w:r>
              <w:rPr>
                <w:sz w:val="4"/>
                <w:szCs w:val="4"/>
              </w:rPr>
            </w:r>
          </w:p>
        </w:tc>
        <w:tc>
          <w:tcPr>
            <w:tcW w:w="1016" w:type="dxa"/>
            <w:gridSpan w:val="2"/>
            <w:tcBorders/>
            <w:shd w:fill="CCF2F8" w:val="clear"/>
            <w:vAlign w:val="center"/>
          </w:tcPr>
          <w:p>
            <w:pPr>
              <w:pStyle w:val="TableContents"/>
              <w:bidi w:val="0"/>
              <w:spacing w:before="0" w:after="283"/>
              <w:jc w:val="left"/>
              <w:rPr>
                <w:sz w:val="4"/>
                <w:szCs w:val="4"/>
              </w:rPr>
            </w:pPr>
            <w:r>
              <w:rPr>
                <w:sz w:val="4"/>
                <w:szCs w:val="4"/>
              </w:rPr>
            </w:r>
          </w:p>
        </w:tc>
        <w:tc>
          <w:tcPr>
            <w:tcW w:w="5939"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37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Relative TSR</w:t>
            </w:r>
          </w:p>
        </w:tc>
        <w:tc>
          <w:tcPr>
            <w:tcW w:w="120" w:type="dxa"/>
            <w:tcBorders/>
            <w:shd w:fill="CCF2F8" w:val="clear"/>
            <w:vAlign w:val="center"/>
          </w:tcPr>
          <w:p>
            <w:pPr>
              <w:pStyle w:val="TableContents"/>
              <w:bidi w:val="0"/>
              <w:spacing w:before="0" w:after="283"/>
              <w:jc w:val="left"/>
              <w:rPr/>
            </w:pPr>
            <w:r>
              <w:rPr/>
              <w:t>  </w:t>
            </w:r>
          </w:p>
        </w:tc>
        <w:tc>
          <w:tcPr>
            <w:tcW w:w="755" w:type="dxa"/>
            <w:tcBorders/>
            <w:shd w:fill="CCF2F8" w:val="clear"/>
            <w:vAlign w:val="center"/>
          </w:tcPr>
          <w:p>
            <w:pPr>
              <w:pStyle w:val="TableContents"/>
              <w:bidi w:val="0"/>
              <w:spacing w:before="0" w:after="283"/>
              <w:jc w:val="center"/>
              <w:rPr>
                <w:color w:val="3E3935"/>
              </w:rPr>
            </w:pPr>
            <w:r>
              <w:rPr>
                <w:color w:val="3E3935"/>
              </w:rPr>
              <w:t>40%</w:t>
            </w:r>
          </w:p>
        </w:tc>
        <w:tc>
          <w:tcPr>
            <w:tcW w:w="120" w:type="dxa"/>
            <w:tcBorders/>
            <w:shd w:fill="CCF2F8" w:val="clear"/>
            <w:vAlign w:val="center"/>
          </w:tcPr>
          <w:p>
            <w:pPr>
              <w:pStyle w:val="TableContents"/>
              <w:bidi w:val="0"/>
              <w:spacing w:before="0" w:after="283"/>
              <w:jc w:val="left"/>
              <w:rPr/>
            </w:pPr>
            <w:r>
              <w:rPr/>
              <w:t>  </w:t>
            </w:r>
          </w:p>
        </w:tc>
        <w:tc>
          <w:tcPr>
            <w:tcW w:w="896" w:type="dxa"/>
            <w:tcBorders/>
            <w:shd w:fill="CCF2F8" w:val="clear"/>
            <w:vAlign w:val="center"/>
          </w:tcPr>
          <w:p>
            <w:pPr>
              <w:pStyle w:val="TableContents"/>
              <w:bidi w:val="0"/>
              <w:jc w:val="center"/>
              <w:rPr>
                <w:color w:val="3E3935"/>
              </w:rPr>
            </w:pPr>
            <w:r>
              <w:rPr>
                <w:color w:val="3E3935"/>
              </w:rPr>
              <w:t>50th</w:t>
            </w:r>
          </w:p>
          <w:p>
            <w:pPr>
              <w:pStyle w:val="TableContents"/>
              <w:bidi w:val="0"/>
              <w:spacing w:before="0" w:after="20"/>
              <w:jc w:val="center"/>
              <w:rPr>
                <w:rFonts w:ascii="arial" w:hAnsi="arial"/>
                <w:color w:val="3E3935"/>
                <w:sz w:val="17"/>
              </w:rPr>
            </w:pPr>
            <w:r>
              <w:rPr>
                <w:rFonts w:ascii="arial" w:hAnsi="arial"/>
                <w:color w:val="3E3935"/>
                <w:sz w:val="17"/>
              </w:rPr>
              <w:t>Percentile(3)</w:t>
            </w:r>
          </w:p>
        </w:tc>
        <w:tc>
          <w:tcPr>
            <w:tcW w:w="60" w:type="dxa"/>
            <w:tcBorders/>
            <w:shd w:fill="CCF2F8" w:val="clear"/>
            <w:vAlign w:val="center"/>
          </w:tcPr>
          <w:p>
            <w:pPr>
              <w:pStyle w:val="TableContents"/>
              <w:bidi w:val="0"/>
              <w:spacing w:before="0" w:after="283"/>
              <w:jc w:val="left"/>
              <w:rPr/>
            </w:pPr>
            <w:r>
              <w:rPr/>
              <w:t> </w:t>
            </w:r>
          </w:p>
        </w:tc>
        <w:tc>
          <w:tcPr>
            <w:tcW w:w="5879" w:type="dxa"/>
            <w:tcBorders/>
            <w:shd w:fill="CCF2F8" w:val="clear"/>
            <w:vAlign w:val="center"/>
          </w:tcPr>
          <w:p>
            <w:pPr>
              <w:pStyle w:val="TableContents"/>
              <w:bidi w:val="0"/>
              <w:spacing w:before="0" w:after="283"/>
              <w:jc w:val="left"/>
              <w:rPr>
                <w:color w:val="3E3935"/>
              </w:rPr>
            </w:pPr>
            <w:r>
              <w:rPr>
                <w:color w:val="3E3935"/>
              </w:rPr>
              <w:t>Focus on delivering shareholder returns that outperform our OEM peer group</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16" w:type="dxa"/>
            <w:gridSpan w:val="2"/>
            <w:tcBorders/>
            <w:vAlign w:val="center"/>
          </w:tcPr>
          <w:p>
            <w:pPr>
              <w:pStyle w:val="TableContents"/>
              <w:bidi w:val="0"/>
              <w:spacing w:before="0" w:after="283"/>
              <w:jc w:val="left"/>
              <w:rPr>
                <w:sz w:val="4"/>
                <w:szCs w:val="4"/>
              </w:rPr>
            </w:pPr>
            <w:r>
              <w:rPr>
                <w:sz w:val="4"/>
                <w:szCs w:val="4"/>
              </w:rPr>
            </w:r>
          </w:p>
        </w:tc>
        <w:tc>
          <w:tcPr>
            <w:tcW w:w="5939"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EV Measures(2)</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55" w:type="dxa"/>
            <w:tcBorders>
              <w:bottom w:val="single" w:sz="6" w:space="0" w:color="0071CE"/>
            </w:tcBorders>
            <w:tcMar>
              <w:bottom w:w="80" w:type="dxa"/>
            </w:tcMar>
            <w:vAlign w:val="center"/>
          </w:tcPr>
          <w:p>
            <w:pPr>
              <w:pStyle w:val="TableContents"/>
              <w:bidi w:val="0"/>
              <w:spacing w:before="0" w:after="283"/>
              <w:jc w:val="center"/>
              <w:rPr>
                <w:color w:val="3E3935"/>
              </w:rPr>
            </w:pPr>
            <w:r>
              <w:rPr>
                <w:color w:val="3E3935"/>
              </w:rPr>
              <w:t>20%</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96" w:type="dxa"/>
            <w:tcBorders>
              <w:bottom w:val="single" w:sz="6" w:space="0" w:color="0071CE"/>
            </w:tcBorders>
            <w:tcMar>
              <w:bottom w:w="80" w:type="dxa"/>
            </w:tcMar>
            <w:vAlign w:val="center"/>
          </w:tcPr>
          <w:p>
            <w:pPr>
              <w:pStyle w:val="TableContents"/>
              <w:bidi w:val="0"/>
              <w:spacing w:before="0" w:after="283"/>
              <w:jc w:val="center"/>
              <w:rPr>
                <w:color w:val="3E3935"/>
              </w:rPr>
            </w:pPr>
            <w:r>
              <w:rPr>
                <w:color w:val="3E3935"/>
              </w:rP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879"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Focus on executing our commitment to an all-electric future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color w:val="3E3935"/>
              </w:rPr>
            </w:pPr>
            <w:r>
              <w:rPr>
                <w:color w:val="3E3935"/>
              </w:rPr>
              <w:t>(1)</w:t>
            </w:r>
          </w:p>
        </w:tc>
        <w:tc>
          <w:tcPr>
            <w:tcW w:w="9931"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performance targets for EBIT-adjusted Margin and EV Measures are not being provided at this time as providing this information will allow competitors insight into our business that could substantially harm our growth strategy. </w:t>
            </w:r>
          </w:p>
        </w:tc>
      </w:tr>
    </w:tbl>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283"/>
              <w:jc w:val="left"/>
              <w:rPr>
                <w:color w:val="3E3935"/>
              </w:rPr>
            </w:pPr>
            <w:r>
              <w:rPr>
                <w:color w:val="3E3935"/>
              </w:rPr>
              <w:t>(2)</w:t>
            </w:r>
          </w:p>
        </w:tc>
        <w:tc>
          <w:tcPr>
            <w:tcW w:w="83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EV Measures are comprised of GMNA EV Volume, GMNA EV Launch Timing, and GMNA EV Launch Quality (modifier). </w:t>
            </w:r>
          </w:p>
        </w:tc>
      </w:tr>
    </w:tbl>
    <w:tbl>
      <w:tblPr>
        <w:tblW w:w="6340" w:type="dxa"/>
        <w:jc w:val="left"/>
        <w:tblInd w:w="0" w:type="dxa"/>
        <w:tblLayout w:type="fixed"/>
        <w:tblCellMar>
          <w:top w:w="0" w:type="dxa"/>
          <w:left w:w="0" w:type="dxa"/>
          <w:bottom w:w="0" w:type="dxa"/>
          <w:right w:w="0" w:type="dxa"/>
        </w:tblCellMar>
      </w:tblPr>
      <w:tblGrid>
        <w:gridCol w:w="305"/>
        <w:gridCol w:w="6035"/>
      </w:tblGrid>
      <w:tr>
        <w:trPr/>
        <w:tc>
          <w:tcPr>
            <w:tcW w:w="305" w:type="dxa"/>
            <w:tcBorders/>
            <w:vAlign w:val="center"/>
          </w:tcPr>
          <w:p>
            <w:pPr>
              <w:pStyle w:val="TableContents"/>
              <w:bidi w:val="0"/>
              <w:spacing w:before="0" w:after="283"/>
              <w:jc w:val="left"/>
              <w:rPr>
                <w:color w:val="3E3935"/>
              </w:rPr>
            </w:pPr>
            <w:r>
              <w:rPr>
                <w:color w:val="3E3935"/>
              </w:rPr>
              <w:t>(3)</w:t>
            </w:r>
          </w:p>
        </w:tc>
        <w:tc>
          <w:tcPr>
            <w:tcW w:w="60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Relative TSR is capped at target if GM’s TSR is negative over the performance period. </w:t>
            </w:r>
          </w:p>
        </w:tc>
      </w:tr>
    </w:tbl>
    <w:p>
      <w:pPr>
        <w:pStyle w:val="TextBody"/>
        <w:bidi w:val="0"/>
        <w:spacing w:before="120" w:after="0"/>
        <w:jc w:val="both"/>
        <w:rPr>
          <w:rFonts w:ascii="arial" w:hAnsi="arial"/>
          <w:color w:val="3E3935"/>
          <w:sz w:val="18"/>
        </w:rPr>
      </w:pPr>
      <w:r>
        <w:rPr>
          <w:rFonts w:ascii="arial" w:hAnsi="arial"/>
          <w:color w:val="3E3935"/>
          <w:sz w:val="18"/>
        </w:rPr>
        <w:t xml:space="preserve">The 2023–2025 PSUs vest and deliver following the completion of the three-year performance period beginning January 1, 2023, and can be earned at a level between 0 and 200 percent of target. Final PSU awards are calculated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8325" cy="198755"/>
            <wp:effectExtent l="0" t="0" r="0" b="0"/>
            <wp:docPr id="23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1" descr=""/>
                    <pic:cNvPicPr>
                      <a:picLocks noChangeAspect="1" noChangeArrowheads="1"/>
                    </pic:cNvPicPr>
                  </pic:nvPicPr>
                  <pic:blipFill>
                    <a:blip r:embed="rId230"/>
                    <a:stretch>
                      <a:fillRect/>
                    </a:stretch>
                  </pic:blipFill>
                  <pic:spPr bwMode="auto">
                    <a:xfrm>
                      <a:off x="0" y="0"/>
                      <a:ext cx="568325" cy="198755"/>
                    </a:xfrm>
                    <a:prstGeom prst="rect">
                      <a:avLst/>
                    </a:prstGeom>
                  </pic:spPr>
                </pic:pic>
              </a:graphicData>
            </a:graphic>
          </wp:inline>
        </w:drawing>
      </w:r>
      <w:r>
        <w:rPr/>
        <w:t xml:space="preserve"> </w:t>
      </w:r>
    </w:p>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283"/>
              <w:jc w:val="left"/>
              <w:rPr>
                <w:color w:val="3E3935"/>
              </w:rPr>
            </w:pPr>
            <w:r>
              <w:rPr>
                <w:color w:val="3E3935"/>
              </w:rPr>
              <w:t>(1)</w:t>
            </w:r>
          </w:p>
        </w:tc>
        <w:tc>
          <w:tcPr>
            <w:tcW w:w="83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EV Measures are comprised of GMNA EV Volume, GMNA EV Launch Timing, and GMNA EV Launch Quality (modifier). </w:t>
            </w:r>
          </w:p>
        </w:tc>
      </w:tr>
    </w:tbl>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54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3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2" descr=""/>
                          <pic:cNvPicPr>
                            <a:picLocks noChangeAspect="1" noChangeArrowheads="1"/>
                          </pic:cNvPicPr>
                        </pic:nvPicPr>
                        <pic:blipFill>
                          <a:blip r:embed="rId231"/>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Summary of Outstanding Performance Awards </w:t>
      </w:r>
    </w:p>
    <w:p>
      <w:pPr>
        <w:pStyle w:val="TextBody"/>
        <w:bidi w:val="0"/>
        <w:spacing w:before="120" w:after="0"/>
        <w:jc w:val="both"/>
        <w:rPr>
          <w:rFonts w:ascii="arial" w:hAnsi="arial"/>
          <w:color w:val="3E3935"/>
          <w:sz w:val="18"/>
        </w:rPr>
      </w:pPr>
      <w:r>
        <w:rPr>
          <w:rFonts w:ascii="arial" w:hAnsi="arial"/>
          <w:color w:val="3E3935"/>
          <w:sz w:val="18"/>
        </w:rPr>
        <w:t xml:space="preserve">Each PSU award features a three-year performance period resulting in overlapping awards that, in aggregate, cover a five-year period. The potential payout for each PSU award ranges from 0 to 200 percent. The table below illustrates the performance period for the three outstanding PSU awards as of the filing date of this Proxy Statement, and the corresponding performance measures and weights.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581775" cy="2133600"/>
            <wp:effectExtent l="0" t="0" r="0" b="0"/>
            <wp:docPr id="23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3" descr=""/>
                    <pic:cNvPicPr>
                      <a:picLocks noChangeAspect="1" noChangeArrowheads="1"/>
                    </pic:cNvPicPr>
                  </pic:nvPicPr>
                  <pic:blipFill>
                    <a:blip r:embed="rId232"/>
                    <a:stretch>
                      <a:fillRect/>
                    </a:stretch>
                  </pic:blipFill>
                  <pic:spPr bwMode="auto">
                    <a:xfrm>
                      <a:off x="0" y="0"/>
                      <a:ext cx="6581775" cy="2133600"/>
                    </a:xfrm>
                    <a:prstGeom prst="rect">
                      <a:avLst/>
                    </a:prstGeom>
                  </pic:spPr>
                </pic:pic>
              </a:graphicData>
            </a:graphic>
          </wp:inline>
        </w:drawing>
      </w:r>
      <w:r>
        <w:rPr/>
        <w:t xml:space="preserve">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305"/>
        <w:gridCol w:w="7655"/>
      </w:tblGrid>
      <w:tr>
        <w:trPr/>
        <w:tc>
          <w:tcPr>
            <w:tcW w:w="305" w:type="dxa"/>
            <w:tcBorders/>
            <w:vAlign w:val="center"/>
          </w:tcPr>
          <w:p>
            <w:pPr>
              <w:pStyle w:val="TableContents"/>
              <w:bidi w:val="0"/>
              <w:spacing w:before="0" w:after="283"/>
              <w:jc w:val="left"/>
              <w:rPr>
                <w:color w:val="3E3935"/>
              </w:rPr>
            </w:pPr>
            <w:r>
              <w:rPr>
                <w:color w:val="3E3935"/>
              </w:rPr>
              <w:t>(1)</w:t>
            </w:r>
          </w:p>
        </w:tc>
        <w:tc>
          <w:tcPr>
            <w:tcW w:w="765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performance of each PSU award will be measured and determined at the end of the performance period. </w:t>
            </w:r>
          </w:p>
        </w:tc>
      </w:tr>
    </w:tbl>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283"/>
              <w:jc w:val="left"/>
              <w:rPr>
                <w:color w:val="3E3935"/>
              </w:rPr>
            </w:pPr>
            <w:r>
              <w:rPr>
                <w:color w:val="3E3935"/>
              </w:rPr>
              <w:t>(2)</w:t>
            </w:r>
          </w:p>
        </w:tc>
        <w:tc>
          <w:tcPr>
            <w:tcW w:w="83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EV Measures are comprised of GMNA EV Volume, GMNA EV Launch Timing, and GMNA EV Launch Quality (modifier). </w:t>
            </w:r>
          </w:p>
        </w:tc>
      </w:tr>
    </w:tbl>
    <w:tbl>
      <w:tblPr>
        <w:tblW w:w="6340" w:type="dxa"/>
        <w:jc w:val="left"/>
        <w:tblInd w:w="0" w:type="dxa"/>
        <w:tblLayout w:type="fixed"/>
        <w:tblCellMar>
          <w:top w:w="0" w:type="dxa"/>
          <w:left w:w="0" w:type="dxa"/>
          <w:bottom w:w="0" w:type="dxa"/>
          <w:right w:w="0" w:type="dxa"/>
        </w:tblCellMar>
      </w:tblPr>
      <w:tblGrid>
        <w:gridCol w:w="305"/>
        <w:gridCol w:w="6035"/>
      </w:tblGrid>
      <w:tr>
        <w:trPr/>
        <w:tc>
          <w:tcPr>
            <w:tcW w:w="305" w:type="dxa"/>
            <w:tcBorders/>
            <w:vAlign w:val="center"/>
          </w:tcPr>
          <w:p>
            <w:pPr>
              <w:pStyle w:val="TableContents"/>
              <w:bidi w:val="0"/>
              <w:spacing w:before="0" w:after="283"/>
              <w:jc w:val="left"/>
              <w:rPr>
                <w:color w:val="3E3935"/>
              </w:rPr>
            </w:pPr>
            <w:r>
              <w:rPr>
                <w:color w:val="3E3935"/>
              </w:rPr>
              <w:t>(3)</w:t>
            </w:r>
          </w:p>
        </w:tc>
        <w:tc>
          <w:tcPr>
            <w:tcW w:w="60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Relative TSR is capped at target if GM’s TSR is negative over the performance period. </w:t>
            </w:r>
          </w:p>
        </w:tc>
      </w:tr>
    </w:tbl>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55</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29" w:name="toc648661_27"/>
      <w:bookmarkEnd w:id="29"/>
      <w:r>
        <w:rPr>
          <w:rFonts w:ascii="arial" w:hAnsi="arial"/>
          <w:b/>
          <w:color w:val="0071CE"/>
          <w:sz w:val="28"/>
        </w:rPr>
        <w:t xml:space="preserve">Performance Results and Compensation Decisions </w:t>
      </w:r>
    </w:p>
    <w:p>
      <w:pPr>
        <w:pStyle w:val="TextBody"/>
        <w:bidi w:val="0"/>
        <w:spacing w:before="360" w:after="0"/>
        <w:jc w:val="left"/>
        <w:rPr>
          <w:rFonts w:ascii="arial" w:hAnsi="arial"/>
          <w:b/>
          <w:color w:val="3E3935"/>
          <w:sz w:val="26"/>
        </w:rPr>
      </w:pPr>
      <w:r>
        <w:rPr>
          <w:rFonts w:ascii="arial" w:hAnsi="arial"/>
          <w:b/>
          <w:color w:val="3E3935"/>
          <w:sz w:val="26"/>
        </w:rPr>
        <w:t xml:space="preserve">2023 STIP Results </w:t>
      </w:r>
    </w:p>
    <w:p>
      <w:pPr>
        <w:pStyle w:val="TextBody"/>
        <w:bidi w:val="0"/>
        <w:spacing w:before="120" w:after="0"/>
        <w:jc w:val="both"/>
        <w:rPr>
          <w:rFonts w:ascii="arial" w:hAnsi="arial"/>
          <w:color w:val="3E3935"/>
          <w:sz w:val="18"/>
        </w:rPr>
      </w:pPr>
      <w:r>
        <w:rPr>
          <w:rFonts w:ascii="arial" w:hAnsi="arial"/>
          <w:color w:val="3E3935"/>
          <w:sz w:val="18"/>
        </w:rPr>
        <w:t xml:space="preserve">The Company financial performance portion of the 2023 STIP award was calculated based on the Company’s achievement of EBIT-adjusted and AAFCF performance measures. The Company achieved above target results for both of these performance measures driven by (i) continued strength of core auto performance driven by strong demand for the Company’s vehicles and its ability to maintain sales allowances at below-industry averages; (ii) implementation of a fixed cost reduction program; and (iii) strong GM Financial performance. These strong results were achieved despite tightening economic conditions and unanticipated headwinds related to policy, warranty, and other one-time supplier-related developments that were not contemplated in the Company’s business plan when the Compensation Committee set the 2023 STIP targets. The Company’s 2023 financial results and key business highlights are detailed in the “Our Company Performance” section on page 43. In addition to the Company’s financial measures, a portion of each NEO’s STIP evaluates their performance against pre-established strategic goals. </w:t>
      </w:r>
    </w:p>
    <w:p>
      <w:pPr>
        <w:pStyle w:val="TextBody"/>
        <w:bidi w:val="0"/>
        <w:spacing w:before="120" w:after="0"/>
        <w:jc w:val="both"/>
        <w:rPr>
          <w:rFonts w:ascii="arial" w:hAnsi="arial"/>
          <w:color w:val="3E3935"/>
          <w:sz w:val="18"/>
        </w:rPr>
      </w:pPr>
      <w:r>
        <w:rPr>
          <w:rFonts w:ascii="arial" w:hAnsi="arial"/>
          <w:color w:val="3E3935"/>
          <w:sz w:val="18"/>
        </w:rPr>
        <w:t xml:space="preserve">Final 2023 STIP performance approved by the Compensation Committee is displayed below. </w:t>
      </w:r>
    </w:p>
    <w:p>
      <w:pPr>
        <w:pStyle w:val="TextBody"/>
        <w:bidi w:val="0"/>
        <w:spacing w:before="0" w:after="0"/>
        <w:jc w:val="left"/>
        <w:rPr/>
      </w:pPr>
      <w:r>
        <w:rPr/>
        <w:t> </w:t>
      </w:r>
    </w:p>
    <w:tbl>
      <w:tblPr>
        <w:tblW w:w="9289" w:type="dxa"/>
        <w:jc w:val="left"/>
        <w:tblInd w:w="0" w:type="dxa"/>
        <w:tblLayout w:type="fixed"/>
        <w:tblCellMar>
          <w:top w:w="0" w:type="dxa"/>
          <w:left w:w="0" w:type="dxa"/>
          <w:bottom w:w="0" w:type="dxa"/>
          <w:right w:w="0" w:type="dxa"/>
        </w:tblCellMar>
      </w:tblPr>
      <w:tblGrid>
        <w:gridCol w:w="1850"/>
        <w:gridCol w:w="120"/>
        <w:gridCol w:w="755"/>
        <w:gridCol w:w="120"/>
        <w:gridCol w:w="223"/>
        <w:gridCol w:w="847"/>
        <w:gridCol w:w="60"/>
        <w:gridCol w:w="120"/>
        <w:gridCol w:w="140"/>
        <w:gridCol w:w="440"/>
        <w:gridCol w:w="60"/>
        <w:gridCol w:w="120"/>
        <w:gridCol w:w="140"/>
        <w:gridCol w:w="650"/>
        <w:gridCol w:w="60"/>
        <w:gridCol w:w="120"/>
        <w:gridCol w:w="149"/>
        <w:gridCol w:w="470"/>
        <w:gridCol w:w="60"/>
        <w:gridCol w:w="120"/>
        <w:gridCol w:w="189"/>
        <w:gridCol w:w="881"/>
        <w:gridCol w:w="60"/>
        <w:gridCol w:w="120"/>
        <w:gridCol w:w="237"/>
        <w:gridCol w:w="1103"/>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STIP Measure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55"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Weight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Threshold</w:t>
              <w:br/>
              <w:t>25%</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58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50%</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9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Target</w:t>
              <w:br/>
              <w:t>100%</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19"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150%</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Maximum</w:t>
              <w:br/>
              <w:t>200%</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Performance</w:t>
              <w:br/>
              <w:t>Result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EBIT-adjusted ($B)(1)</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color w:val="3E3935"/>
              </w:rPr>
            </w:pPr>
            <w:r>
              <w:rPr>
                <w:color w:val="3E3935"/>
              </w:rPr>
              <w:t>50%</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color w:val="3E3935"/>
              </w:rPr>
            </w:pPr>
            <w:r>
              <w:rPr>
                <w:color w:val="3E3935"/>
              </w:rPr>
              <w:t>$</w:t>
            </w:r>
          </w:p>
        </w:tc>
        <w:tc>
          <w:tcPr>
            <w:tcW w:w="847" w:type="dxa"/>
            <w:tcBorders/>
            <w:vAlign w:val="center"/>
          </w:tcPr>
          <w:p>
            <w:pPr>
              <w:pStyle w:val="TableContents"/>
              <w:bidi w:val="0"/>
              <w:spacing w:before="0" w:after="283"/>
              <w:jc w:val="right"/>
              <w:rPr>
                <w:color w:val="3E3935"/>
              </w:rPr>
            </w:pPr>
            <w:r>
              <w:rPr>
                <w:color w:val="3E3935"/>
              </w:rPr>
              <w:t>8.5</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w:t>
            </w:r>
          </w:p>
        </w:tc>
        <w:tc>
          <w:tcPr>
            <w:tcW w:w="440" w:type="dxa"/>
            <w:tcBorders/>
            <w:vAlign w:val="center"/>
          </w:tcPr>
          <w:p>
            <w:pPr>
              <w:pStyle w:val="TableContents"/>
              <w:bidi w:val="0"/>
              <w:spacing w:before="0" w:after="283"/>
              <w:jc w:val="right"/>
              <w:rPr>
                <w:color w:val="3E3935"/>
              </w:rPr>
            </w:pPr>
            <w:r>
              <w:rPr>
                <w:color w:val="3E3935"/>
              </w:rPr>
              <w:t>12.4</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w:t>
            </w:r>
          </w:p>
        </w:tc>
        <w:tc>
          <w:tcPr>
            <w:tcW w:w="650" w:type="dxa"/>
            <w:tcBorders/>
            <w:vAlign w:val="center"/>
          </w:tcPr>
          <w:p>
            <w:pPr>
              <w:pStyle w:val="TableContents"/>
              <w:bidi w:val="0"/>
              <w:spacing w:before="0" w:after="283"/>
              <w:jc w:val="right"/>
              <w:rPr>
                <w:color w:val="3E3935"/>
              </w:rPr>
            </w:pPr>
            <w:r>
              <w:rPr>
                <w:color w:val="3E3935"/>
              </w:rPr>
              <w:t>14.4</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color w:val="3E3935"/>
              </w:rPr>
            </w:pPr>
            <w:r>
              <w:rPr>
                <w:color w:val="3E3935"/>
              </w:rPr>
              <w:t>$</w:t>
            </w:r>
          </w:p>
        </w:tc>
        <w:tc>
          <w:tcPr>
            <w:tcW w:w="470" w:type="dxa"/>
            <w:tcBorders/>
            <w:vAlign w:val="center"/>
          </w:tcPr>
          <w:p>
            <w:pPr>
              <w:pStyle w:val="TableContents"/>
              <w:bidi w:val="0"/>
              <w:spacing w:before="0" w:after="283"/>
              <w:jc w:val="right"/>
              <w:rPr>
                <w:color w:val="3E3935"/>
              </w:rPr>
            </w:pPr>
            <w:r>
              <w:rPr>
                <w:color w:val="3E3935"/>
              </w:rPr>
              <w:t>16.4</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color w:val="3E3935"/>
              </w:rPr>
            </w:pPr>
            <w:r>
              <w:rPr>
                <w:color w:val="3E3935"/>
              </w:rPr>
              <w:t>$</w:t>
            </w:r>
          </w:p>
        </w:tc>
        <w:tc>
          <w:tcPr>
            <w:tcW w:w="881" w:type="dxa"/>
            <w:tcBorders/>
            <w:vAlign w:val="center"/>
          </w:tcPr>
          <w:p>
            <w:pPr>
              <w:pStyle w:val="TableContents"/>
              <w:bidi w:val="0"/>
              <w:spacing w:before="0" w:after="283"/>
              <w:jc w:val="right"/>
              <w:rPr>
                <w:color w:val="3E3935"/>
              </w:rPr>
            </w:pPr>
            <w:r>
              <w:rPr>
                <w:color w:val="3E3935"/>
              </w:rPr>
              <w:t>17.4</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color w:val="3E3935"/>
              </w:rPr>
            </w:pPr>
            <w:r>
              <w:rPr>
                <w:color w:val="3E3935"/>
              </w:rPr>
              <w:t>$</w:t>
            </w:r>
          </w:p>
        </w:tc>
        <w:tc>
          <w:tcPr>
            <w:tcW w:w="1103" w:type="dxa"/>
            <w:tcBorders/>
            <w:vAlign w:val="center"/>
          </w:tcPr>
          <w:p>
            <w:pPr>
              <w:pStyle w:val="TableContents"/>
              <w:bidi w:val="0"/>
              <w:spacing w:before="0" w:after="283"/>
              <w:jc w:val="right"/>
              <w:rPr>
                <w:color w:val="3E3935"/>
              </w:rPr>
            </w:pPr>
            <w:r>
              <w:rPr>
                <w:color w:val="3E3935"/>
              </w:rPr>
              <w:t>15.1</w:t>
            </w:r>
          </w:p>
        </w:tc>
        <w:tc>
          <w:tcPr>
            <w:tcW w:w="75" w:type="dxa"/>
            <w:tcBorders/>
            <w:vAlign w:val="center"/>
          </w:tcPr>
          <w:p>
            <w:pPr>
              <w:pStyle w:val="TableContents"/>
              <w:bidi w:val="0"/>
              <w:spacing w:before="0" w:after="283"/>
              <w:jc w:val="left"/>
              <w:rPr>
                <w:color w:val="3E3935"/>
              </w:rPr>
            </w:pPr>
            <w:r>
              <w:rPr>
                <w:color w:val="3E3935"/>
              </w:rPr>
              <w:t> </w:t>
            </w:r>
          </w:p>
        </w:tc>
      </w:tr>
      <w:tr>
        <w:trPr/>
        <w:tc>
          <w:tcPr>
            <w:tcW w:w="1850" w:type="dxa"/>
            <w:tcBorders/>
            <w:shd w:fill="CCF2F8" w:val="clear"/>
            <w:vAlign w:val="center"/>
          </w:tcPr>
          <w:p>
            <w:pPr>
              <w:pStyle w:val="TableContents"/>
              <w:bidi w:val="0"/>
              <w:spacing w:before="0" w:after="283"/>
              <w:jc w:val="left"/>
              <w:rPr>
                <w:sz w:val="4"/>
                <w:szCs w:val="4"/>
              </w:rPr>
            </w:pPr>
            <w:r>
              <w:rPr>
                <w:sz w:val="4"/>
                <w:szCs w:val="4"/>
              </w:rPr>
            </w:r>
          </w:p>
        </w:tc>
        <w:tc>
          <w:tcPr>
            <w:tcW w:w="875" w:type="dxa"/>
            <w:gridSpan w:val="2"/>
            <w:tcBorders/>
            <w:shd w:fill="CCF2F8" w:val="clear"/>
            <w:vAlign w:val="center"/>
          </w:tcPr>
          <w:p>
            <w:pPr>
              <w:pStyle w:val="TableContents"/>
              <w:bidi w:val="0"/>
              <w:spacing w:before="0" w:after="283"/>
              <w:jc w:val="left"/>
              <w:rPr>
                <w:sz w:val="4"/>
                <w:szCs w:val="4"/>
              </w:rPr>
            </w:pPr>
            <w:r>
              <w:rPr>
                <w:sz w:val="4"/>
                <w:szCs w:val="4"/>
              </w:rPr>
            </w:r>
          </w:p>
        </w:tc>
        <w:tc>
          <w:tcPr>
            <w:tcW w:w="1250" w:type="dxa"/>
            <w:gridSpan w:val="4"/>
            <w:tcBorders/>
            <w:shd w:fill="CCF2F8" w:val="clear"/>
            <w:vAlign w:val="center"/>
          </w:tcPr>
          <w:p>
            <w:pPr>
              <w:pStyle w:val="TableContents"/>
              <w:bidi w:val="0"/>
              <w:spacing w:before="0" w:after="283"/>
              <w:jc w:val="left"/>
              <w:rPr>
                <w:sz w:val="4"/>
                <w:szCs w:val="4"/>
              </w:rPr>
            </w:pPr>
            <w:r>
              <w:rPr>
                <w:sz w:val="4"/>
                <w:szCs w:val="4"/>
              </w:rPr>
            </w:r>
          </w:p>
        </w:tc>
        <w:tc>
          <w:tcPr>
            <w:tcW w:w="760" w:type="dxa"/>
            <w:gridSpan w:val="4"/>
            <w:tcBorders/>
            <w:shd w:fill="CCF2F8" w:val="clear"/>
            <w:vAlign w:val="center"/>
          </w:tcPr>
          <w:p>
            <w:pPr>
              <w:pStyle w:val="TableContents"/>
              <w:bidi w:val="0"/>
              <w:spacing w:before="0" w:after="283"/>
              <w:jc w:val="left"/>
              <w:rPr>
                <w:sz w:val="4"/>
                <w:szCs w:val="4"/>
              </w:rPr>
            </w:pPr>
            <w:r>
              <w:rPr>
                <w:sz w:val="4"/>
                <w:szCs w:val="4"/>
              </w:rPr>
            </w:r>
          </w:p>
        </w:tc>
        <w:tc>
          <w:tcPr>
            <w:tcW w:w="970" w:type="dxa"/>
            <w:gridSpan w:val="4"/>
            <w:tcBorders/>
            <w:shd w:fill="CCF2F8" w:val="clear"/>
            <w:vAlign w:val="center"/>
          </w:tcPr>
          <w:p>
            <w:pPr>
              <w:pStyle w:val="TableContents"/>
              <w:bidi w:val="0"/>
              <w:spacing w:before="0" w:after="283"/>
              <w:jc w:val="left"/>
              <w:rPr>
                <w:sz w:val="4"/>
                <w:szCs w:val="4"/>
              </w:rPr>
            </w:pPr>
            <w:r>
              <w:rPr>
                <w:sz w:val="4"/>
                <w:szCs w:val="4"/>
              </w:rPr>
            </w:r>
          </w:p>
        </w:tc>
        <w:tc>
          <w:tcPr>
            <w:tcW w:w="799" w:type="dxa"/>
            <w:gridSpan w:val="4"/>
            <w:tcBorders/>
            <w:shd w:fill="CCF2F8" w:val="clear"/>
            <w:vAlign w:val="center"/>
          </w:tcPr>
          <w:p>
            <w:pPr>
              <w:pStyle w:val="TableContents"/>
              <w:bidi w:val="0"/>
              <w:spacing w:before="0" w:after="283"/>
              <w:jc w:val="left"/>
              <w:rPr>
                <w:sz w:val="4"/>
                <w:szCs w:val="4"/>
              </w:rPr>
            </w:pPr>
            <w:r>
              <w:rPr>
                <w:sz w:val="4"/>
                <w:szCs w:val="4"/>
              </w:rPr>
            </w:r>
          </w:p>
        </w:tc>
        <w:tc>
          <w:tcPr>
            <w:tcW w:w="1250" w:type="dxa"/>
            <w:gridSpan w:val="4"/>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85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AAFCF ($B)(2)</w:t>
            </w:r>
          </w:p>
        </w:tc>
        <w:tc>
          <w:tcPr>
            <w:tcW w:w="120" w:type="dxa"/>
            <w:tcBorders/>
            <w:shd w:fill="CCF2F8" w:val="clear"/>
            <w:vAlign w:val="center"/>
          </w:tcPr>
          <w:p>
            <w:pPr>
              <w:pStyle w:val="TableContents"/>
              <w:bidi w:val="0"/>
              <w:spacing w:before="0" w:after="283"/>
              <w:jc w:val="left"/>
              <w:rPr/>
            </w:pPr>
            <w:r>
              <w:rPr/>
              <w:t>  </w:t>
            </w:r>
          </w:p>
        </w:tc>
        <w:tc>
          <w:tcPr>
            <w:tcW w:w="755" w:type="dxa"/>
            <w:tcBorders/>
            <w:shd w:fill="CCF2F8" w:val="clear"/>
            <w:vAlign w:val="center"/>
          </w:tcPr>
          <w:p>
            <w:pPr>
              <w:pStyle w:val="TableContents"/>
              <w:bidi w:val="0"/>
              <w:spacing w:before="0" w:after="283"/>
              <w:jc w:val="center"/>
              <w:rPr>
                <w:color w:val="3E3935"/>
              </w:rPr>
            </w:pPr>
            <w:r>
              <w:rPr>
                <w:color w:val="3E3935"/>
              </w:rPr>
              <w:t>25%</w:t>
            </w:r>
          </w:p>
        </w:tc>
        <w:tc>
          <w:tcPr>
            <w:tcW w:w="120" w:type="dxa"/>
            <w:tcBorders/>
            <w:shd w:fill="CCF2F8" w:val="clear"/>
            <w:vAlign w:val="center"/>
          </w:tcPr>
          <w:p>
            <w:pPr>
              <w:pStyle w:val="TableContents"/>
              <w:bidi w:val="0"/>
              <w:spacing w:before="0" w:after="283"/>
              <w:jc w:val="left"/>
              <w:rPr/>
            </w:pPr>
            <w:r>
              <w:rPr/>
              <w:t>  </w:t>
            </w:r>
          </w:p>
        </w:tc>
        <w:tc>
          <w:tcPr>
            <w:tcW w:w="223" w:type="dxa"/>
            <w:tcBorders/>
            <w:shd w:fill="CCF2F8" w:val="clear"/>
            <w:vAlign w:val="center"/>
          </w:tcPr>
          <w:p>
            <w:pPr>
              <w:pStyle w:val="TableContents"/>
              <w:bidi w:val="0"/>
              <w:spacing w:before="0" w:after="283"/>
              <w:jc w:val="left"/>
              <w:rPr>
                <w:color w:val="3E3935"/>
              </w:rPr>
            </w:pPr>
            <w:r>
              <w:rPr>
                <w:color w:val="3E3935"/>
              </w:rPr>
              <w:t>$</w:t>
            </w:r>
          </w:p>
        </w:tc>
        <w:tc>
          <w:tcPr>
            <w:tcW w:w="847" w:type="dxa"/>
            <w:tcBorders/>
            <w:shd w:fill="CCF2F8" w:val="clear"/>
            <w:vAlign w:val="center"/>
          </w:tcPr>
          <w:p>
            <w:pPr>
              <w:pStyle w:val="TableContents"/>
              <w:bidi w:val="0"/>
              <w:spacing w:before="0" w:after="283"/>
              <w:jc w:val="right"/>
              <w:rPr>
                <w:color w:val="3E3935"/>
              </w:rPr>
            </w:pPr>
            <w:r>
              <w:rPr>
                <w:color w:val="3E3935"/>
              </w:rPr>
              <w:t>0.4</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color w:val="3E3935"/>
              </w:rPr>
            </w:pPr>
            <w:r>
              <w:rPr>
                <w:color w:val="3E3935"/>
              </w:rPr>
              <w:t>$</w:t>
            </w:r>
          </w:p>
        </w:tc>
        <w:tc>
          <w:tcPr>
            <w:tcW w:w="440" w:type="dxa"/>
            <w:tcBorders/>
            <w:shd w:fill="CCF2F8" w:val="clear"/>
            <w:vAlign w:val="center"/>
          </w:tcPr>
          <w:p>
            <w:pPr>
              <w:pStyle w:val="TableContents"/>
              <w:bidi w:val="0"/>
              <w:spacing w:before="0" w:after="283"/>
              <w:jc w:val="right"/>
              <w:rPr>
                <w:color w:val="3E3935"/>
              </w:rPr>
            </w:pPr>
            <w:r>
              <w:rPr>
                <w:color w:val="3E3935"/>
              </w:rPr>
              <w:t>4.3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color w:val="3E3935"/>
              </w:rPr>
            </w:pPr>
            <w:r>
              <w:rPr>
                <w:color w:val="3E3935"/>
              </w:rPr>
              <w:t>$</w:t>
            </w:r>
          </w:p>
        </w:tc>
        <w:tc>
          <w:tcPr>
            <w:tcW w:w="650" w:type="dxa"/>
            <w:tcBorders/>
            <w:shd w:fill="CCF2F8" w:val="clear"/>
            <w:vAlign w:val="center"/>
          </w:tcPr>
          <w:p>
            <w:pPr>
              <w:pStyle w:val="TableContents"/>
              <w:bidi w:val="0"/>
              <w:spacing w:before="0" w:after="283"/>
              <w:jc w:val="right"/>
              <w:rPr>
                <w:color w:val="3E3935"/>
              </w:rPr>
            </w:pPr>
            <w:r>
              <w:rPr>
                <w:color w:val="3E3935"/>
              </w:rPr>
              <w:t>6.3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49" w:type="dxa"/>
            <w:tcBorders/>
            <w:shd w:fill="CCF2F8" w:val="clear"/>
            <w:vAlign w:val="center"/>
          </w:tcPr>
          <w:p>
            <w:pPr>
              <w:pStyle w:val="TableContents"/>
              <w:bidi w:val="0"/>
              <w:spacing w:before="0" w:after="283"/>
              <w:jc w:val="left"/>
              <w:rPr>
                <w:color w:val="3E3935"/>
              </w:rPr>
            </w:pPr>
            <w:r>
              <w:rPr>
                <w:color w:val="3E3935"/>
              </w:rPr>
              <w:t>$</w:t>
            </w:r>
          </w:p>
        </w:tc>
        <w:tc>
          <w:tcPr>
            <w:tcW w:w="470" w:type="dxa"/>
            <w:tcBorders/>
            <w:shd w:fill="CCF2F8" w:val="clear"/>
            <w:vAlign w:val="center"/>
          </w:tcPr>
          <w:p>
            <w:pPr>
              <w:pStyle w:val="TableContents"/>
              <w:bidi w:val="0"/>
              <w:spacing w:before="0" w:after="283"/>
              <w:jc w:val="right"/>
              <w:rPr>
                <w:color w:val="3E3935"/>
              </w:rPr>
            </w:pPr>
            <w:r>
              <w:rPr>
                <w:color w:val="3E3935"/>
              </w:rPr>
              <w:t>8.3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89" w:type="dxa"/>
            <w:tcBorders/>
            <w:shd w:fill="CCF2F8" w:val="clear"/>
            <w:vAlign w:val="center"/>
          </w:tcPr>
          <w:p>
            <w:pPr>
              <w:pStyle w:val="TableContents"/>
              <w:bidi w:val="0"/>
              <w:spacing w:before="0" w:after="283"/>
              <w:jc w:val="left"/>
              <w:rPr>
                <w:color w:val="3E3935"/>
              </w:rPr>
            </w:pPr>
            <w:r>
              <w:rPr>
                <w:color w:val="3E3935"/>
              </w:rPr>
              <w:t>$</w:t>
            </w:r>
          </w:p>
        </w:tc>
        <w:tc>
          <w:tcPr>
            <w:tcW w:w="881" w:type="dxa"/>
            <w:tcBorders/>
            <w:shd w:fill="CCF2F8" w:val="clear"/>
            <w:vAlign w:val="center"/>
          </w:tcPr>
          <w:p>
            <w:pPr>
              <w:pStyle w:val="TableContents"/>
              <w:bidi w:val="0"/>
              <w:spacing w:before="0" w:after="283"/>
              <w:jc w:val="right"/>
              <w:rPr>
                <w:color w:val="3E3935"/>
              </w:rPr>
            </w:pPr>
            <w:r>
              <w:rPr>
                <w:color w:val="3E3935"/>
              </w:rPr>
              <w:t>9.3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237" w:type="dxa"/>
            <w:tcBorders/>
            <w:shd w:fill="CCF2F8" w:val="clear"/>
            <w:vAlign w:val="center"/>
          </w:tcPr>
          <w:p>
            <w:pPr>
              <w:pStyle w:val="TableContents"/>
              <w:bidi w:val="0"/>
              <w:spacing w:before="0" w:after="283"/>
              <w:jc w:val="left"/>
              <w:rPr>
                <w:color w:val="3E3935"/>
              </w:rPr>
            </w:pPr>
            <w:r>
              <w:rPr>
                <w:color w:val="3E3935"/>
              </w:rPr>
              <w:t>$</w:t>
            </w:r>
          </w:p>
        </w:tc>
        <w:tc>
          <w:tcPr>
            <w:tcW w:w="1103" w:type="dxa"/>
            <w:tcBorders/>
            <w:shd w:fill="CCF2F8" w:val="clear"/>
            <w:vAlign w:val="center"/>
          </w:tcPr>
          <w:p>
            <w:pPr>
              <w:pStyle w:val="TableContents"/>
              <w:bidi w:val="0"/>
              <w:spacing w:before="0" w:after="283"/>
              <w:jc w:val="right"/>
              <w:rPr>
                <w:color w:val="3E3935"/>
              </w:rPr>
            </w:pPr>
            <w:r>
              <w:rPr>
                <w:color w:val="3E3935"/>
              </w:rPr>
              <w:t>8.4</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Strategic Goals(3)</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color w:val="3E3935"/>
              </w:rPr>
            </w:pPr>
            <w:r>
              <w:rPr>
                <w:color w:val="3E3935"/>
              </w:rPr>
              <w:t>25%</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color w:val="3E3935"/>
              </w:rPr>
            </w:pPr>
            <w:r>
              <w:rPr>
                <w:color w:val="3E3935"/>
              </w:rPr>
              <w:t> </w:t>
            </w:r>
          </w:p>
        </w:tc>
        <w:tc>
          <w:tcPr>
            <w:tcW w:w="847" w:type="dxa"/>
            <w:tcBorders/>
            <w:vAlign w:val="center"/>
          </w:tcPr>
          <w:p>
            <w:pPr>
              <w:pStyle w:val="TableContents"/>
              <w:bidi w:val="0"/>
              <w:spacing w:before="0" w:after="283"/>
              <w:jc w:val="right"/>
              <w:rPr>
                <w:color w:val="3E3935"/>
              </w:rPr>
            </w:pPr>
            <w:r>
              <w:rPr>
                <w:color w:val="3E3935"/>
              </w:rPr>
              <w:t>0 pts.</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44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650" w:type="dxa"/>
            <w:tcBorders/>
            <w:vAlign w:val="center"/>
          </w:tcPr>
          <w:p>
            <w:pPr>
              <w:pStyle w:val="TableContents"/>
              <w:bidi w:val="0"/>
              <w:spacing w:before="0" w:after="283"/>
              <w:jc w:val="right"/>
              <w:rPr>
                <w:color w:val="3E3935"/>
              </w:rPr>
            </w:pPr>
            <w:r>
              <w:rPr>
                <w:color w:val="3E3935"/>
              </w:rPr>
              <w:t>25 pts.</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color w:val="3E3935"/>
              </w:rPr>
            </w:pPr>
            <w:r>
              <w:rPr>
                <w:color w:val="3E3935"/>
              </w:rPr>
              <w:t> </w:t>
            </w:r>
          </w:p>
        </w:tc>
        <w:tc>
          <w:tcPr>
            <w:tcW w:w="47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color w:val="3E3935"/>
              </w:rPr>
            </w:pPr>
            <w:r>
              <w:rPr>
                <w:color w:val="3E3935"/>
              </w:rPr>
              <w:t> </w:t>
            </w:r>
          </w:p>
        </w:tc>
        <w:tc>
          <w:tcPr>
            <w:tcW w:w="881" w:type="dxa"/>
            <w:tcBorders/>
            <w:vAlign w:val="center"/>
          </w:tcPr>
          <w:p>
            <w:pPr>
              <w:pStyle w:val="TableContents"/>
              <w:bidi w:val="0"/>
              <w:spacing w:before="0" w:after="283"/>
              <w:jc w:val="right"/>
              <w:rPr>
                <w:color w:val="3E3935"/>
              </w:rPr>
            </w:pPr>
            <w:r>
              <w:rPr>
                <w:color w:val="3E3935"/>
              </w:rPr>
              <w:t>50 pts.</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color w:val="3E3935"/>
              </w:rPr>
            </w:pPr>
            <w:r>
              <w:rPr>
                <w:color w:val="3E3935"/>
              </w:rPr>
              <w:t> </w:t>
            </w:r>
          </w:p>
        </w:tc>
        <w:tc>
          <w:tcPr>
            <w:tcW w:w="1103" w:type="dxa"/>
            <w:tcBorders/>
            <w:vAlign w:val="center"/>
          </w:tcPr>
          <w:p>
            <w:pPr>
              <w:pStyle w:val="TableContents"/>
              <w:bidi w:val="0"/>
              <w:spacing w:before="0" w:after="283"/>
              <w:jc w:val="right"/>
              <w:rPr>
                <w:color w:val="3E3935"/>
              </w:rPr>
            </w:pPr>
            <w:r>
              <w:rPr>
                <w:color w:val="3E3935"/>
              </w:rPr>
              <w:t>25-35 pts.</w:t>
            </w:r>
          </w:p>
        </w:tc>
        <w:tc>
          <w:tcPr>
            <w:tcW w:w="75" w:type="dxa"/>
            <w:tcBorders/>
            <w:vAlign w:val="center"/>
          </w:tcPr>
          <w:p>
            <w:pPr>
              <w:pStyle w:val="TableContents"/>
              <w:bidi w:val="0"/>
              <w:spacing w:before="0" w:after="283"/>
              <w:jc w:val="left"/>
              <w:rPr>
                <w:color w:val="3E3935"/>
              </w:rPr>
            </w:pPr>
            <w:r>
              <w:rPr>
                <w:color w:val="3E3935"/>
              </w:rPr>
              <w:t> </w:t>
            </w:r>
          </w:p>
        </w:tc>
      </w:tr>
      <w:tr>
        <w:trPr/>
        <w:tc>
          <w:tcPr>
            <w:tcW w:w="1850" w:type="dxa"/>
            <w:tcBorders/>
            <w:shd w:fill="CCF2F8" w:val="clear"/>
            <w:vAlign w:val="center"/>
          </w:tcPr>
          <w:p>
            <w:pPr>
              <w:pStyle w:val="TableContents"/>
              <w:bidi w:val="0"/>
              <w:spacing w:before="0" w:after="283"/>
              <w:jc w:val="left"/>
              <w:rPr>
                <w:sz w:val="4"/>
                <w:szCs w:val="4"/>
              </w:rPr>
            </w:pPr>
            <w:r>
              <w:rPr>
                <w:sz w:val="4"/>
                <w:szCs w:val="4"/>
              </w:rPr>
            </w:r>
          </w:p>
        </w:tc>
        <w:tc>
          <w:tcPr>
            <w:tcW w:w="7439" w:type="dxa"/>
            <w:gridSpan w:val="26"/>
            <w:tcBorders/>
            <w:shd w:fill="CCF2F8" w:val="clear"/>
            <w:vAlign w:val="center"/>
          </w:tcPr>
          <w:p>
            <w:pPr>
              <w:pStyle w:val="TableContents"/>
              <w:bidi w:val="0"/>
              <w:spacing w:before="0" w:after="283"/>
              <w:jc w:val="left"/>
              <w:rPr>
                <w:sz w:val="4"/>
                <w:szCs w:val="4"/>
              </w:rPr>
            </w:pPr>
            <w:r>
              <w:rPr>
                <w:sz w:val="4"/>
                <w:szCs w:val="4"/>
              </w:rPr>
            </w:r>
          </w:p>
        </w:tc>
      </w:tr>
      <w:tr>
        <w:trPr/>
        <w:tc>
          <w:tcPr>
            <w:tcW w:w="1850" w:type="dxa"/>
            <w:tcBorders>
              <w:bottom w:val="single" w:sz="6" w:space="0" w:color="0071CE"/>
            </w:tcBorders>
            <w:shd w:fill="CCF2F8" w:val="clear"/>
            <w:tcMar>
              <w:bottom w:w="8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Performance Payout(4)</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7244" w:type="dxa"/>
            <w:gridSpan w:val="24"/>
            <w:tcBorders>
              <w:bottom w:val="single" w:sz="6" w:space="0" w:color="0071CE"/>
            </w:tcBorders>
            <w:shd w:fill="CCF2F8" w:val="clear"/>
            <w:tcMar>
              <w:bottom w:w="80" w:type="dxa"/>
            </w:tcMar>
            <w:vAlign w:val="center"/>
          </w:tcPr>
          <w:p>
            <w:pPr>
              <w:pStyle w:val="TableContents"/>
              <w:bidi w:val="0"/>
              <w:spacing w:before="0" w:after="283"/>
              <w:jc w:val="right"/>
              <w:rPr>
                <w:b/>
                <w:color w:val="0071CE"/>
              </w:rPr>
            </w:pPr>
            <w:r>
              <w:rPr>
                <w:b/>
                <w:color w:val="0071CE"/>
              </w:rPr>
              <w:t>125%—135% of Target</w:t>
            </w:r>
          </w:p>
        </w:tc>
        <w:tc>
          <w:tcPr>
            <w:tcW w:w="75" w:type="dxa"/>
            <w:tcBorders>
              <w:bottom w:val="single" w:sz="6" w:space="0" w:color="0071CE"/>
            </w:tcBorders>
            <w:shd w:fill="CCF2F8" w:val="clear"/>
            <w:tcMar>
              <w:bottom w:w="80" w:type="dxa"/>
            </w:tcMar>
            <w:vAlign w:val="center"/>
          </w:tcPr>
          <w:p>
            <w:pPr>
              <w:pStyle w:val="TableContents"/>
              <w:bidi w:val="0"/>
              <w:spacing w:before="0" w:after="283"/>
              <w:jc w:val="left"/>
              <w:rPr>
                <w:color w:val="0071CE"/>
              </w:rPr>
            </w:pPr>
            <w:r>
              <w:rPr>
                <w:color w:val="0071CE"/>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color w:val="3E3935"/>
              </w:rPr>
            </w:pPr>
            <w:r>
              <w:rPr>
                <w:color w:val="3E3935"/>
              </w:rPr>
              <w:t>(1)</w:t>
            </w:r>
          </w:p>
        </w:tc>
        <w:tc>
          <w:tcPr>
            <w:tcW w:w="990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Measure adjusted for incentive purposes and excludes the impact of Cruise. For a description of how EBIT-adjusted is calculated, see Appendix A.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3E3935"/>
              </w:rPr>
            </w:pPr>
            <w:r>
              <w:rPr>
                <w:color w:val="3E3935"/>
              </w:rPr>
              <w:t>(2)</w:t>
            </w:r>
          </w:p>
        </w:tc>
        <w:tc>
          <w:tcPr>
            <w:tcW w:w="995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This measure is adjusted for incentive compensation purposes to add certain recall-related expenses attributable to events occurring in 2014. In addition, at the recommendation of management, and with the approval of the Compensation Committee, this measure was adjusted downward for events that impacted EBIT-adjusted in 2023, but will impact cash flows in future periods. For a description of how AAFCF is calculated, see Appendix A. </w:t>
            </w:r>
          </w:p>
        </w:tc>
      </w:tr>
    </w:tbl>
    <w:tbl>
      <w:tblPr>
        <w:tblW w:w="5635" w:type="dxa"/>
        <w:jc w:val="left"/>
        <w:tblInd w:w="0" w:type="dxa"/>
        <w:tblLayout w:type="fixed"/>
        <w:tblCellMar>
          <w:top w:w="0" w:type="dxa"/>
          <w:left w:w="0" w:type="dxa"/>
          <w:bottom w:w="0" w:type="dxa"/>
          <w:right w:w="0" w:type="dxa"/>
        </w:tblCellMar>
      </w:tblPr>
      <w:tblGrid>
        <w:gridCol w:w="305"/>
        <w:gridCol w:w="5330"/>
      </w:tblGrid>
      <w:tr>
        <w:trPr/>
        <w:tc>
          <w:tcPr>
            <w:tcW w:w="305" w:type="dxa"/>
            <w:tcBorders/>
            <w:vAlign w:val="center"/>
          </w:tcPr>
          <w:p>
            <w:pPr>
              <w:pStyle w:val="TableContents"/>
              <w:bidi w:val="0"/>
              <w:spacing w:before="0" w:after="283"/>
              <w:jc w:val="left"/>
              <w:rPr>
                <w:color w:val="3E3935"/>
              </w:rPr>
            </w:pPr>
            <w:r>
              <w:rPr>
                <w:color w:val="3E3935"/>
              </w:rPr>
              <w:t>(3)</w:t>
            </w:r>
          </w:p>
        </w:tc>
        <w:tc>
          <w:tcPr>
            <w:tcW w:w="533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Performance results to strategic goals are discussed beginning on page 52. </w:t>
            </w:r>
          </w:p>
        </w:tc>
      </w:tr>
    </w:tbl>
    <w:tbl>
      <w:tblPr>
        <w:tblW w:w="6595" w:type="dxa"/>
        <w:jc w:val="left"/>
        <w:tblInd w:w="0" w:type="dxa"/>
        <w:tblLayout w:type="fixed"/>
        <w:tblCellMar>
          <w:top w:w="0" w:type="dxa"/>
          <w:left w:w="0" w:type="dxa"/>
          <w:bottom w:w="0" w:type="dxa"/>
          <w:right w:w="0" w:type="dxa"/>
        </w:tblCellMar>
      </w:tblPr>
      <w:tblGrid>
        <w:gridCol w:w="305"/>
        <w:gridCol w:w="6290"/>
      </w:tblGrid>
      <w:tr>
        <w:trPr/>
        <w:tc>
          <w:tcPr>
            <w:tcW w:w="305" w:type="dxa"/>
            <w:tcBorders/>
            <w:vAlign w:val="center"/>
          </w:tcPr>
          <w:p>
            <w:pPr>
              <w:pStyle w:val="TableContents"/>
              <w:bidi w:val="0"/>
              <w:spacing w:before="0" w:after="283"/>
              <w:jc w:val="left"/>
              <w:rPr>
                <w:color w:val="3E3935"/>
              </w:rPr>
            </w:pPr>
            <w:r>
              <w:rPr>
                <w:color w:val="3E3935"/>
              </w:rPr>
              <w:t>(4)</w:t>
            </w:r>
          </w:p>
        </w:tc>
        <w:tc>
          <w:tcPr>
            <w:tcW w:w="62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Performance payout includes two percentage points for strong safety results per the plan. </w:t>
            </w:r>
          </w:p>
        </w:tc>
      </w:tr>
    </w:tbl>
    <w:p>
      <w:pPr>
        <w:pStyle w:val="TextBody"/>
        <w:bidi w:val="0"/>
        <w:spacing w:before="360" w:after="0"/>
        <w:jc w:val="left"/>
        <w:rPr>
          <w:rFonts w:ascii="arial" w:hAnsi="arial"/>
          <w:b/>
          <w:color w:val="3E3935"/>
          <w:sz w:val="26"/>
        </w:rPr>
      </w:pPr>
      <w:r>
        <w:rPr>
          <w:rFonts w:ascii="arial" w:hAnsi="arial"/>
          <w:b/>
          <w:color w:val="3E3935"/>
          <w:sz w:val="26"/>
        </w:rPr>
        <w:t xml:space="preserve">2021–2023 LTIP Results </w:t>
      </w:r>
    </w:p>
    <w:p>
      <w:pPr>
        <w:pStyle w:val="TextBody"/>
        <w:bidi w:val="0"/>
        <w:spacing w:before="120" w:after="0"/>
        <w:jc w:val="both"/>
        <w:rPr>
          <w:rFonts w:ascii="arial" w:hAnsi="arial"/>
          <w:color w:val="3E3935"/>
          <w:sz w:val="18"/>
        </w:rPr>
      </w:pPr>
      <w:r>
        <w:rPr>
          <w:rFonts w:ascii="arial" w:hAnsi="arial"/>
          <w:color w:val="3E3935"/>
          <w:sz w:val="18"/>
        </w:rPr>
        <w:t xml:space="preserve">The 2021-2023 PSUs vested on February 18, 2024, based on Company performance for the three-year performance period beginning January 1, 2021 and ending December 31, 2023, against pre-established performance targets for Relative ROIC-adjusted and Relative TSR. Final LTIP performance approved by the Compensation Committee is displayed below. </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1760"/>
        <w:gridCol w:w="120"/>
        <w:gridCol w:w="141"/>
        <w:gridCol w:w="614"/>
        <w:gridCol w:w="60"/>
        <w:gridCol w:w="120"/>
        <w:gridCol w:w="128"/>
        <w:gridCol w:w="942"/>
        <w:gridCol w:w="60"/>
        <w:gridCol w:w="120"/>
        <w:gridCol w:w="85"/>
        <w:gridCol w:w="625"/>
        <w:gridCol w:w="60"/>
        <w:gridCol w:w="120"/>
        <w:gridCol w:w="103"/>
        <w:gridCol w:w="967"/>
        <w:gridCol w:w="60"/>
        <w:gridCol w:w="120"/>
        <w:gridCol w:w="60"/>
        <w:gridCol w:w="1670"/>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3210" w:type="dxa"/>
            <w:gridSpan w:val="10"/>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Percentile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6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LTIP Measure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Weight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Threshold</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1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Target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Maximum</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73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Performance</w:t>
              <w:br/>
              <w:t>Result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Relative ROIC-adjusted</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color w:val="3E3935"/>
              </w:rPr>
            </w:pPr>
            <w:r>
              <w:rPr>
                <w:color w:val="3E3935"/>
              </w:rPr>
              <w:t> </w:t>
            </w:r>
          </w:p>
        </w:tc>
        <w:tc>
          <w:tcPr>
            <w:tcW w:w="614" w:type="dxa"/>
            <w:tcBorders/>
            <w:vAlign w:val="center"/>
          </w:tcPr>
          <w:p>
            <w:pPr>
              <w:pStyle w:val="TableContents"/>
              <w:bidi w:val="0"/>
              <w:spacing w:before="0" w:after="283"/>
              <w:jc w:val="right"/>
              <w:rPr>
                <w:color w:val="3E3935"/>
              </w:rPr>
            </w:pPr>
            <w:r>
              <w:rPr>
                <w:color w:val="3E3935"/>
              </w:rPr>
              <w:t>50%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color w:val="3E3935"/>
              </w:rPr>
            </w:pPr>
            <w:r>
              <w:rPr>
                <w:color w:val="3E3935"/>
              </w:rPr>
              <w:t> </w:t>
            </w:r>
          </w:p>
        </w:tc>
        <w:tc>
          <w:tcPr>
            <w:tcW w:w="942" w:type="dxa"/>
            <w:tcBorders/>
            <w:vAlign w:val="center"/>
          </w:tcPr>
          <w:p>
            <w:pPr>
              <w:pStyle w:val="TableContents"/>
              <w:bidi w:val="0"/>
              <w:spacing w:before="0" w:after="283"/>
              <w:jc w:val="right"/>
              <w:rPr>
                <w:color w:val="3E3935"/>
              </w:rPr>
            </w:pPr>
            <w:r>
              <w:rPr>
                <w:color w:val="3E3935"/>
              </w:rPr>
              <w:t>35th</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color w:val="3E3935"/>
              </w:rPr>
            </w:pPr>
            <w:r>
              <w:rPr>
                <w:color w:val="3E3935"/>
              </w:rPr>
              <w:t> </w:t>
            </w:r>
          </w:p>
        </w:tc>
        <w:tc>
          <w:tcPr>
            <w:tcW w:w="625" w:type="dxa"/>
            <w:tcBorders/>
            <w:vAlign w:val="center"/>
          </w:tcPr>
          <w:p>
            <w:pPr>
              <w:pStyle w:val="TableContents"/>
              <w:bidi w:val="0"/>
              <w:spacing w:before="0" w:after="283"/>
              <w:jc w:val="right"/>
              <w:rPr>
                <w:color w:val="3E3935"/>
              </w:rPr>
            </w:pPr>
            <w:r>
              <w:rPr>
                <w:color w:val="3E3935"/>
              </w:rPr>
              <w:t>60th</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color w:val="3E3935"/>
              </w:rPr>
            </w:pPr>
            <w:r>
              <w:rPr>
                <w:color w:val="3E3935"/>
              </w:rPr>
              <w:t> </w:t>
            </w:r>
          </w:p>
        </w:tc>
        <w:tc>
          <w:tcPr>
            <w:tcW w:w="967" w:type="dxa"/>
            <w:tcBorders/>
            <w:vAlign w:val="center"/>
          </w:tcPr>
          <w:p>
            <w:pPr>
              <w:pStyle w:val="TableContents"/>
              <w:bidi w:val="0"/>
              <w:spacing w:before="0" w:after="283"/>
              <w:jc w:val="right"/>
              <w:rPr>
                <w:color w:val="3E3935"/>
              </w:rPr>
            </w:pPr>
            <w:r>
              <w:rPr>
                <w:color w:val="3E3935"/>
              </w:rPr>
              <w:t>100th</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670" w:type="dxa"/>
            <w:tcBorders/>
            <w:vAlign w:val="center"/>
          </w:tcPr>
          <w:p>
            <w:pPr>
              <w:pStyle w:val="TableContents"/>
              <w:bidi w:val="0"/>
              <w:spacing w:before="0" w:after="283"/>
              <w:jc w:val="right"/>
              <w:rPr>
                <w:color w:val="3E3935"/>
              </w:rPr>
            </w:pPr>
            <w:r>
              <w:rPr>
                <w:color w:val="3E3935"/>
              </w:rPr>
              <w:t>79th Percentile</w:t>
            </w:r>
          </w:p>
        </w:tc>
        <w:tc>
          <w:tcPr>
            <w:tcW w:w="75" w:type="dxa"/>
            <w:tcBorders/>
            <w:vAlign w:val="center"/>
          </w:tcPr>
          <w:p>
            <w:pPr>
              <w:pStyle w:val="TableContents"/>
              <w:bidi w:val="0"/>
              <w:spacing w:before="0" w:after="283"/>
              <w:jc w:val="left"/>
              <w:rPr>
                <w:color w:val="3E3935"/>
              </w:rPr>
            </w:pPr>
            <w:r>
              <w:rPr>
                <w:color w:val="3E3935"/>
              </w:rPr>
              <w:t> </w:t>
            </w:r>
          </w:p>
        </w:tc>
      </w:tr>
      <w:tr>
        <w:trPr/>
        <w:tc>
          <w:tcPr>
            <w:tcW w:w="1760" w:type="dxa"/>
            <w:tcBorders/>
            <w:shd w:fill="CCF2F8" w:val="clear"/>
            <w:vAlign w:val="center"/>
          </w:tcPr>
          <w:p>
            <w:pPr>
              <w:pStyle w:val="TableContents"/>
              <w:bidi w:val="0"/>
              <w:spacing w:before="0" w:after="283"/>
              <w:jc w:val="left"/>
              <w:rPr>
                <w:sz w:val="4"/>
                <w:szCs w:val="4"/>
              </w:rPr>
            </w:pPr>
            <w:r>
              <w:rPr>
                <w:sz w:val="4"/>
                <w:szCs w:val="4"/>
              </w:rPr>
            </w:r>
          </w:p>
        </w:tc>
        <w:tc>
          <w:tcPr>
            <w:tcW w:w="935" w:type="dxa"/>
            <w:gridSpan w:val="4"/>
            <w:tcBorders/>
            <w:shd w:fill="CCF2F8" w:val="clear"/>
            <w:vAlign w:val="center"/>
          </w:tcPr>
          <w:p>
            <w:pPr>
              <w:pStyle w:val="TableContents"/>
              <w:bidi w:val="0"/>
              <w:spacing w:before="0" w:after="283"/>
              <w:jc w:val="left"/>
              <w:rPr>
                <w:sz w:val="4"/>
                <w:szCs w:val="4"/>
              </w:rPr>
            </w:pPr>
            <w:r>
              <w:rPr>
                <w:sz w:val="4"/>
                <w:szCs w:val="4"/>
              </w:rPr>
            </w:r>
          </w:p>
        </w:tc>
        <w:tc>
          <w:tcPr>
            <w:tcW w:w="1250" w:type="dxa"/>
            <w:gridSpan w:val="4"/>
            <w:tcBorders/>
            <w:shd w:fill="CCF2F8" w:val="clear"/>
            <w:vAlign w:val="center"/>
          </w:tcPr>
          <w:p>
            <w:pPr>
              <w:pStyle w:val="TableContents"/>
              <w:bidi w:val="0"/>
              <w:spacing w:before="0" w:after="283"/>
              <w:jc w:val="left"/>
              <w:rPr>
                <w:sz w:val="4"/>
                <w:szCs w:val="4"/>
              </w:rPr>
            </w:pPr>
            <w:r>
              <w:rPr>
                <w:sz w:val="4"/>
                <w:szCs w:val="4"/>
              </w:rPr>
            </w:r>
          </w:p>
        </w:tc>
        <w:tc>
          <w:tcPr>
            <w:tcW w:w="890" w:type="dxa"/>
            <w:gridSpan w:val="4"/>
            <w:tcBorders/>
            <w:shd w:fill="CCF2F8" w:val="clear"/>
            <w:vAlign w:val="center"/>
          </w:tcPr>
          <w:p>
            <w:pPr>
              <w:pStyle w:val="TableContents"/>
              <w:bidi w:val="0"/>
              <w:spacing w:before="0" w:after="283"/>
              <w:jc w:val="left"/>
              <w:rPr>
                <w:sz w:val="4"/>
                <w:szCs w:val="4"/>
              </w:rPr>
            </w:pPr>
            <w:r>
              <w:rPr>
                <w:sz w:val="4"/>
                <w:szCs w:val="4"/>
              </w:rPr>
            </w:r>
          </w:p>
        </w:tc>
        <w:tc>
          <w:tcPr>
            <w:tcW w:w="1250" w:type="dxa"/>
            <w:gridSpan w:val="4"/>
            <w:tcBorders/>
            <w:shd w:fill="CCF2F8" w:val="clear"/>
            <w:vAlign w:val="center"/>
          </w:tcPr>
          <w:p>
            <w:pPr>
              <w:pStyle w:val="TableContents"/>
              <w:bidi w:val="0"/>
              <w:spacing w:before="0" w:after="283"/>
              <w:jc w:val="left"/>
              <w:rPr>
                <w:sz w:val="4"/>
                <w:szCs w:val="4"/>
              </w:rPr>
            </w:pPr>
            <w:r>
              <w:rPr>
                <w:sz w:val="4"/>
                <w:szCs w:val="4"/>
              </w:rPr>
            </w:r>
          </w:p>
        </w:tc>
        <w:tc>
          <w:tcPr>
            <w:tcW w:w="192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76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Relative TSR</w:t>
            </w:r>
          </w:p>
        </w:tc>
        <w:tc>
          <w:tcPr>
            <w:tcW w:w="120" w:type="dxa"/>
            <w:tcBorders/>
            <w:shd w:fill="CCF2F8" w:val="clear"/>
            <w:vAlign w:val="center"/>
          </w:tcPr>
          <w:p>
            <w:pPr>
              <w:pStyle w:val="TableContents"/>
              <w:bidi w:val="0"/>
              <w:spacing w:before="0" w:after="283"/>
              <w:jc w:val="left"/>
              <w:rPr/>
            </w:pPr>
            <w:r>
              <w:rPr/>
              <w:t>  </w:t>
            </w:r>
          </w:p>
        </w:tc>
        <w:tc>
          <w:tcPr>
            <w:tcW w:w="141" w:type="dxa"/>
            <w:tcBorders/>
            <w:shd w:fill="CCF2F8" w:val="clear"/>
            <w:vAlign w:val="center"/>
          </w:tcPr>
          <w:p>
            <w:pPr>
              <w:pStyle w:val="TableContents"/>
              <w:bidi w:val="0"/>
              <w:spacing w:before="0" w:after="283"/>
              <w:jc w:val="left"/>
              <w:rPr>
                <w:color w:val="3E3935"/>
              </w:rPr>
            </w:pPr>
            <w:r>
              <w:rPr>
                <w:color w:val="3E3935"/>
              </w:rPr>
              <w:t> </w:t>
            </w:r>
          </w:p>
        </w:tc>
        <w:tc>
          <w:tcPr>
            <w:tcW w:w="614" w:type="dxa"/>
            <w:tcBorders/>
            <w:shd w:fill="CCF2F8" w:val="clear"/>
            <w:vAlign w:val="center"/>
          </w:tcPr>
          <w:p>
            <w:pPr>
              <w:pStyle w:val="TableContents"/>
              <w:bidi w:val="0"/>
              <w:spacing w:before="0" w:after="283"/>
              <w:jc w:val="right"/>
              <w:rPr>
                <w:color w:val="3E3935"/>
              </w:rPr>
            </w:pPr>
            <w:r>
              <w:rPr>
                <w:color w:val="3E3935"/>
              </w:rPr>
              <w:t>50%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8" w:type="dxa"/>
            <w:tcBorders/>
            <w:shd w:fill="CCF2F8" w:val="clear"/>
            <w:vAlign w:val="center"/>
          </w:tcPr>
          <w:p>
            <w:pPr>
              <w:pStyle w:val="TableContents"/>
              <w:bidi w:val="0"/>
              <w:spacing w:before="0" w:after="283"/>
              <w:jc w:val="left"/>
              <w:rPr>
                <w:color w:val="3E3935"/>
              </w:rPr>
            </w:pPr>
            <w:r>
              <w:rPr>
                <w:color w:val="3E3935"/>
              </w:rPr>
              <w:t> </w:t>
            </w:r>
          </w:p>
        </w:tc>
        <w:tc>
          <w:tcPr>
            <w:tcW w:w="942" w:type="dxa"/>
            <w:tcBorders/>
            <w:shd w:fill="CCF2F8" w:val="clear"/>
            <w:vAlign w:val="center"/>
          </w:tcPr>
          <w:p>
            <w:pPr>
              <w:pStyle w:val="TableContents"/>
              <w:bidi w:val="0"/>
              <w:spacing w:before="0" w:after="283"/>
              <w:jc w:val="right"/>
              <w:rPr>
                <w:color w:val="3E3935"/>
              </w:rPr>
            </w:pPr>
            <w:r>
              <w:rPr>
                <w:color w:val="3E3935"/>
              </w:rPr>
              <w:t>25th</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5" w:type="dxa"/>
            <w:tcBorders/>
            <w:shd w:fill="CCF2F8" w:val="clear"/>
            <w:vAlign w:val="center"/>
          </w:tcPr>
          <w:p>
            <w:pPr>
              <w:pStyle w:val="TableContents"/>
              <w:bidi w:val="0"/>
              <w:spacing w:before="0" w:after="283"/>
              <w:jc w:val="left"/>
              <w:rPr>
                <w:color w:val="3E3935"/>
              </w:rPr>
            </w:pPr>
            <w:r>
              <w:rPr>
                <w:color w:val="3E3935"/>
              </w:rPr>
              <w:t> </w:t>
            </w:r>
          </w:p>
        </w:tc>
        <w:tc>
          <w:tcPr>
            <w:tcW w:w="625" w:type="dxa"/>
            <w:tcBorders/>
            <w:shd w:fill="CCF2F8" w:val="clear"/>
            <w:vAlign w:val="center"/>
          </w:tcPr>
          <w:p>
            <w:pPr>
              <w:pStyle w:val="TableContents"/>
              <w:bidi w:val="0"/>
              <w:spacing w:before="0" w:after="283"/>
              <w:jc w:val="right"/>
              <w:rPr>
                <w:color w:val="3E3935"/>
              </w:rPr>
            </w:pPr>
            <w:r>
              <w:rPr>
                <w:color w:val="3E3935"/>
              </w:rPr>
              <w:t>50th</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03" w:type="dxa"/>
            <w:tcBorders/>
            <w:shd w:fill="CCF2F8" w:val="clear"/>
            <w:vAlign w:val="center"/>
          </w:tcPr>
          <w:p>
            <w:pPr>
              <w:pStyle w:val="TableContents"/>
              <w:bidi w:val="0"/>
              <w:spacing w:before="0" w:after="283"/>
              <w:jc w:val="left"/>
              <w:rPr>
                <w:color w:val="3E3935"/>
              </w:rPr>
            </w:pPr>
            <w:r>
              <w:rPr>
                <w:color w:val="3E3935"/>
              </w:rPr>
              <w:t> </w:t>
            </w:r>
          </w:p>
        </w:tc>
        <w:tc>
          <w:tcPr>
            <w:tcW w:w="967" w:type="dxa"/>
            <w:tcBorders/>
            <w:shd w:fill="CCF2F8" w:val="clear"/>
            <w:vAlign w:val="center"/>
          </w:tcPr>
          <w:p>
            <w:pPr>
              <w:pStyle w:val="TableContents"/>
              <w:bidi w:val="0"/>
              <w:spacing w:before="0" w:after="283"/>
              <w:jc w:val="right"/>
              <w:rPr>
                <w:color w:val="3E3935"/>
              </w:rPr>
            </w:pPr>
            <w:r>
              <w:rPr>
                <w:color w:val="3E3935"/>
              </w:rPr>
              <w:t>75th</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670" w:type="dxa"/>
            <w:tcBorders/>
            <w:shd w:fill="CCF2F8" w:val="clear"/>
            <w:vAlign w:val="center"/>
          </w:tcPr>
          <w:p>
            <w:pPr>
              <w:pStyle w:val="TableContents"/>
              <w:bidi w:val="0"/>
              <w:spacing w:before="0" w:after="283"/>
              <w:jc w:val="right"/>
              <w:rPr>
                <w:color w:val="3E3935"/>
              </w:rPr>
            </w:pPr>
            <w:r>
              <w:rPr>
                <w:color w:val="3E3935"/>
              </w:rPr>
              <w:t>Below Threshold</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71CE"/>
            </w:tcBorders>
            <w:tcMar>
              <w:bottom w:w="8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Performance Payout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41" w:type="dxa"/>
            <w:tcBorders>
              <w:bottom w:val="single" w:sz="6" w:space="0" w:color="0071CE"/>
            </w:tcBorders>
            <w:tcMar>
              <w:bottom w:w="28" w:type="dxa"/>
            </w:tcMar>
            <w:vAlign w:val="center"/>
          </w:tcPr>
          <w:p>
            <w:pPr>
              <w:pStyle w:val="TableContents"/>
              <w:bidi w:val="0"/>
              <w:spacing w:before="0" w:after="283"/>
              <w:jc w:val="left"/>
              <w:rPr/>
            </w:pPr>
            <w:r>
              <w:rPr/>
              <w:t> </w:t>
            </w:r>
          </w:p>
        </w:tc>
        <w:tc>
          <w:tcPr>
            <w:tcW w:w="614"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8" w:type="dxa"/>
            <w:tcBorders>
              <w:bottom w:val="single" w:sz="6" w:space="0" w:color="0071CE"/>
            </w:tcBorders>
            <w:tcMar>
              <w:bottom w:w="28" w:type="dxa"/>
            </w:tcMar>
            <w:vAlign w:val="center"/>
          </w:tcPr>
          <w:p>
            <w:pPr>
              <w:pStyle w:val="TableContents"/>
              <w:bidi w:val="0"/>
              <w:spacing w:before="0" w:after="283"/>
              <w:jc w:val="left"/>
              <w:rPr/>
            </w:pPr>
            <w:r>
              <w:rPr/>
              <w:t> </w:t>
            </w:r>
          </w:p>
        </w:tc>
        <w:tc>
          <w:tcPr>
            <w:tcW w:w="942"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5" w:type="dxa"/>
            <w:tcBorders>
              <w:bottom w:val="single" w:sz="6" w:space="0" w:color="0071CE"/>
            </w:tcBorders>
            <w:tcMar>
              <w:bottom w:w="28" w:type="dxa"/>
            </w:tcMar>
            <w:vAlign w:val="center"/>
          </w:tcPr>
          <w:p>
            <w:pPr>
              <w:pStyle w:val="TableContents"/>
              <w:bidi w:val="0"/>
              <w:spacing w:before="0" w:after="283"/>
              <w:jc w:val="left"/>
              <w:rPr/>
            </w:pPr>
            <w:r>
              <w:rPr/>
              <w:t> </w:t>
            </w:r>
          </w:p>
        </w:tc>
        <w:tc>
          <w:tcPr>
            <w:tcW w:w="62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3" w:type="dxa"/>
            <w:tcBorders>
              <w:bottom w:val="single" w:sz="6" w:space="0" w:color="0071CE"/>
            </w:tcBorders>
            <w:tcMar>
              <w:bottom w:w="28" w:type="dxa"/>
            </w:tcMar>
            <w:vAlign w:val="center"/>
          </w:tcPr>
          <w:p>
            <w:pPr>
              <w:pStyle w:val="TableContents"/>
              <w:bidi w:val="0"/>
              <w:spacing w:before="0" w:after="283"/>
              <w:jc w:val="left"/>
              <w:rPr/>
            </w:pPr>
            <w:r>
              <w:rPr/>
              <w:t> </w:t>
            </w:r>
          </w:p>
        </w:tc>
        <w:tc>
          <w:tcPr>
            <w:tcW w:w="967"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0071CE"/>
              </w:rPr>
            </w:pPr>
            <w:r>
              <w:rPr>
                <w:color w:val="0071CE"/>
              </w:rPr>
              <w:t> </w:t>
            </w:r>
          </w:p>
        </w:tc>
        <w:tc>
          <w:tcPr>
            <w:tcW w:w="1670" w:type="dxa"/>
            <w:tcBorders>
              <w:bottom w:val="single" w:sz="6" w:space="0" w:color="0071CE"/>
            </w:tcBorders>
            <w:tcMar>
              <w:bottom w:w="80" w:type="dxa"/>
            </w:tcMar>
            <w:vAlign w:val="center"/>
          </w:tcPr>
          <w:p>
            <w:pPr>
              <w:pStyle w:val="TableContents"/>
              <w:bidi w:val="0"/>
              <w:spacing w:before="0" w:after="283"/>
              <w:jc w:val="right"/>
              <w:rPr>
                <w:b/>
                <w:color w:val="0071CE"/>
              </w:rPr>
            </w:pPr>
            <w:r>
              <w:rPr>
                <w:b/>
                <w:color w:val="0071CE"/>
              </w:rPr>
              <w:t>74% of Target</w:t>
            </w:r>
          </w:p>
        </w:tc>
        <w:tc>
          <w:tcPr>
            <w:tcW w:w="75" w:type="dxa"/>
            <w:tcBorders>
              <w:bottom w:val="single" w:sz="6" w:space="0" w:color="0071CE"/>
            </w:tcBorders>
            <w:tcMar>
              <w:bottom w:w="80" w:type="dxa"/>
            </w:tcMar>
            <w:vAlign w:val="center"/>
          </w:tcPr>
          <w:p>
            <w:pPr>
              <w:pStyle w:val="TableContents"/>
              <w:bidi w:val="0"/>
              <w:spacing w:before="0" w:after="283"/>
              <w:jc w:val="left"/>
              <w:rPr>
                <w:color w:val="0071CE"/>
              </w:rPr>
            </w:pPr>
            <w:r>
              <w:rPr>
                <w:color w:val="0071CE"/>
              </w:rPr>
              <w:t> </w:t>
            </w:r>
          </w:p>
        </w:tc>
      </w:tr>
    </w:tbl>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56</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4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4" descr=""/>
                          <pic:cNvPicPr>
                            <a:picLocks noChangeAspect="1" noChangeArrowheads="1"/>
                          </pic:cNvPicPr>
                        </pic:nvPicPr>
                        <pic:blipFill>
                          <a:blip r:embed="rId233"/>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211955" cy="9972040"/>
                <wp:effectExtent l="0" t="0" r="0" b="0"/>
                <wp:wrapSquare wrapText="right"/>
                <wp:docPr id="241" name="Frame9"/>
                <a:graphic xmlns:a="http://schemas.openxmlformats.org/drawingml/2006/main">
                  <a:graphicData uri="http://schemas.microsoft.com/office/word/2010/wordprocessingShape">
                    <wps:wsp>
                      <wps:cNvSpPr txBox="1"/>
                      <wps:spPr>
                        <a:xfrm>
                          <a:off x="0" y="0"/>
                          <a:ext cx="4211955" cy="9972040"/>
                        </a:xfrm>
                        <a:prstGeom prst="rect"/>
                        <a:solidFill>
                          <a:srgbClr val="FFFFFF"/>
                        </a:solidFill>
                      </wps:spPr>
                      <wps:txbx>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Mary T. Barra </w:t>
                            </w:r>
                          </w:p>
                          <w:p>
                            <w:pPr>
                              <w:pStyle w:val="TextBody"/>
                              <w:bidi w:val="0"/>
                              <w:spacing w:before="120" w:after="0"/>
                              <w:jc w:val="left"/>
                              <w:rPr>
                                <w:rFonts w:ascii="arial" w:hAnsi="arial"/>
                                <w:b/>
                                <w:color w:val="3E3935"/>
                                <w:sz w:val="22"/>
                              </w:rPr>
                            </w:pPr>
                            <w:r>
                              <w:rPr>
                                <w:rFonts w:ascii="arial" w:hAnsi="arial"/>
                                <w:b/>
                                <w:color w:val="3E3935"/>
                                <w:sz w:val="22"/>
                              </w:rPr>
                              <w:t xml:space="preserve">Chair and Chief Executive Officer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6"/>
                              </w:rPr>
                            </w:pPr>
                            <w:r>
                              <w:rPr>
                                <w:rFonts w:ascii="arial" w:hAnsi="arial"/>
                                <w:color w:val="3E3935"/>
                                <w:sz w:val="16"/>
                              </w:rPr>
                              <w:t xml:space="preserve">The Compensation Committee made the following pay decisions based on performance, competitive market data, and feedback from its independent compensation consultant: </w:t>
                            </w:r>
                          </w:p>
                          <w:p>
                            <w:pPr>
                              <w:pStyle w:val="TextBody"/>
                              <w:bidi w:val="0"/>
                              <w:spacing w:before="120" w:after="0"/>
                              <w:jc w:val="left"/>
                              <w:rPr>
                                <w:rFonts w:ascii="arial" w:hAnsi="arial"/>
                                <w:sz w:val="16"/>
                              </w:rPr>
                            </w:pPr>
                            <w:r>
                              <w:rPr>
                                <w:rFonts w:ascii="arial" w:hAnsi="arial"/>
                                <w:b/>
                                <w:color w:val="0071CE"/>
                                <w:sz w:val="16"/>
                              </w:rPr>
                              <w:t>Base Salary</w:t>
                            </w:r>
                            <w:r>
                              <w:rPr>
                                <w:rFonts w:ascii="arial" w:hAnsi="arial"/>
                                <w:color w:val="3E3935"/>
                                <w:sz w:val="16"/>
                              </w:rPr>
                              <w:t xml:space="preserve"> – Held base salary at $2,100,000. </w:t>
                            </w:r>
                          </w:p>
                          <w:p>
                            <w:pPr>
                              <w:pStyle w:val="TextBody"/>
                              <w:bidi w:val="0"/>
                              <w:spacing w:before="120" w:after="0"/>
                              <w:jc w:val="left"/>
                              <w:rPr>
                                <w:rFonts w:ascii="arial" w:hAnsi="arial"/>
                                <w:sz w:val="16"/>
                              </w:rPr>
                            </w:pPr>
                            <w:r>
                              <w:rPr>
                                <w:rFonts w:ascii="arial" w:hAnsi="arial"/>
                                <w:b/>
                                <w:color w:val="0071CE"/>
                                <w:sz w:val="16"/>
                              </w:rPr>
                              <w:t>Short-Term Incentive</w:t>
                            </w:r>
                            <w:r>
                              <w:rPr>
                                <w:rFonts w:ascii="arial" w:hAnsi="arial"/>
                                <w:color w:val="3E3935"/>
                                <w:sz w:val="16"/>
                              </w:rPr>
                              <w:t xml:space="preserve"> – Awarded 25 points out of a 25-point target and 50-point maximum for the strategic goals portion for the 2023 STIP performance year. In determining the number of points earned, the Compensation Committee considered these results for Ms. Barra: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Led the Company to third consecutive year of reaching or exceeding financial targets, including record net income attributable to stockholders of $10.1 billion, and strong EBIT-adjusted of $12.4 billion;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Generated robust cash flow, which enabled a significant amount of cash to be returned to shareholders including a $10 billion accelerated share repurchase program and a 33 percent increase in the stock dividend starting in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Grew year-over-year sales of all U.S. brands, generating record revenue of $171.8 billion (up 10% year-over-year),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10069" w:type="dxa"/>
                                  <w:gridSpan w:val="2"/>
                                  <w:tcBorders/>
                                  <w:shd w:fill="CCF2F8" w:val="clear"/>
                                  <w:vAlign w:val="center"/>
                                </w:tcPr>
                                <w:p>
                                  <w:pPr>
                                    <w:pStyle w:val="TableContents"/>
                                    <w:bidi w:val="0"/>
                                    <w:spacing w:before="0" w:after="283"/>
                                    <w:jc w:val="left"/>
                                    <w:rPr>
                                      <w:sz w:val="4"/>
                                      <w:szCs w:val="4"/>
                                    </w:rPr>
                                  </w:pPr>
                                  <w:r>
                                    <w:rPr>
                                      <w:sz w:val="4"/>
                                      <w:szCs w:val="4"/>
                                    </w:rPr>
                                  </w:r>
                                </w:p>
                              </w:tc>
                              <w:tc>
                                <w:tcPr>
                                  <w:tcW w:w="9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lineRule="atLeast" w:line="400" w:before="0" w:after="0"/>
                                    <w:jc w:val="left"/>
                                    <w:rPr>
                                      <w:rFonts w:ascii="arial" w:hAnsi="arial"/>
                                      <w:b/>
                                      <w:color w:val="3E3935"/>
                                      <w:sz w:val="16"/>
                                    </w:rPr>
                                  </w:pPr>
                                  <w:r>
                                    <w:rPr>
                                      <w:rFonts w:ascii="arial" w:hAnsi="arial"/>
                                      <w:b/>
                                      <w:color w:val="3E3935"/>
                                      <w:sz w:val="16"/>
                                    </w:rPr>
                                    <w:t>Our People</w:t>
                                  </w:r>
                                </w:p>
                                <w:p>
                                  <w:pPr>
                                    <w:pStyle w:val="TableContents"/>
                                    <w:bidi w:val="0"/>
                                    <w:spacing w:before="0" w:after="20"/>
                                    <w:jc w:val="left"/>
                                    <w:rPr>
                                      <w:color w:val="3E3935"/>
                                    </w:rPr>
                                  </w:pPr>
                                  <w:r>
                                    <w:rPr>
                                      <w:color w:val="0071CE"/>
                                    </w:rPr>
                                    <w:t>•</w:t>
                                  </w:r>
                                  <w:r>
                                    <w:rPr>
                                      <w:color w:val="3E3935"/>
                                    </w:rPr>
                                    <w:t>  </w:t>
                                  </w:r>
                                  <w:r>
                                    <w:rPr>
                                      <w:rFonts w:ascii="arial" w:hAnsi="arial"/>
                                      <w:color w:val="3E3935"/>
                                      <w:sz w:val="16"/>
                                    </w:rPr>
                                    <w:t xml:space="preserve">Continued employee engagement in GM’s safety-first culture resulting in zero fatalities and reductions in injuries  </w:t>
                                  </w:r>
                                  <w:r>
                                    <w:rPr>
                                      <w:rFonts w:ascii="arial" w:hAnsi="arial"/>
                                      <w:color w:val="3E3935"/>
                                      <w:sz w:val="16"/>
                                    </w:rPr>
                                    <w:drawing>
                                      <wp:inline distT="0" distB="0" distL="0" distR="0">
                                        <wp:extent cx="85725" cy="85725"/>
                                        <wp:effectExtent l="0" t="0" r="0" b="0"/>
                                        <wp:docPr id="242"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5" descr=""/>
                                                <pic:cNvPicPr>
                                                  <a:picLocks noChangeAspect="1" noChangeArrowheads="1"/>
                                                </pic:cNvPicPr>
                                              </pic:nvPicPr>
                                              <pic:blipFill>
                                                <a:blip r:embed="rId234"/>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Executed on our cultural transformation by strengthening leadership skills with delivery of performance feedback training to over 8,000 people leaders with a 97 percent satisfaction rate  </w:t>
                                  </w:r>
                                  <w:r>
                                    <w:rPr>
                                      <w:rFonts w:ascii="arial" w:hAnsi="arial"/>
                                      <w:color w:val="3E3935"/>
                                      <w:sz w:val="16"/>
                                    </w:rPr>
                                    <w:drawing>
                                      <wp:inline distT="0" distB="0" distL="0" distR="0">
                                        <wp:extent cx="85725" cy="85725"/>
                                        <wp:effectExtent l="0" t="0" r="0" b="0"/>
                                        <wp:docPr id="243"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6" descr=""/>
                                                <pic:cNvPicPr>
                                                  <a:picLocks noChangeAspect="1" noChangeArrowheads="1"/>
                                                </pic:cNvPicPr>
                                              </pic:nvPicPr>
                                              <pic:blipFill>
                                                <a:blip r:embed="rId235"/>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6"/>
                                    </w:rPr>
                                  </w:pPr>
                                  <w:r>
                                    <w:rPr>
                                      <w:rFonts w:ascii="arial" w:hAnsi="arial"/>
                                      <w:b/>
                                      <w:color w:val="3E3935"/>
                                      <w:sz w:val="16"/>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Led GM in truck and full-size SUV sales leadership for the 10th consecutive year, and delivered more than 1 million crossover SUVs including products like the Buick Envista, Chevrolet Trailblazer and Chevrolet Trax</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Made significant progress on GM’s EV transition with increasing sales and production of the Cadillac LYRIQ and GMC HUMMER EV and launch of the Chevrolet Silverado EV Work Truck</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Created a new integrated end-to-end software organization focused on the development of vehicle and enterprise software technologies to enhance the customer experience, led by innovators with extensive technology industry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6"/>
                                    </w:rPr>
                                  </w:pPr>
                                  <w:r>
                                    <w:rPr>
                                      <w:rFonts w:ascii="arial" w:hAnsi="arial"/>
                                      <w:b/>
                                      <w:color w:val="3E3935"/>
                                      <w:sz w:val="16"/>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Received 2023 ENERGY STAR Sustained Excellence Award from U.S. Environmental Protection Agency and U.S. Department of Energy for the 12th year for GM’s commitment to fighting climate change and protecting public health  </w:t>
                                  </w:r>
                                  <w:r>
                                    <w:rPr>
                                      <w:rFonts w:ascii="arial" w:hAnsi="arial"/>
                                      <w:color w:val="3E3935"/>
                                      <w:sz w:val="16"/>
                                    </w:rPr>
                                    <w:drawing>
                                      <wp:inline distT="0" distB="0" distL="0" distR="0">
                                        <wp:extent cx="85725" cy="85725"/>
                                        <wp:effectExtent l="0" t="0" r="0" b="0"/>
                                        <wp:docPr id="244"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7" descr=""/>
                                                <pic:cNvPicPr>
                                                  <a:picLocks noChangeAspect="1" noChangeArrowheads="1"/>
                                                </pic:cNvPicPr>
                                              </pic:nvPicPr>
                                              <pic:blipFill>
                                                <a:blip r:embed="rId236"/>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Named as the only automaker on Ethisphere’s World’s Most Ethical Companies list for the fifth year in a row  </w:t>
                                  </w:r>
                                  <w:r>
                                    <w:rPr>
                                      <w:rFonts w:ascii="arial" w:hAnsi="arial"/>
                                      <w:color w:val="3E3935"/>
                                      <w:sz w:val="16"/>
                                    </w:rPr>
                                    <w:drawing>
                                      <wp:inline distT="0" distB="0" distL="0" distR="0">
                                        <wp:extent cx="85725" cy="85725"/>
                                        <wp:effectExtent l="0" t="0" r="0" b="0"/>
                                        <wp:docPr id="24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8" descr=""/>
                                                <pic:cNvPicPr>
                                                  <a:picLocks noChangeAspect="1" noChangeArrowheads="1"/>
                                                </pic:cNvPicPr>
                                              </pic:nvPicPr>
                                              <pic:blipFill>
                                                <a:blip r:embed="rId237"/>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Ranked first on Fortune 500’s 2023 “Change the World” list in The American Electrifiers for GM’s leadership in the EV revolution and having a positive social impact through activities that are part of the Company’s business strategy  </w:t>
                                  </w:r>
                                  <w:r>
                                    <w:rPr>
                                      <w:rFonts w:ascii="arial" w:hAnsi="arial"/>
                                      <w:color w:val="3E3935"/>
                                      <w:sz w:val="16"/>
                                    </w:rPr>
                                    <w:drawing>
                                      <wp:inline distT="0" distB="0" distL="0" distR="0">
                                        <wp:extent cx="85725" cy="85725"/>
                                        <wp:effectExtent l="0" t="0" r="0" b="0"/>
                                        <wp:docPr id="246"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9" descr=""/>
                                                <pic:cNvPicPr>
                                                  <a:picLocks noChangeAspect="1" noChangeArrowheads="1"/>
                                                </pic:cNvPicPr>
                                              </pic:nvPicPr>
                                              <pic:blipFill>
                                                <a:blip r:embed="rId238"/>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10069" w:type="dxa"/>
                                  <w:gridSpan w:val="2"/>
                                  <w:tcBorders/>
                                  <w:shd w:fill="CCF2F8" w:val="clear"/>
                                  <w:vAlign w:val="center"/>
                                </w:tcPr>
                                <w:p>
                                  <w:pPr>
                                    <w:pStyle w:val="TableContents"/>
                                    <w:bidi w:val="0"/>
                                    <w:spacing w:before="0" w:after="283"/>
                                    <w:jc w:val="left"/>
                                    <w:rPr>
                                      <w:sz w:val="4"/>
                                      <w:szCs w:val="4"/>
                                    </w:rPr>
                                  </w:pPr>
                                  <w:r>
                                    <w:rPr>
                                      <w:sz w:val="4"/>
                                      <w:szCs w:val="4"/>
                                    </w:rPr>
                                  </w:r>
                                </w:p>
                              </w:tc>
                              <w:tc>
                                <w:tcPr>
                                  <w:tcW w:w="9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6"/>
                                    </w:rPr>
                                  </w:pPr>
                                  <w:r>
                                    <w:rPr>
                                      <w:rFonts w:ascii="arial" w:hAnsi="arial"/>
                                      <w:b/>
                                      <w:color w:val="3E3935"/>
                                      <w:sz w:val="16"/>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Continued portfolio leadership in ICE vehicles, momentum in EV production and launches, and investment in future growth through new software and services organization</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Continued the progress at GM International, which delivered $1.2 billion in EBIT-adjusted driven by key new vehicle launches such as the Chevrolet Montana and Chevrolet Trax while navigating a challenging environment</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Positioned GM to deliver the policy goals of the clean energy tax credits, introducing millions of customers to EVs and creating clean energy jobs in the U.S.  </w:t>
                                  </w:r>
                                  <w:r>
                                    <w:rPr>
                                      <w:rFonts w:ascii="arial" w:hAnsi="arial"/>
                                      <w:color w:val="3E3935"/>
                                      <w:sz w:val="16"/>
                                    </w:rPr>
                                    <w:drawing>
                                      <wp:inline distT="0" distB="0" distL="0" distR="0">
                                        <wp:extent cx="85725" cy="85725"/>
                                        <wp:effectExtent l="0" t="0" r="0" b="0"/>
                                        <wp:docPr id="247"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0" descr=""/>
                                                <pic:cNvPicPr>
                                                  <a:picLocks noChangeAspect="1" noChangeArrowheads="1"/>
                                                </pic:cNvPicPr>
                                              </pic:nvPicPr>
                                              <pic:blipFill>
                                                <a:blip r:embed="rId239"/>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6"/>
                                    </w:rPr>
                                  </w:pPr>
                                  <w:r>
                                    <w:rPr>
                                      <w:rFonts w:ascii="arial" w:hAnsi="arial"/>
                                      <w:b/>
                                      <w:color w:val="3E3935"/>
                                      <w:sz w:val="16"/>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Ranked as top manufacturer in the J.D. Power U.S. Initial Quality Study for the third time in four years, with seven model awards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Expanded customer access to EV charging, driving an agreement to enable GM owners access to the Tesla Supercharger network in 2024 and beyond and continuing other investments in charging infrastructure  </w:t>
                                  </w:r>
                                  <w:r>
                                    <w:rPr>
                                      <w:rFonts w:ascii="arial" w:hAnsi="arial"/>
                                      <w:color w:val="3E3935"/>
                                      <w:sz w:val="16"/>
                                    </w:rPr>
                                    <w:drawing>
                                      <wp:inline distT="0" distB="0" distL="0" distR="0">
                                        <wp:extent cx="85725" cy="85725"/>
                                        <wp:effectExtent l="0" t="0" r="0" b="0"/>
                                        <wp:docPr id="248"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1" descr=""/>
                                                <pic:cNvPicPr>
                                                  <a:picLocks noChangeAspect="1" noChangeArrowheads="1"/>
                                                </pic:cNvPicPr>
                                              </pic:nvPicPr>
                                              <pic:blipFill>
                                                <a:blip r:embed="rId240"/>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Entered joint venture with six other major automakers to create a high-powered charging network with a targeted installation of at least 30,000 chargers in urban and highway locations throughout North America to make EV charging more convenient, accessible, and reliable  </w:t>
                                  </w:r>
                                  <w:r>
                                    <w:rPr>
                                      <w:rFonts w:ascii="arial" w:hAnsi="arial"/>
                                      <w:color w:val="3E3935"/>
                                      <w:sz w:val="16"/>
                                    </w:rPr>
                                    <w:drawing>
                                      <wp:inline distT="0" distB="0" distL="0" distR="0">
                                        <wp:extent cx="85725" cy="85725"/>
                                        <wp:effectExtent l="0" t="0" r="0" b="0"/>
                                        <wp:docPr id="249"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2" descr=""/>
                                                <pic:cNvPicPr>
                                                  <a:picLocks noChangeAspect="1" noChangeArrowheads="1"/>
                                                </pic:cNvPicPr>
                                              </pic:nvPicPr>
                                              <pic:blipFill>
                                                <a:blip r:embed="rId241"/>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color w:val="3E3935"/>
                              </w:rPr>
                            </w:pPr>
                            <w:r>
                              <w:rPr>
                                <w:color w:val="3E3935"/>
                              </w:rPr>
                              <w:drawing>
                                <wp:inline distT="0" distB="0" distL="0" distR="0">
                                  <wp:extent cx="85725" cy="85725"/>
                                  <wp:effectExtent l="0" t="0" r="0" b="0"/>
                                  <wp:docPr id="250"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3" descr=""/>
                                          <pic:cNvPicPr>
                                            <a:picLocks noChangeAspect="1" noChangeArrowheads="1"/>
                                          </pic:cNvPicPr>
                                        </pic:nvPicPr>
                                        <pic:blipFill>
                                          <a:blip r:embed="rId242"/>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6"/>
                              </w:rPr>
                              <w:t xml:space="preserve">Represents Sustainability Results </w:t>
                            </w:r>
                          </w:p>
                          <w:p>
                            <w:pPr>
                              <w:pStyle w:val="TextBody"/>
                              <w:bidi w:val="0"/>
                              <w:spacing w:before="240" w:after="0"/>
                              <w:jc w:val="left"/>
                              <w:rPr>
                                <w:rFonts w:ascii="arial" w:hAnsi="arial"/>
                                <w:sz w:val="16"/>
                              </w:rPr>
                            </w:pPr>
                            <w:r>
                              <w:rPr>
                                <w:rFonts w:ascii="arial" w:hAnsi="arial"/>
                                <w:b/>
                                <w:color w:val="0071CE"/>
                                <w:sz w:val="16"/>
                              </w:rPr>
                              <w:t>Long-Term Incentive</w:t>
                            </w:r>
                            <w:r>
                              <w:rPr>
                                <w:rFonts w:ascii="arial" w:hAnsi="arial"/>
                                <w:color w:val="3E3935"/>
                                <w:sz w:val="16"/>
                              </w:rPr>
                              <w:t xml:space="preserve"> – In February 2023, awarded an annual LTIP grant of $19.5 million, consisting of 75 percent PSUs and 25 percent stock options. </w:t>
                            </w:r>
                          </w:p>
                          <w:p>
                            <w:pPr>
                              <w:pStyle w:val="TextBody"/>
                              <w:bidi w:val="0"/>
                              <w:spacing w:before="120" w:after="0"/>
                              <w:jc w:val="left"/>
                              <w:rPr>
                                <w:rFonts w:ascii="arial" w:hAnsi="arial"/>
                                <w:color w:val="3E3935"/>
                                <w:sz w:val="16"/>
                              </w:rPr>
                            </w:pPr>
                            <w:r>
                              <w:rPr>
                                <w:rFonts w:ascii="arial" w:hAnsi="arial"/>
                                <w:color w:val="3E3935"/>
                                <w:sz w:val="16"/>
                              </w:rPr>
                              <w:t xml:space="preserve">Total awarded compensation for 2023, including salary, STIP, and LTIP, is displayed below. </w:t>
                            </w:r>
                          </w:p>
                          <w:p>
                            <w:pPr>
                              <w:pStyle w:val="TextBody"/>
                              <w:bidi w:val="0"/>
                              <w:spacing w:before="0" w:after="0"/>
                              <w:jc w:val="left"/>
                              <w:rPr/>
                            </w:pPr>
                            <w:r>
                              <w:rPr/>
                              <w:t> </w:t>
                            </w:r>
                          </w:p>
                          <w:tbl>
                            <w:tblPr>
                              <w:tblW w:w="6255" w:type="dxa"/>
                              <w:jc w:val="left"/>
                              <w:tblInd w:w="0" w:type="dxa"/>
                              <w:tblLayout w:type="fixed"/>
                              <w:tblCellMar>
                                <w:top w:w="0" w:type="dxa"/>
                                <w:left w:w="0" w:type="dxa"/>
                                <w:bottom w:w="0" w:type="dxa"/>
                                <w:right w:w="0" w:type="dxa"/>
                              </w:tblCellMar>
                            </w:tblPr>
                            <w:tblGrid>
                              <w:gridCol w:w="1070"/>
                              <w:gridCol w:w="120"/>
                              <w:gridCol w:w="2930"/>
                              <w:gridCol w:w="120"/>
                              <w:gridCol w:w="92"/>
                              <w:gridCol w:w="170"/>
                              <w:gridCol w:w="1284"/>
                              <w:gridCol w:w="94"/>
                              <w:gridCol w:w="120"/>
                              <w:gridCol w:w="60"/>
                              <w:gridCol w:w="60"/>
                              <w:gridCol w:w="60"/>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6"/>
                                    </w:rPr>
                                  </w:pPr>
                                  <w:r>
                                    <w:rPr>
                                      <w:rFonts w:ascii="arial" w:hAnsi="arial"/>
                                      <w:b/>
                                      <w:color w:val="3E3935"/>
                                      <w:sz w:val="16"/>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Awarded Value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55" w:type="dxa"/>
                                  <w:gridSpan w:val="4"/>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375" w:type="dxa"/>
                                  <w:gridSpan w:val="5"/>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Base Salary</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Only Fixed Pay Element</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284"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2,100,000</w:t>
                                  </w:r>
                                </w:p>
                              </w:tc>
                              <w:tc>
                                <w:tcPr>
                                  <w:tcW w:w="94"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760" w:type="dxa"/>
                                  <w:gridSpan w:val="5"/>
                                  <w:tcBorders/>
                                  <w:shd w:fill="CCF2F8" w:val="clear"/>
                                  <w:vAlign w:val="center"/>
                                </w:tcPr>
                                <w:p>
                                  <w:pPr>
                                    <w:pStyle w:val="TableContents"/>
                                    <w:bidi w:val="0"/>
                                    <w:spacing w:before="0" w:after="283"/>
                                    <w:jc w:val="left"/>
                                    <w:rPr>
                                      <w:sz w:val="4"/>
                                      <w:szCs w:val="4"/>
                                    </w:rPr>
                                  </w:pPr>
                                  <w:r>
                                    <w:rPr>
                                      <w:sz w:val="4"/>
                                      <w:szCs w:val="4"/>
                                    </w:rPr>
                                  </w:r>
                                </w:p>
                              </w:tc>
                              <w:tc>
                                <w:tcPr>
                                  <w:tcW w:w="375"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STIP</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pPr>
                                  <w:r>
                                    <w:rPr/>
                                    <w:t> </w:t>
                                  </w:r>
                                </w:p>
                              </w:tc>
                              <w:tc>
                                <w:tcPr>
                                  <w:tcW w:w="1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284"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5,250,000</w:t>
                                  </w:r>
                                </w:p>
                              </w:tc>
                              <w:tc>
                                <w:tcPr>
                                  <w:tcW w:w="94"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375" w:type="dxa"/>
                                  <w:gridSpan w:val="5"/>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 and Stock Price</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284"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14,625,000</w:t>
                                  </w:r>
                                </w:p>
                              </w:tc>
                              <w:tc>
                                <w:tcPr>
                                  <w:tcW w:w="94"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760" w:type="dxa"/>
                                  <w:gridSpan w:val="5"/>
                                  <w:tcBorders/>
                                  <w:shd w:fill="CCF2F8" w:val="clear"/>
                                  <w:vAlign w:val="center"/>
                                </w:tcPr>
                                <w:p>
                                  <w:pPr>
                                    <w:pStyle w:val="TableContents"/>
                                    <w:bidi w:val="0"/>
                                    <w:spacing w:before="0" w:after="283"/>
                                    <w:jc w:val="left"/>
                                    <w:rPr>
                                      <w:sz w:val="4"/>
                                      <w:szCs w:val="4"/>
                                    </w:rPr>
                                  </w:pPr>
                                  <w:r>
                                    <w:rPr>
                                      <w:sz w:val="4"/>
                                      <w:szCs w:val="4"/>
                                    </w:rPr>
                                  </w:r>
                                </w:p>
                              </w:tc>
                              <w:tc>
                                <w:tcPr>
                                  <w:tcW w:w="375"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Stock Options</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pPr>
                                  <w:r>
                                    <w:rPr/>
                                    <w:t> </w:t>
                                  </w:r>
                                </w:p>
                              </w:tc>
                              <w:tc>
                                <w:tcPr>
                                  <w:tcW w:w="1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284"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4,875,013</w:t>
                                  </w:r>
                                </w:p>
                              </w:tc>
                              <w:tc>
                                <w:tcPr>
                                  <w:tcW w:w="94"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375" w:type="dxa"/>
                                  <w:gridSpan w:val="5"/>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2" w:type="dxa"/>
                                  <w:tcBorders>
                                    <w:bottom w:val="single" w:sz="6" w:space="0" w:color="0071CE"/>
                                  </w:tcBorders>
                                  <w:tcMar>
                                    <w:bottom w:w="28" w:type="dxa"/>
                                  </w:tcMar>
                                  <w:vAlign w:val="center"/>
                                </w:tcPr>
                                <w:p>
                                  <w:pPr>
                                    <w:pStyle w:val="TableContents"/>
                                    <w:bidi w:val="0"/>
                                    <w:spacing w:before="0" w:after="283"/>
                                    <w:jc w:val="left"/>
                                    <w:rPr/>
                                  </w:pPr>
                                  <w:r>
                                    <w:rPr/>
                                    <w:t> </w:t>
                                  </w:r>
                                </w:p>
                              </w:tc>
                              <w:tc>
                                <w:tcPr>
                                  <w:tcW w:w="170" w:type="dxa"/>
                                  <w:tcBorders>
                                    <w:bottom w:val="single" w:sz="6" w:space="0" w:color="0071CE"/>
                                  </w:tcBorders>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w:t>
                                  </w:r>
                                </w:p>
                              </w:tc>
                              <w:tc>
                                <w:tcPr>
                                  <w:tcW w:w="1284" w:type="dxa"/>
                                  <w:tcBorders>
                                    <w:bottom w:val="single" w:sz="6" w:space="0" w:color="0071CE"/>
                                  </w:tcBorders>
                                  <w:tcMar>
                                    <w:bottom w:w="60" w:type="dxa"/>
                                  </w:tcMar>
                                  <w:vAlign w:val="center"/>
                                </w:tcPr>
                                <w:p>
                                  <w:pPr>
                                    <w:pStyle w:val="TableContents"/>
                                    <w:bidi w:val="0"/>
                                    <w:spacing w:lineRule="atLeast" w:line="300" w:before="0" w:after="0"/>
                                    <w:jc w:val="right"/>
                                    <w:rPr>
                                      <w:rFonts w:ascii="arial" w:hAnsi="arial"/>
                                      <w:b/>
                                      <w:color w:val="0071CE"/>
                                      <w:sz w:val="16"/>
                                    </w:rPr>
                                  </w:pPr>
                                  <w:r>
                                    <w:rPr>
                                      <w:rFonts w:ascii="arial" w:hAnsi="arial"/>
                                      <w:b/>
                                      <w:color w:val="0071CE"/>
                                      <w:sz w:val="16"/>
                                    </w:rPr>
                                    <w:t>26,850,013</w:t>
                                  </w:r>
                                </w:p>
                              </w:tc>
                              <w:tc>
                                <w:tcPr>
                                  <w:tcW w:w="94" w:type="dxa"/>
                                  <w:tcBorders>
                                    <w:bottom w:val="single" w:sz="6" w:space="0" w:color="0071CE"/>
                                  </w:tcBorders>
                                  <w:tcMar>
                                    <w:bottom w:w="6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Mary T. Barra </w:t>
                      </w:r>
                    </w:p>
                    <w:p>
                      <w:pPr>
                        <w:pStyle w:val="TextBody"/>
                        <w:bidi w:val="0"/>
                        <w:spacing w:before="120" w:after="0"/>
                        <w:jc w:val="left"/>
                        <w:rPr>
                          <w:rFonts w:ascii="arial" w:hAnsi="arial"/>
                          <w:b/>
                          <w:color w:val="3E3935"/>
                          <w:sz w:val="22"/>
                        </w:rPr>
                      </w:pPr>
                      <w:r>
                        <w:rPr>
                          <w:rFonts w:ascii="arial" w:hAnsi="arial"/>
                          <w:b/>
                          <w:color w:val="3E3935"/>
                          <w:sz w:val="22"/>
                        </w:rPr>
                        <w:t xml:space="preserve">Chair and Chief Executive Officer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6"/>
                        </w:rPr>
                      </w:pPr>
                      <w:r>
                        <w:rPr>
                          <w:rFonts w:ascii="arial" w:hAnsi="arial"/>
                          <w:color w:val="3E3935"/>
                          <w:sz w:val="16"/>
                        </w:rPr>
                        <w:t xml:space="preserve">The Compensation Committee made the following pay decisions based on performance, competitive market data, and feedback from its independent compensation consultant: </w:t>
                      </w:r>
                    </w:p>
                    <w:p>
                      <w:pPr>
                        <w:pStyle w:val="TextBody"/>
                        <w:bidi w:val="0"/>
                        <w:spacing w:before="120" w:after="0"/>
                        <w:jc w:val="left"/>
                        <w:rPr>
                          <w:rFonts w:ascii="arial" w:hAnsi="arial"/>
                          <w:sz w:val="16"/>
                        </w:rPr>
                      </w:pPr>
                      <w:r>
                        <w:rPr>
                          <w:rFonts w:ascii="arial" w:hAnsi="arial"/>
                          <w:b/>
                          <w:color w:val="0071CE"/>
                          <w:sz w:val="16"/>
                        </w:rPr>
                        <w:t>Base Salary</w:t>
                      </w:r>
                      <w:r>
                        <w:rPr>
                          <w:rFonts w:ascii="arial" w:hAnsi="arial"/>
                          <w:color w:val="3E3935"/>
                          <w:sz w:val="16"/>
                        </w:rPr>
                        <w:t xml:space="preserve"> – Held base salary at $2,100,000. </w:t>
                      </w:r>
                    </w:p>
                    <w:p>
                      <w:pPr>
                        <w:pStyle w:val="TextBody"/>
                        <w:bidi w:val="0"/>
                        <w:spacing w:before="120" w:after="0"/>
                        <w:jc w:val="left"/>
                        <w:rPr>
                          <w:rFonts w:ascii="arial" w:hAnsi="arial"/>
                          <w:sz w:val="16"/>
                        </w:rPr>
                      </w:pPr>
                      <w:r>
                        <w:rPr>
                          <w:rFonts w:ascii="arial" w:hAnsi="arial"/>
                          <w:b/>
                          <w:color w:val="0071CE"/>
                          <w:sz w:val="16"/>
                        </w:rPr>
                        <w:t>Short-Term Incentive</w:t>
                      </w:r>
                      <w:r>
                        <w:rPr>
                          <w:rFonts w:ascii="arial" w:hAnsi="arial"/>
                          <w:color w:val="3E3935"/>
                          <w:sz w:val="16"/>
                        </w:rPr>
                        <w:t xml:space="preserve"> – Awarded 25 points out of a 25-point target and 50-point maximum for the strategic goals portion for the 2023 STIP performance year. In determining the number of points earned, the Compensation Committee considered these results for Ms. Barra: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Led the Company to third consecutive year of reaching or exceeding financial targets, including record net income attributable to stockholders of $10.1 billion, and strong EBIT-adjusted of $12.4 billion;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Generated robust cash flow, which enabled a significant amount of cash to be returned to shareholders including a $10 billion accelerated share repurchase program and a 33 percent increase in the stock dividend starting in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Grew year-over-year sales of all U.S. brands, generating record revenue of $171.8 billion (up 10% year-over-year),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10069" w:type="dxa"/>
                            <w:gridSpan w:val="2"/>
                            <w:tcBorders/>
                            <w:shd w:fill="CCF2F8" w:val="clear"/>
                            <w:vAlign w:val="center"/>
                          </w:tcPr>
                          <w:p>
                            <w:pPr>
                              <w:pStyle w:val="TableContents"/>
                              <w:bidi w:val="0"/>
                              <w:spacing w:before="0" w:after="283"/>
                              <w:jc w:val="left"/>
                              <w:rPr>
                                <w:sz w:val="4"/>
                                <w:szCs w:val="4"/>
                              </w:rPr>
                            </w:pPr>
                            <w:r>
                              <w:rPr>
                                <w:sz w:val="4"/>
                                <w:szCs w:val="4"/>
                              </w:rPr>
                            </w:r>
                          </w:p>
                        </w:tc>
                        <w:tc>
                          <w:tcPr>
                            <w:tcW w:w="9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lineRule="atLeast" w:line="400" w:before="0" w:after="0"/>
                              <w:jc w:val="left"/>
                              <w:rPr>
                                <w:rFonts w:ascii="arial" w:hAnsi="arial"/>
                                <w:b/>
                                <w:color w:val="3E3935"/>
                                <w:sz w:val="16"/>
                              </w:rPr>
                            </w:pPr>
                            <w:r>
                              <w:rPr>
                                <w:rFonts w:ascii="arial" w:hAnsi="arial"/>
                                <w:b/>
                                <w:color w:val="3E3935"/>
                                <w:sz w:val="16"/>
                              </w:rPr>
                              <w:t>Our People</w:t>
                            </w:r>
                          </w:p>
                          <w:p>
                            <w:pPr>
                              <w:pStyle w:val="TableContents"/>
                              <w:bidi w:val="0"/>
                              <w:spacing w:before="0" w:after="20"/>
                              <w:jc w:val="left"/>
                              <w:rPr>
                                <w:color w:val="3E3935"/>
                              </w:rPr>
                            </w:pPr>
                            <w:r>
                              <w:rPr>
                                <w:color w:val="0071CE"/>
                              </w:rPr>
                              <w:t>•</w:t>
                            </w:r>
                            <w:r>
                              <w:rPr>
                                <w:color w:val="3E3935"/>
                              </w:rPr>
                              <w:t>  </w:t>
                            </w:r>
                            <w:r>
                              <w:rPr>
                                <w:rFonts w:ascii="arial" w:hAnsi="arial"/>
                                <w:color w:val="3E3935"/>
                                <w:sz w:val="16"/>
                              </w:rPr>
                              <w:t xml:space="preserve">Continued employee engagement in GM’s safety-first culture resulting in zero fatalities and reductions in injuries  </w:t>
                            </w:r>
                            <w:r>
                              <w:rPr>
                                <w:rFonts w:ascii="arial" w:hAnsi="arial"/>
                                <w:color w:val="3E3935"/>
                                <w:sz w:val="16"/>
                              </w:rPr>
                              <w:drawing>
                                <wp:inline distT="0" distB="0" distL="0" distR="0">
                                  <wp:extent cx="85725" cy="85725"/>
                                  <wp:effectExtent l="0" t="0" r="0" b="0"/>
                                  <wp:docPr id="25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5" descr=""/>
                                          <pic:cNvPicPr>
                                            <a:picLocks noChangeAspect="1" noChangeArrowheads="1"/>
                                          </pic:cNvPicPr>
                                        </pic:nvPicPr>
                                        <pic:blipFill>
                                          <a:blip r:embed="rId243"/>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Executed on our cultural transformation by strengthening leadership skills with delivery of performance feedback training to over 8,000 people leaders with a 97 percent satisfaction rate  </w:t>
                            </w:r>
                            <w:r>
                              <w:rPr>
                                <w:rFonts w:ascii="arial" w:hAnsi="arial"/>
                                <w:color w:val="3E3935"/>
                                <w:sz w:val="16"/>
                              </w:rPr>
                              <w:drawing>
                                <wp:inline distT="0" distB="0" distL="0" distR="0">
                                  <wp:extent cx="85725" cy="85725"/>
                                  <wp:effectExtent l="0" t="0" r="0" b="0"/>
                                  <wp:docPr id="25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6" descr=""/>
                                          <pic:cNvPicPr>
                                            <a:picLocks noChangeAspect="1" noChangeArrowheads="1"/>
                                          </pic:cNvPicPr>
                                        </pic:nvPicPr>
                                        <pic:blipFill>
                                          <a:blip r:embed="rId244"/>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6"/>
                              </w:rPr>
                            </w:pPr>
                            <w:r>
                              <w:rPr>
                                <w:rFonts w:ascii="arial" w:hAnsi="arial"/>
                                <w:b/>
                                <w:color w:val="3E3935"/>
                                <w:sz w:val="16"/>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Led GM in truck and full-size SUV sales leadership for the 10th consecutive year, and delivered more than 1 million crossover SUVs including products like the Buick Envista, Chevrolet Trailblazer and Chevrolet Trax</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Made significant progress on GM’s EV transition with increasing sales and production of the Cadillac LYRIQ and GMC HUMMER EV and launch of the Chevrolet Silverado EV Work Truck</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Created a new integrated end-to-end software organization focused on the development of vehicle and enterprise software technologies to enhance the customer experience, led by innovators with extensive technology industry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6"/>
                              </w:rPr>
                            </w:pPr>
                            <w:r>
                              <w:rPr>
                                <w:rFonts w:ascii="arial" w:hAnsi="arial"/>
                                <w:b/>
                                <w:color w:val="3E3935"/>
                                <w:sz w:val="16"/>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Received 2023 ENERGY STAR Sustained Excellence Award from U.S. Environmental Protection Agency and U.S. Department of Energy for the 12th year for GM’s commitment to fighting climate change and protecting public health  </w:t>
                            </w:r>
                            <w:r>
                              <w:rPr>
                                <w:rFonts w:ascii="arial" w:hAnsi="arial"/>
                                <w:color w:val="3E3935"/>
                                <w:sz w:val="16"/>
                              </w:rPr>
                              <w:drawing>
                                <wp:inline distT="0" distB="0" distL="0" distR="0">
                                  <wp:extent cx="85725" cy="85725"/>
                                  <wp:effectExtent l="0" t="0" r="0" b="0"/>
                                  <wp:docPr id="25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7" descr=""/>
                                          <pic:cNvPicPr>
                                            <a:picLocks noChangeAspect="1" noChangeArrowheads="1"/>
                                          </pic:cNvPicPr>
                                        </pic:nvPicPr>
                                        <pic:blipFill>
                                          <a:blip r:embed="rId245"/>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Named as the only automaker on Ethisphere’s World’s Most Ethical Companies list for the fifth year in a row  </w:t>
                            </w:r>
                            <w:r>
                              <w:rPr>
                                <w:rFonts w:ascii="arial" w:hAnsi="arial"/>
                                <w:color w:val="3E3935"/>
                                <w:sz w:val="16"/>
                              </w:rPr>
                              <w:drawing>
                                <wp:inline distT="0" distB="0" distL="0" distR="0">
                                  <wp:extent cx="85725" cy="85725"/>
                                  <wp:effectExtent l="0" t="0" r="0" b="0"/>
                                  <wp:docPr id="25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28" descr=""/>
                                          <pic:cNvPicPr>
                                            <a:picLocks noChangeAspect="1" noChangeArrowheads="1"/>
                                          </pic:cNvPicPr>
                                        </pic:nvPicPr>
                                        <pic:blipFill>
                                          <a:blip r:embed="rId246"/>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Ranked first on Fortune 500’s 2023 “Change the World” list in The American Electrifiers for GM’s leadership in the EV revolution and having a positive social impact through activities that are part of the Company’s business strategy  </w:t>
                            </w:r>
                            <w:r>
                              <w:rPr>
                                <w:rFonts w:ascii="arial" w:hAnsi="arial"/>
                                <w:color w:val="3E3935"/>
                                <w:sz w:val="16"/>
                              </w:rPr>
                              <w:drawing>
                                <wp:inline distT="0" distB="0" distL="0" distR="0">
                                  <wp:extent cx="85725" cy="85725"/>
                                  <wp:effectExtent l="0" t="0" r="0" b="0"/>
                                  <wp:docPr id="25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29" descr=""/>
                                          <pic:cNvPicPr>
                                            <a:picLocks noChangeAspect="1" noChangeArrowheads="1"/>
                                          </pic:cNvPicPr>
                                        </pic:nvPicPr>
                                        <pic:blipFill>
                                          <a:blip r:embed="rId247"/>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10069" w:type="dxa"/>
                            <w:gridSpan w:val="2"/>
                            <w:tcBorders/>
                            <w:shd w:fill="CCF2F8" w:val="clear"/>
                            <w:vAlign w:val="center"/>
                          </w:tcPr>
                          <w:p>
                            <w:pPr>
                              <w:pStyle w:val="TableContents"/>
                              <w:bidi w:val="0"/>
                              <w:spacing w:before="0" w:after="283"/>
                              <w:jc w:val="left"/>
                              <w:rPr>
                                <w:sz w:val="4"/>
                                <w:szCs w:val="4"/>
                              </w:rPr>
                            </w:pPr>
                            <w:r>
                              <w:rPr>
                                <w:sz w:val="4"/>
                                <w:szCs w:val="4"/>
                              </w:rPr>
                            </w:r>
                          </w:p>
                        </w:tc>
                        <w:tc>
                          <w:tcPr>
                            <w:tcW w:w="9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6"/>
                              </w:rPr>
                            </w:pPr>
                            <w:r>
                              <w:rPr>
                                <w:rFonts w:ascii="arial" w:hAnsi="arial"/>
                                <w:b/>
                                <w:color w:val="3E3935"/>
                                <w:sz w:val="16"/>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Continued portfolio leadership in ICE vehicles, momentum in EV production and launches, and investment in future growth through new software and services organization</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Continued the progress at GM International, which delivered $1.2 billion in EBIT-adjusted driven by key new vehicle launches such as the Chevrolet Montana and Chevrolet Trax while navigating a challenging environment</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Positioned GM to deliver the policy goals of the clean energy tax credits, introducing millions of customers to EVs and creating clean energy jobs in the U.S.  </w:t>
                            </w:r>
                            <w:r>
                              <w:rPr>
                                <w:rFonts w:ascii="arial" w:hAnsi="arial"/>
                                <w:color w:val="3E3935"/>
                                <w:sz w:val="16"/>
                              </w:rPr>
                              <w:drawing>
                                <wp:inline distT="0" distB="0" distL="0" distR="0">
                                  <wp:extent cx="85725" cy="85725"/>
                                  <wp:effectExtent l="0" t="0" r="0" b="0"/>
                                  <wp:docPr id="25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0" descr=""/>
                                          <pic:cNvPicPr>
                                            <a:picLocks noChangeAspect="1" noChangeArrowheads="1"/>
                                          </pic:cNvPicPr>
                                        </pic:nvPicPr>
                                        <pic:blipFill>
                                          <a:blip r:embed="rId248"/>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6"/>
                              </w:rPr>
                            </w:pPr>
                            <w:r>
                              <w:rPr>
                                <w:rFonts w:ascii="arial" w:hAnsi="arial"/>
                                <w:b/>
                                <w:color w:val="3E3935"/>
                                <w:sz w:val="16"/>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Ranked as top manufacturer in the J.D. Power U.S. Initial Quality Study for the third time in four years, with seven model awards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Expanded customer access to EV charging, driving an agreement to enable GM owners access to the Tesla Supercharger network in 2024 and beyond and continuing other investments in charging infrastructure  </w:t>
                            </w:r>
                            <w:r>
                              <w:rPr>
                                <w:rFonts w:ascii="arial" w:hAnsi="arial"/>
                                <w:color w:val="3E3935"/>
                                <w:sz w:val="16"/>
                              </w:rPr>
                              <w:drawing>
                                <wp:inline distT="0" distB="0" distL="0" distR="0">
                                  <wp:extent cx="85725" cy="85725"/>
                                  <wp:effectExtent l="0" t="0" r="0" b="0"/>
                                  <wp:docPr id="25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1" descr=""/>
                                          <pic:cNvPicPr>
                                            <a:picLocks noChangeAspect="1" noChangeArrowheads="1"/>
                                          </pic:cNvPicPr>
                                        </pic:nvPicPr>
                                        <pic:blipFill>
                                          <a:blip r:embed="rId249"/>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Entered joint venture with six other major automakers to create a high-powered charging network with a targeted installation of at least 30,000 chargers in urban and highway locations throughout North America to make EV charging more convenient, accessible, and reliable  </w:t>
                            </w:r>
                            <w:r>
                              <w:rPr>
                                <w:rFonts w:ascii="arial" w:hAnsi="arial"/>
                                <w:color w:val="3E3935"/>
                                <w:sz w:val="16"/>
                              </w:rPr>
                              <w:drawing>
                                <wp:inline distT="0" distB="0" distL="0" distR="0">
                                  <wp:extent cx="85725" cy="85725"/>
                                  <wp:effectExtent l="0" t="0" r="0" b="0"/>
                                  <wp:docPr id="25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2" descr=""/>
                                          <pic:cNvPicPr>
                                            <a:picLocks noChangeAspect="1" noChangeArrowheads="1"/>
                                          </pic:cNvPicPr>
                                        </pic:nvPicPr>
                                        <pic:blipFill>
                                          <a:blip r:embed="rId250"/>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color w:val="3E3935"/>
                        </w:rPr>
                      </w:pPr>
                      <w:r>
                        <w:rPr>
                          <w:color w:val="3E3935"/>
                        </w:rPr>
                        <w:drawing>
                          <wp:inline distT="0" distB="0" distL="0" distR="0">
                            <wp:extent cx="85725" cy="85725"/>
                            <wp:effectExtent l="0" t="0" r="0" b="0"/>
                            <wp:docPr id="25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3" descr=""/>
                                    <pic:cNvPicPr>
                                      <a:picLocks noChangeAspect="1" noChangeArrowheads="1"/>
                                    </pic:cNvPicPr>
                                  </pic:nvPicPr>
                                  <pic:blipFill>
                                    <a:blip r:embed="rId251"/>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6"/>
                        </w:rPr>
                        <w:t xml:space="preserve">Represents Sustainability Results </w:t>
                      </w:r>
                    </w:p>
                    <w:p>
                      <w:pPr>
                        <w:pStyle w:val="TextBody"/>
                        <w:bidi w:val="0"/>
                        <w:spacing w:before="240" w:after="0"/>
                        <w:jc w:val="left"/>
                        <w:rPr>
                          <w:rFonts w:ascii="arial" w:hAnsi="arial"/>
                          <w:sz w:val="16"/>
                        </w:rPr>
                      </w:pPr>
                      <w:r>
                        <w:rPr>
                          <w:rFonts w:ascii="arial" w:hAnsi="arial"/>
                          <w:b/>
                          <w:color w:val="0071CE"/>
                          <w:sz w:val="16"/>
                        </w:rPr>
                        <w:t>Long-Term Incentive</w:t>
                      </w:r>
                      <w:r>
                        <w:rPr>
                          <w:rFonts w:ascii="arial" w:hAnsi="arial"/>
                          <w:color w:val="3E3935"/>
                          <w:sz w:val="16"/>
                        </w:rPr>
                        <w:t xml:space="preserve"> – In February 2023, awarded an annual LTIP grant of $19.5 million, consisting of 75 percent PSUs and 25 percent stock options. </w:t>
                      </w:r>
                    </w:p>
                    <w:p>
                      <w:pPr>
                        <w:pStyle w:val="TextBody"/>
                        <w:bidi w:val="0"/>
                        <w:spacing w:before="120" w:after="0"/>
                        <w:jc w:val="left"/>
                        <w:rPr>
                          <w:rFonts w:ascii="arial" w:hAnsi="arial"/>
                          <w:color w:val="3E3935"/>
                          <w:sz w:val="16"/>
                        </w:rPr>
                      </w:pPr>
                      <w:r>
                        <w:rPr>
                          <w:rFonts w:ascii="arial" w:hAnsi="arial"/>
                          <w:color w:val="3E3935"/>
                          <w:sz w:val="16"/>
                        </w:rPr>
                        <w:t xml:space="preserve">Total awarded compensation for 2023, including salary, STIP, and LTIP, is displayed below. </w:t>
                      </w:r>
                    </w:p>
                    <w:p>
                      <w:pPr>
                        <w:pStyle w:val="TextBody"/>
                        <w:bidi w:val="0"/>
                        <w:spacing w:before="0" w:after="0"/>
                        <w:jc w:val="left"/>
                        <w:rPr/>
                      </w:pPr>
                      <w:r>
                        <w:rPr/>
                        <w:t> </w:t>
                      </w:r>
                    </w:p>
                    <w:tbl>
                      <w:tblPr>
                        <w:tblW w:w="6255" w:type="dxa"/>
                        <w:jc w:val="left"/>
                        <w:tblInd w:w="0" w:type="dxa"/>
                        <w:tblLayout w:type="fixed"/>
                        <w:tblCellMar>
                          <w:top w:w="0" w:type="dxa"/>
                          <w:left w:w="0" w:type="dxa"/>
                          <w:bottom w:w="0" w:type="dxa"/>
                          <w:right w:w="0" w:type="dxa"/>
                        </w:tblCellMar>
                      </w:tblPr>
                      <w:tblGrid>
                        <w:gridCol w:w="1070"/>
                        <w:gridCol w:w="120"/>
                        <w:gridCol w:w="2930"/>
                        <w:gridCol w:w="120"/>
                        <w:gridCol w:w="92"/>
                        <w:gridCol w:w="170"/>
                        <w:gridCol w:w="1284"/>
                        <w:gridCol w:w="94"/>
                        <w:gridCol w:w="120"/>
                        <w:gridCol w:w="60"/>
                        <w:gridCol w:w="60"/>
                        <w:gridCol w:w="60"/>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6"/>
                              </w:rPr>
                            </w:pPr>
                            <w:r>
                              <w:rPr>
                                <w:rFonts w:ascii="arial" w:hAnsi="arial"/>
                                <w:b/>
                                <w:color w:val="3E3935"/>
                                <w:sz w:val="16"/>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Awarded Value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55" w:type="dxa"/>
                            <w:gridSpan w:val="4"/>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375" w:type="dxa"/>
                            <w:gridSpan w:val="5"/>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Base Salary</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Only Fixed Pay Element</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284"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2,100,000</w:t>
                            </w:r>
                          </w:p>
                        </w:tc>
                        <w:tc>
                          <w:tcPr>
                            <w:tcW w:w="94"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760" w:type="dxa"/>
                            <w:gridSpan w:val="5"/>
                            <w:tcBorders/>
                            <w:shd w:fill="CCF2F8" w:val="clear"/>
                            <w:vAlign w:val="center"/>
                          </w:tcPr>
                          <w:p>
                            <w:pPr>
                              <w:pStyle w:val="TableContents"/>
                              <w:bidi w:val="0"/>
                              <w:spacing w:before="0" w:after="283"/>
                              <w:jc w:val="left"/>
                              <w:rPr>
                                <w:sz w:val="4"/>
                                <w:szCs w:val="4"/>
                              </w:rPr>
                            </w:pPr>
                            <w:r>
                              <w:rPr>
                                <w:sz w:val="4"/>
                                <w:szCs w:val="4"/>
                              </w:rPr>
                            </w:r>
                          </w:p>
                        </w:tc>
                        <w:tc>
                          <w:tcPr>
                            <w:tcW w:w="375"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STIP</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pPr>
                            <w:r>
                              <w:rPr/>
                              <w:t> </w:t>
                            </w:r>
                          </w:p>
                        </w:tc>
                        <w:tc>
                          <w:tcPr>
                            <w:tcW w:w="1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284"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5,250,000</w:t>
                            </w:r>
                          </w:p>
                        </w:tc>
                        <w:tc>
                          <w:tcPr>
                            <w:tcW w:w="94"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375" w:type="dxa"/>
                            <w:gridSpan w:val="5"/>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 and Stock Price</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284"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14,625,000</w:t>
                            </w:r>
                          </w:p>
                        </w:tc>
                        <w:tc>
                          <w:tcPr>
                            <w:tcW w:w="94"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760" w:type="dxa"/>
                            <w:gridSpan w:val="5"/>
                            <w:tcBorders/>
                            <w:shd w:fill="CCF2F8" w:val="clear"/>
                            <w:vAlign w:val="center"/>
                          </w:tcPr>
                          <w:p>
                            <w:pPr>
                              <w:pStyle w:val="TableContents"/>
                              <w:bidi w:val="0"/>
                              <w:spacing w:before="0" w:after="283"/>
                              <w:jc w:val="left"/>
                              <w:rPr>
                                <w:sz w:val="4"/>
                                <w:szCs w:val="4"/>
                              </w:rPr>
                            </w:pPr>
                            <w:r>
                              <w:rPr>
                                <w:sz w:val="4"/>
                                <w:szCs w:val="4"/>
                              </w:rPr>
                            </w:r>
                          </w:p>
                        </w:tc>
                        <w:tc>
                          <w:tcPr>
                            <w:tcW w:w="375"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Stock Options</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shd w:fill="CCF2F8" w:val="clear"/>
                            <w:vAlign w:val="center"/>
                          </w:tcPr>
                          <w:p>
                            <w:pPr>
                              <w:pStyle w:val="TableContents"/>
                              <w:bidi w:val="0"/>
                              <w:spacing w:before="0" w:after="283"/>
                              <w:jc w:val="left"/>
                              <w:rPr/>
                            </w:pPr>
                            <w:r>
                              <w:rPr/>
                              <w:t>  </w:t>
                            </w:r>
                          </w:p>
                        </w:tc>
                        <w:tc>
                          <w:tcPr>
                            <w:tcW w:w="92" w:type="dxa"/>
                            <w:tcBorders/>
                            <w:shd w:fill="CCF2F8" w:val="clear"/>
                            <w:vAlign w:val="center"/>
                          </w:tcPr>
                          <w:p>
                            <w:pPr>
                              <w:pStyle w:val="TableContents"/>
                              <w:bidi w:val="0"/>
                              <w:spacing w:before="0" w:after="283"/>
                              <w:jc w:val="left"/>
                              <w:rPr/>
                            </w:pPr>
                            <w:r>
                              <w:rPr/>
                              <w:t> </w:t>
                            </w:r>
                          </w:p>
                        </w:tc>
                        <w:tc>
                          <w:tcPr>
                            <w:tcW w:w="1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284"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4,875,013</w:t>
                            </w:r>
                          </w:p>
                        </w:tc>
                        <w:tc>
                          <w:tcPr>
                            <w:tcW w:w="94"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375" w:type="dxa"/>
                            <w:gridSpan w:val="5"/>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2" w:type="dxa"/>
                            <w:tcBorders>
                              <w:bottom w:val="single" w:sz="6" w:space="0" w:color="0071CE"/>
                            </w:tcBorders>
                            <w:tcMar>
                              <w:bottom w:w="28" w:type="dxa"/>
                            </w:tcMar>
                            <w:vAlign w:val="center"/>
                          </w:tcPr>
                          <w:p>
                            <w:pPr>
                              <w:pStyle w:val="TableContents"/>
                              <w:bidi w:val="0"/>
                              <w:spacing w:before="0" w:after="283"/>
                              <w:jc w:val="left"/>
                              <w:rPr/>
                            </w:pPr>
                            <w:r>
                              <w:rPr/>
                              <w:t> </w:t>
                            </w:r>
                          </w:p>
                        </w:tc>
                        <w:tc>
                          <w:tcPr>
                            <w:tcW w:w="170" w:type="dxa"/>
                            <w:tcBorders>
                              <w:bottom w:val="single" w:sz="6" w:space="0" w:color="0071CE"/>
                            </w:tcBorders>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w:t>
                            </w:r>
                          </w:p>
                        </w:tc>
                        <w:tc>
                          <w:tcPr>
                            <w:tcW w:w="1284" w:type="dxa"/>
                            <w:tcBorders>
                              <w:bottom w:val="single" w:sz="6" w:space="0" w:color="0071CE"/>
                            </w:tcBorders>
                            <w:tcMar>
                              <w:bottom w:w="60" w:type="dxa"/>
                            </w:tcMar>
                            <w:vAlign w:val="center"/>
                          </w:tcPr>
                          <w:p>
                            <w:pPr>
                              <w:pStyle w:val="TableContents"/>
                              <w:bidi w:val="0"/>
                              <w:spacing w:lineRule="atLeast" w:line="300" w:before="0" w:after="0"/>
                              <w:jc w:val="right"/>
                              <w:rPr>
                                <w:rFonts w:ascii="arial" w:hAnsi="arial"/>
                                <w:b/>
                                <w:color w:val="0071CE"/>
                                <w:sz w:val="16"/>
                              </w:rPr>
                            </w:pPr>
                            <w:r>
                              <w:rPr>
                                <w:rFonts w:ascii="arial" w:hAnsi="arial"/>
                                <w:b/>
                                <w:color w:val="0071CE"/>
                                <w:sz w:val="16"/>
                              </w:rPr>
                              <w:t>26,850,013</w:t>
                            </w:r>
                          </w:p>
                        </w:tc>
                        <w:tc>
                          <w:tcPr>
                            <w:tcW w:w="94" w:type="dxa"/>
                            <w:tcBorders>
                              <w:bottom w:val="single" w:sz="6" w:space="0" w:color="0071CE"/>
                            </w:tcBorders>
                            <w:tcMar>
                              <w:bottom w:w="6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2073275" cy="3479165"/>
                <wp:effectExtent l="0" t="0" r="0" b="0"/>
                <wp:wrapSquare wrapText="right"/>
                <wp:docPr id="260" name="Frame10"/>
                <a:graphic xmlns:a="http://schemas.openxmlformats.org/drawingml/2006/main">
                  <a:graphicData uri="http://schemas.microsoft.com/office/word/2010/wordprocessingShape">
                    <wps:wsp>
                      <wps:cNvSpPr txBox="1"/>
                      <wps:spPr>
                        <a:xfrm>
                          <a:off x="0" y="0"/>
                          <a:ext cx="2073275" cy="347916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8280" cy="259715"/>
                                  <wp:effectExtent l="0" t="0" r="0" b="0"/>
                                  <wp:docPr id="261"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4" descr=""/>
                                          <pic:cNvPicPr>
                                            <a:picLocks noChangeAspect="1" noChangeArrowheads="1"/>
                                          </pic:cNvPicPr>
                                        </pic:nvPicPr>
                                        <pic:blipFill>
                                          <a:blip r:embed="rId252"/>
                                          <a:stretch>
                                            <a:fillRect/>
                                          </a:stretch>
                                        </pic:blipFill>
                                        <pic:spPr bwMode="auto">
                                          <a:xfrm>
                                            <a:off x="0" y="0"/>
                                            <a:ext cx="208280" cy="259715"/>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The Compensation Committee considered the Company’s 2023 TSR performance and determined that Ms. Barra’s target compensation opportunity is appropriately and competitively positioned against peers. Accordingly, the Committee did not increase Ms. Barra’s target compensation for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400" cy="307340"/>
                                  <wp:effectExtent l="0" t="0" r="0" b="0"/>
                                  <wp:docPr id="262"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5" descr=""/>
                                          <pic:cNvPicPr>
                                            <a:picLocks noChangeAspect="1" noChangeArrowheads="1"/>
                                          </pic:cNvPicPr>
                                        </pic:nvPicPr>
                                        <pic:blipFill>
                                          <a:blip r:embed="rId253"/>
                                          <a:stretch>
                                            <a:fillRect/>
                                          </a:stretch>
                                        </pic:blipFill>
                                        <pic:spPr bwMode="auto">
                                          <a:xfrm>
                                            <a:off x="0" y="0"/>
                                            <a:ext cx="152400" cy="307340"/>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273.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8280" cy="259715"/>
                            <wp:effectExtent l="0" t="0" r="0" b="0"/>
                            <wp:docPr id="26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34" descr=""/>
                                    <pic:cNvPicPr>
                                      <a:picLocks noChangeAspect="1" noChangeArrowheads="1"/>
                                    </pic:cNvPicPr>
                                  </pic:nvPicPr>
                                  <pic:blipFill>
                                    <a:blip r:embed="rId254"/>
                                    <a:stretch>
                                      <a:fillRect/>
                                    </a:stretch>
                                  </pic:blipFill>
                                  <pic:spPr bwMode="auto">
                                    <a:xfrm>
                                      <a:off x="0" y="0"/>
                                      <a:ext cx="208280" cy="259715"/>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The Compensation Committee considered the Company’s 2023 TSR performance and determined that Ms. Barra’s target compensation opportunity is appropriately and competitively positioned against peers. Accordingly, the Committee did not increase Ms. Barra’s target compensation for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400" cy="307340"/>
                            <wp:effectExtent l="0" t="0" r="0" b="0"/>
                            <wp:docPr id="26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35" descr=""/>
                                    <pic:cNvPicPr>
                                      <a:picLocks noChangeAspect="1" noChangeArrowheads="1"/>
                                    </pic:cNvPicPr>
                                  </pic:nvPicPr>
                                  <pic:blipFill>
                                    <a:blip r:embed="rId255"/>
                                    <a:stretch>
                                      <a:fillRect/>
                                    </a:stretch>
                                  </pic:blipFill>
                                  <pic:spPr bwMode="auto">
                                    <a:xfrm>
                                      <a:off x="0" y="0"/>
                                      <a:ext cx="152400" cy="307340"/>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v:textbox>
                <w10:wrap type="square" side="right"/>
              </v:rect>
            </w:pict>
          </mc:Fallback>
        </mc:AlternateContent>
      </w:r>
    </w:p>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57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211955" cy="9972040"/>
                <wp:effectExtent l="0" t="0" r="0" b="0"/>
                <wp:wrapSquare wrapText="right"/>
                <wp:docPr id="265" name="Frame11"/>
                <a:graphic xmlns:a="http://schemas.openxmlformats.org/drawingml/2006/main">
                  <a:graphicData uri="http://schemas.microsoft.com/office/word/2010/wordprocessingShape">
                    <wps:wsp>
                      <wps:cNvSpPr txBox="1"/>
                      <wps:spPr>
                        <a:xfrm>
                          <a:off x="0" y="0"/>
                          <a:ext cx="4211955" cy="9972040"/>
                        </a:xfrm>
                        <a:prstGeom prst="rect"/>
                        <a:solidFill>
                          <a:srgbClr val="FFFFFF"/>
                        </a:solidFill>
                      </wps:spPr>
                      <wps:txbx>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Paul A. Jacobson </w:t>
                            </w:r>
                          </w:p>
                          <w:p>
                            <w:pPr>
                              <w:pStyle w:val="TextBody"/>
                              <w:bidi w:val="0"/>
                              <w:spacing w:before="120" w:after="0"/>
                              <w:jc w:val="left"/>
                              <w:rPr>
                                <w:rFonts w:ascii="arial" w:hAnsi="arial"/>
                                <w:b/>
                                <w:color w:val="3E3935"/>
                                <w:sz w:val="22"/>
                              </w:rPr>
                            </w:pPr>
                            <w:r>
                              <w:rPr>
                                <w:rFonts w:ascii="arial" w:hAnsi="arial"/>
                                <w:b/>
                                <w:color w:val="3E3935"/>
                                <w:sz w:val="22"/>
                              </w:rPr>
                              <w:t xml:space="preserve">Executive Vice President and Chief Financial Officer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8"/>
                              </w:rPr>
                            </w:pPr>
                            <w:r>
                              <w:rPr>
                                <w:rFonts w:ascii="arial" w:hAnsi="arial"/>
                                <w:color w:val="3E3935"/>
                                <w:sz w:val="18"/>
                              </w:rPr>
                              <w:t xml:space="preserve">The Compensation Committee made the following pay decisions based on performance, competitive market data, and feedback from its independent compensation consultant and management: </w:t>
                            </w:r>
                          </w:p>
                          <w:p>
                            <w:pPr>
                              <w:pStyle w:val="TextBody"/>
                              <w:bidi w:val="0"/>
                              <w:spacing w:before="120" w:after="0"/>
                              <w:jc w:val="left"/>
                              <w:rPr>
                                <w:rFonts w:ascii="arial" w:hAnsi="arial"/>
                                <w:sz w:val="18"/>
                              </w:rPr>
                            </w:pPr>
                            <w:r>
                              <w:rPr>
                                <w:rFonts w:ascii="arial" w:hAnsi="arial"/>
                                <w:b/>
                                <w:color w:val="0071CE"/>
                                <w:sz w:val="18"/>
                              </w:rPr>
                              <w:t>Base Salary</w:t>
                            </w:r>
                            <w:r>
                              <w:rPr>
                                <w:rFonts w:ascii="arial" w:hAnsi="arial"/>
                                <w:color w:val="3E3935"/>
                                <w:sz w:val="18"/>
                              </w:rPr>
                              <w:t xml:space="preserve"> – Held base salary at $1,000,000. </w:t>
                            </w:r>
                          </w:p>
                          <w:p>
                            <w:pPr>
                              <w:pStyle w:val="TextBody"/>
                              <w:bidi w:val="0"/>
                              <w:spacing w:before="120" w:after="0"/>
                              <w:jc w:val="left"/>
                              <w:rPr>
                                <w:rFonts w:ascii="arial" w:hAnsi="arial"/>
                                <w:sz w:val="18"/>
                              </w:rPr>
                            </w:pPr>
                            <w:r>
                              <w:rPr>
                                <w:rFonts w:ascii="arial" w:hAnsi="arial"/>
                                <w:b/>
                                <w:color w:val="0071CE"/>
                                <w:sz w:val="18"/>
                              </w:rPr>
                              <w:t>Short-Term Incentive</w:t>
                            </w:r>
                            <w:r>
                              <w:rPr>
                                <w:rFonts w:ascii="arial" w:hAnsi="arial"/>
                                <w:color w:val="3E3935"/>
                                <w:sz w:val="18"/>
                              </w:rPr>
                              <w:t xml:space="preserve"> – Awarded 35 points out of a 25-point target and 50-point maximum for the strategic goals portion for the 2023 STIP performance year. In determining the number of points earned, the Compensation Committee considered these results for Mr. Jacobson: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Drove robust cash flow generation and ended the year above the Company’s approximately $18 billion target auto cash balance while returning significant capital to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Met the target to achieve half of the Company’s $2 billion fixed cost reduction plan by driving efficiency in the business to support continued strong financial performance and investment in future growth;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Initiated a $10 billion accelerated share repurchase program and worked with the Board to raise GM’s stock dividend by 33 percent beginning in 2024,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lineRule="atLeast" w:line="400" w:before="0" w:after="0"/>
                                    <w:jc w:val="left"/>
                                    <w:rPr>
                                      <w:rFonts w:ascii="arial" w:hAnsi="arial"/>
                                      <w:b/>
                                      <w:color w:val="3E3935"/>
                                      <w:sz w:val="18"/>
                                    </w:rPr>
                                  </w:pPr>
                                  <w:r>
                                    <w:rPr>
                                      <w:rFonts w:ascii="arial" w:hAnsi="arial"/>
                                      <w:b/>
                                      <w:color w:val="3E3935"/>
                                      <w:sz w:val="18"/>
                                    </w:rPr>
                                    <w:t>Our People</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 xml:space="preserve">Continued employee engagement in GM’s safety-first culture resulting in zero fatalities and reductions in injuries  </w:t>
                                  </w:r>
                                  <w:r>
                                    <w:rPr>
                                      <w:rFonts w:ascii="arial" w:hAnsi="arial"/>
                                      <w:color w:val="3E3935"/>
                                      <w:sz w:val="18"/>
                                    </w:rPr>
                                    <w:drawing>
                                      <wp:inline distT="0" distB="0" distL="0" distR="0">
                                        <wp:extent cx="85725" cy="85725"/>
                                        <wp:effectExtent l="0" t="0" r="0" b="0"/>
                                        <wp:docPr id="26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36" descr=""/>
                                                <pic:cNvPicPr>
                                                  <a:picLocks noChangeAspect="1" noChangeArrowheads="1"/>
                                                </pic:cNvPicPr>
                                              </pic:nvPicPr>
                                              <pic:blipFill>
                                                <a:blip r:embed="rId256"/>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Continued serving as executive champion of GM’s African Ancestry Network employee resource group which has chapters across the globe  </w:t>
                                  </w:r>
                                  <w:r>
                                    <w:rPr>
                                      <w:rFonts w:ascii="arial" w:hAnsi="arial"/>
                                      <w:color w:val="3E3935"/>
                                      <w:sz w:val="18"/>
                                    </w:rPr>
                                    <w:drawing>
                                      <wp:inline distT="0" distB="0" distL="0" distR="0">
                                        <wp:extent cx="85725" cy="85725"/>
                                        <wp:effectExtent l="0" t="0" r="0" b="0"/>
                                        <wp:docPr id="26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37" descr=""/>
                                                <pic:cNvPicPr>
                                                  <a:picLocks noChangeAspect="1" noChangeArrowheads="1"/>
                                                </pic:cNvPicPr>
                                              </pic:nvPicPr>
                                              <pic:blipFill>
                                                <a:blip r:embed="rId257"/>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8"/>
                                    </w:rPr>
                                  </w:pPr>
                                  <w:r>
                                    <w:rPr>
                                      <w:rFonts w:ascii="arial" w:hAnsi="arial"/>
                                      <w:b/>
                                      <w:color w:val="3E3935"/>
                                      <w:sz w:val="18"/>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Executed the Company’s capital allocation strategy, continuing strong investments in future growth while rewarding employees for building products customers love and returning cash to shareholders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8"/>
                                    </w:rPr>
                                  </w:pPr>
                                  <w:r>
                                    <w:rPr>
                                      <w:rFonts w:ascii="arial" w:hAnsi="arial"/>
                                      <w:b/>
                                      <w:color w:val="3E3935"/>
                                      <w:sz w:val="18"/>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Continued execution of the Company’s Sustainable Finance Framework through the allocation of proceeds from GM’s inaugural green brand issuance in 2022, detailed in GM’s 2023 Sustainable Finance Report  </w:t>
                                  </w:r>
                                  <w:r>
                                    <w:rPr>
                                      <w:rFonts w:ascii="arial" w:hAnsi="arial"/>
                                      <w:color w:val="3E3935"/>
                                      <w:sz w:val="18"/>
                                    </w:rPr>
                                    <w:drawing>
                                      <wp:inline distT="0" distB="0" distL="0" distR="0">
                                        <wp:extent cx="85725" cy="85725"/>
                                        <wp:effectExtent l="0" t="0" r="0" b="0"/>
                                        <wp:docPr id="26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38" descr=""/>
                                                <pic:cNvPicPr>
                                                  <a:picLocks noChangeAspect="1" noChangeArrowheads="1"/>
                                                </pic:cNvPicPr>
                                              </pic:nvPicPr>
                                              <pic:blipFill>
                                                <a:blip r:embed="rId258"/>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Led investments to make the supply chain more sustainable and resilient with increasing focus on North American and free trade partners, including an agreement with Lithium Americas to develop lithium mining in the U.S.  </w:t>
                                  </w:r>
                                  <w:r>
                                    <w:rPr>
                                      <w:rFonts w:ascii="arial" w:hAnsi="arial"/>
                                      <w:color w:val="3E3935"/>
                                      <w:sz w:val="18"/>
                                    </w:rPr>
                                    <w:drawing>
                                      <wp:inline distT="0" distB="0" distL="0" distR="0">
                                        <wp:extent cx="85725" cy="85725"/>
                                        <wp:effectExtent l="0" t="0" r="0" b="0"/>
                                        <wp:docPr id="26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39" descr=""/>
                                                <pic:cNvPicPr>
                                                  <a:picLocks noChangeAspect="1" noChangeArrowheads="1"/>
                                                </pic:cNvPicPr>
                                              </pic:nvPicPr>
                                              <pic:blipFill>
                                                <a:blip r:embed="rId259"/>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10069" w:type="dxa"/>
                                  <w:gridSpan w:val="2"/>
                                  <w:tcBorders/>
                                  <w:shd w:fill="CCF2F8" w:val="clear"/>
                                  <w:vAlign w:val="center"/>
                                </w:tcPr>
                                <w:p>
                                  <w:pPr>
                                    <w:pStyle w:val="TableContents"/>
                                    <w:bidi w:val="0"/>
                                    <w:spacing w:before="0" w:after="283"/>
                                    <w:jc w:val="left"/>
                                    <w:rPr>
                                      <w:sz w:val="4"/>
                                      <w:szCs w:val="4"/>
                                    </w:rPr>
                                  </w:pPr>
                                  <w:r>
                                    <w:rPr>
                                      <w:sz w:val="4"/>
                                      <w:szCs w:val="4"/>
                                    </w:rPr>
                                  </w:r>
                                </w:p>
                              </w:tc>
                              <w:tc>
                                <w:tcPr>
                                  <w:tcW w:w="9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lineRule="atLeast" w:line="400" w:before="0" w:after="0"/>
                                    <w:jc w:val="left"/>
                                    <w:rPr>
                                      <w:rFonts w:ascii="arial" w:hAnsi="arial"/>
                                      <w:b/>
                                      <w:color w:val="3E3935"/>
                                      <w:sz w:val="18"/>
                                    </w:rPr>
                                  </w:pPr>
                                  <w:r>
                                    <w:rPr>
                                      <w:rFonts w:ascii="arial" w:hAnsi="arial"/>
                                      <w:b/>
                                      <w:color w:val="3E3935"/>
                                      <w:sz w:val="18"/>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Optimized GM’s core business to bring the Company’s cash generation to more than $22 billion over the last two years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Achieved GM Financial EBT-adjusted of $3.0 billion and $1.8 billion in dividends paid back to GM</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Generated record net income attributable to stockholders of $10.1 billion, and strong EBIT-adjusted of $12.4 billion, slightly above the midpoint of the Company’s guidance range and driven by the continued strength of GM’s core business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8"/>
                                    </w:rPr>
                                  </w:pPr>
                                  <w:r>
                                    <w:rPr>
                                      <w:rFonts w:ascii="arial" w:hAnsi="arial"/>
                                      <w:b/>
                                      <w:color w:val="3E3935"/>
                                      <w:sz w:val="18"/>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Ranked as top manufacturer in the J.D. Power U.S. Initial Quality Study for the third time in four years, with seven model awards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color w:val="3E3935"/>
                              </w:rPr>
                            </w:pPr>
                            <w:r>
                              <w:rPr>
                                <w:color w:val="3E3935"/>
                              </w:rPr>
                              <w:drawing>
                                <wp:inline distT="0" distB="0" distL="0" distR="0">
                                  <wp:extent cx="85725" cy="85725"/>
                                  <wp:effectExtent l="0" t="0" r="0" b="0"/>
                                  <wp:docPr id="27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0" descr=""/>
                                          <pic:cNvPicPr>
                                            <a:picLocks noChangeAspect="1" noChangeArrowheads="1"/>
                                          </pic:cNvPicPr>
                                        </pic:nvPicPr>
                                        <pic:blipFill>
                                          <a:blip r:embed="rId260"/>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8"/>
                              </w:rPr>
                              <w:t xml:space="preserve">Represents Sustainability Results </w:t>
                            </w:r>
                          </w:p>
                          <w:p>
                            <w:pPr>
                              <w:pStyle w:val="TextBody"/>
                              <w:bidi w:val="0"/>
                              <w:spacing w:before="120" w:after="0"/>
                              <w:jc w:val="left"/>
                              <w:rPr>
                                <w:rFonts w:ascii="arial" w:hAnsi="arial"/>
                                <w:sz w:val="18"/>
                              </w:rPr>
                            </w:pPr>
                            <w:r>
                              <w:rPr>
                                <w:rFonts w:ascii="arial" w:hAnsi="arial"/>
                                <w:b/>
                                <w:color w:val="0071CE"/>
                                <w:sz w:val="18"/>
                              </w:rPr>
                              <w:t>Long-Term Incentive</w:t>
                            </w:r>
                            <w:r>
                              <w:rPr>
                                <w:rFonts w:ascii="arial" w:hAnsi="arial"/>
                                <w:color w:val="3E3935"/>
                                <w:sz w:val="18"/>
                              </w:rPr>
                              <w:t xml:space="preserve"> – In February 2023, awarded an annual LTIP grant of $8.25 million, consisting of 75 percent PSUs and 25 percent stock options. </w:t>
                            </w:r>
                          </w:p>
                          <w:p>
                            <w:pPr>
                              <w:pStyle w:val="TextBody"/>
                              <w:bidi w:val="0"/>
                              <w:spacing w:before="120" w:after="0"/>
                              <w:jc w:val="left"/>
                              <w:rPr>
                                <w:rFonts w:ascii="arial" w:hAnsi="arial"/>
                                <w:color w:val="3E3935"/>
                                <w:sz w:val="18"/>
                              </w:rPr>
                            </w:pPr>
                            <w:r>
                              <w:rPr>
                                <w:rFonts w:ascii="arial" w:hAnsi="arial"/>
                                <w:color w:val="3E3935"/>
                                <w:sz w:val="18"/>
                              </w:rPr>
                              <w:t xml:space="preserve">Total awarded compensation for 2023, including salary, STIP, and LTIP, is displayed below.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1115"/>
                              <w:gridCol w:w="120"/>
                              <w:gridCol w:w="2930"/>
                              <w:gridCol w:w="120"/>
                              <w:gridCol w:w="191"/>
                              <w:gridCol w:w="1449"/>
                              <w:gridCol w:w="60"/>
                              <w:gridCol w:w="120"/>
                              <w:gridCol w:w="60"/>
                              <w:gridCol w:w="60"/>
                              <w:gridCol w:w="7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Awarded Value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Base Salary</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Only Fixed Pay Element</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w:t>
                                  </w:r>
                                </w:p>
                              </w:tc>
                              <w:tc>
                                <w:tcPr>
                                  <w:tcW w:w="1449" w:type="dxa"/>
                                  <w:tcBorders/>
                                  <w:vAlign w:val="center"/>
                                </w:tcPr>
                                <w:p>
                                  <w:pPr>
                                    <w:pStyle w:val="TableContents"/>
                                    <w:bidi w:val="0"/>
                                    <w:spacing w:lineRule="atLeast" w:line="300" w:before="0" w:after="0"/>
                                    <w:jc w:val="right"/>
                                    <w:rPr>
                                      <w:rFonts w:ascii="arial" w:hAnsi="arial"/>
                                      <w:color w:val="3E3935"/>
                                      <w:sz w:val="17"/>
                                    </w:rPr>
                                  </w:pPr>
                                  <w:r>
                                    <w:rPr>
                                      <w:rFonts w:ascii="arial" w:hAnsi="arial"/>
                                      <w:color w:val="3E3935"/>
                                      <w:sz w:val="17"/>
                                    </w:rPr>
                                    <w:t>1,000,000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115"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STIP</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Performance to Metrics</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7"/>
                                    </w:rPr>
                                  </w:pPr>
                                  <w:r>
                                    <w:rPr>
                                      <w:rFonts w:ascii="arial" w:hAnsi="arial"/>
                                      <w:color w:val="3E3935"/>
                                      <w:sz w:val="17"/>
                                    </w:rPr>
                                    <w:t>1,687,500</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PSUs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Performance to Metrics and Stock Price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w:t>
                                  </w:r>
                                </w:p>
                              </w:tc>
                              <w:tc>
                                <w:tcPr>
                                  <w:tcW w:w="1449" w:type="dxa"/>
                                  <w:tcBorders/>
                                  <w:vAlign w:val="center"/>
                                </w:tcPr>
                                <w:p>
                                  <w:pPr>
                                    <w:pStyle w:val="TableContents"/>
                                    <w:bidi w:val="0"/>
                                    <w:spacing w:lineRule="atLeast" w:line="300" w:before="0" w:after="0"/>
                                    <w:jc w:val="right"/>
                                    <w:rPr>
                                      <w:rFonts w:ascii="arial" w:hAnsi="arial"/>
                                      <w:color w:val="3E3935"/>
                                      <w:sz w:val="17"/>
                                    </w:rPr>
                                  </w:pPr>
                                  <w:r>
                                    <w:rPr>
                                      <w:rFonts w:ascii="arial" w:hAnsi="arial"/>
                                      <w:color w:val="3E3935"/>
                                      <w:sz w:val="17"/>
                                    </w:rPr>
                                    <w:t>6,187,500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115"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Stock Options</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Performance to Stock Price</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7"/>
                                    </w:rPr>
                                  </w:pPr>
                                  <w:r>
                                    <w:rPr>
                                      <w:rFonts w:ascii="arial" w:hAnsi="arial"/>
                                      <w:color w:val="3E3935"/>
                                      <w:sz w:val="17"/>
                                    </w:rPr>
                                    <w:t>2,062,503</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0071CE"/>
                                  </w:tcBorders>
                                  <w:tcMar>
                                    <w:bottom w:w="80" w:type="dxa"/>
                                  </w:tcMar>
                                  <w:vAlign w:val="center"/>
                                </w:tcPr>
                                <w:p>
                                  <w:pPr>
                                    <w:pStyle w:val="TableContents"/>
                                    <w:bidi w:val="0"/>
                                    <w:spacing w:lineRule="atLeast" w:line="300" w:before="0" w:after="0"/>
                                    <w:jc w:val="left"/>
                                    <w:rPr>
                                      <w:rFonts w:ascii="arial" w:hAnsi="arial"/>
                                      <w:b/>
                                      <w:color w:val="0071CE"/>
                                      <w:sz w:val="17"/>
                                    </w:rPr>
                                  </w:pPr>
                                  <w:r>
                                    <w:rPr>
                                      <w:rFonts w:ascii="arial" w:hAnsi="arial"/>
                                      <w:b/>
                                      <w:color w:val="0071CE"/>
                                      <w:sz w:val="17"/>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1" w:type="dxa"/>
                                  <w:tcBorders>
                                    <w:bottom w:val="single" w:sz="6" w:space="0" w:color="0071CE"/>
                                  </w:tcBorders>
                                  <w:tcMar>
                                    <w:bottom w:w="80" w:type="dxa"/>
                                  </w:tcMar>
                                  <w:vAlign w:val="center"/>
                                </w:tcPr>
                                <w:p>
                                  <w:pPr>
                                    <w:pStyle w:val="TableContents"/>
                                    <w:bidi w:val="0"/>
                                    <w:spacing w:lineRule="atLeast" w:line="300" w:before="0" w:after="0"/>
                                    <w:jc w:val="left"/>
                                    <w:rPr>
                                      <w:rFonts w:ascii="arial" w:hAnsi="arial"/>
                                      <w:b/>
                                      <w:color w:val="0071CE"/>
                                      <w:sz w:val="17"/>
                                    </w:rPr>
                                  </w:pPr>
                                  <w:r>
                                    <w:rPr>
                                      <w:rFonts w:ascii="arial" w:hAnsi="arial"/>
                                      <w:b/>
                                      <w:color w:val="0071CE"/>
                                      <w:sz w:val="17"/>
                                    </w:rPr>
                                    <w:t>$</w:t>
                                  </w:r>
                                </w:p>
                              </w:tc>
                              <w:tc>
                                <w:tcPr>
                                  <w:tcW w:w="1449" w:type="dxa"/>
                                  <w:tcBorders>
                                    <w:bottom w:val="single" w:sz="6" w:space="0" w:color="0071CE"/>
                                  </w:tcBorders>
                                  <w:tcMar>
                                    <w:bottom w:w="80" w:type="dxa"/>
                                  </w:tcMar>
                                  <w:vAlign w:val="center"/>
                                </w:tcPr>
                                <w:p>
                                  <w:pPr>
                                    <w:pStyle w:val="TableContents"/>
                                    <w:bidi w:val="0"/>
                                    <w:spacing w:lineRule="atLeast" w:line="300" w:before="0" w:after="0"/>
                                    <w:jc w:val="right"/>
                                    <w:rPr>
                                      <w:rFonts w:ascii="arial" w:hAnsi="arial"/>
                                      <w:b/>
                                      <w:color w:val="0071CE"/>
                                      <w:sz w:val="17"/>
                                    </w:rPr>
                                  </w:pPr>
                                  <w:r>
                                    <w:rPr>
                                      <w:rFonts w:ascii="arial" w:hAnsi="arial"/>
                                      <w:b/>
                                      <w:color w:val="0071CE"/>
                                      <w:sz w:val="17"/>
                                    </w:rPr>
                                    <w:t>10,937,503</w:t>
                                  </w:r>
                                </w:p>
                              </w:tc>
                              <w:tc>
                                <w:tcPr>
                                  <w:tcW w:w="60" w:type="dxa"/>
                                  <w:tcBorders>
                                    <w:bottom w:val="single" w:sz="6" w:space="0" w:color="0071CE"/>
                                  </w:tcBorders>
                                  <w:tcMar>
                                    <w:bottom w:w="8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Paul A. Jacobson </w:t>
                      </w:r>
                    </w:p>
                    <w:p>
                      <w:pPr>
                        <w:pStyle w:val="TextBody"/>
                        <w:bidi w:val="0"/>
                        <w:spacing w:before="120" w:after="0"/>
                        <w:jc w:val="left"/>
                        <w:rPr>
                          <w:rFonts w:ascii="arial" w:hAnsi="arial"/>
                          <w:b/>
                          <w:color w:val="3E3935"/>
                          <w:sz w:val="22"/>
                        </w:rPr>
                      </w:pPr>
                      <w:r>
                        <w:rPr>
                          <w:rFonts w:ascii="arial" w:hAnsi="arial"/>
                          <w:b/>
                          <w:color w:val="3E3935"/>
                          <w:sz w:val="22"/>
                        </w:rPr>
                        <w:t xml:space="preserve">Executive Vice President and Chief Financial Officer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8"/>
                        </w:rPr>
                      </w:pPr>
                      <w:r>
                        <w:rPr>
                          <w:rFonts w:ascii="arial" w:hAnsi="arial"/>
                          <w:color w:val="3E3935"/>
                          <w:sz w:val="18"/>
                        </w:rPr>
                        <w:t xml:space="preserve">The Compensation Committee made the following pay decisions based on performance, competitive market data, and feedback from its independent compensation consultant and management: </w:t>
                      </w:r>
                    </w:p>
                    <w:p>
                      <w:pPr>
                        <w:pStyle w:val="TextBody"/>
                        <w:bidi w:val="0"/>
                        <w:spacing w:before="120" w:after="0"/>
                        <w:jc w:val="left"/>
                        <w:rPr>
                          <w:rFonts w:ascii="arial" w:hAnsi="arial"/>
                          <w:sz w:val="18"/>
                        </w:rPr>
                      </w:pPr>
                      <w:r>
                        <w:rPr>
                          <w:rFonts w:ascii="arial" w:hAnsi="arial"/>
                          <w:b/>
                          <w:color w:val="0071CE"/>
                          <w:sz w:val="18"/>
                        </w:rPr>
                        <w:t>Base Salary</w:t>
                      </w:r>
                      <w:r>
                        <w:rPr>
                          <w:rFonts w:ascii="arial" w:hAnsi="arial"/>
                          <w:color w:val="3E3935"/>
                          <w:sz w:val="18"/>
                        </w:rPr>
                        <w:t xml:space="preserve"> – Held base salary at $1,000,000. </w:t>
                      </w:r>
                    </w:p>
                    <w:p>
                      <w:pPr>
                        <w:pStyle w:val="TextBody"/>
                        <w:bidi w:val="0"/>
                        <w:spacing w:before="120" w:after="0"/>
                        <w:jc w:val="left"/>
                        <w:rPr>
                          <w:rFonts w:ascii="arial" w:hAnsi="arial"/>
                          <w:sz w:val="18"/>
                        </w:rPr>
                      </w:pPr>
                      <w:r>
                        <w:rPr>
                          <w:rFonts w:ascii="arial" w:hAnsi="arial"/>
                          <w:b/>
                          <w:color w:val="0071CE"/>
                          <w:sz w:val="18"/>
                        </w:rPr>
                        <w:t>Short-Term Incentive</w:t>
                      </w:r>
                      <w:r>
                        <w:rPr>
                          <w:rFonts w:ascii="arial" w:hAnsi="arial"/>
                          <w:color w:val="3E3935"/>
                          <w:sz w:val="18"/>
                        </w:rPr>
                        <w:t xml:space="preserve"> – Awarded 35 points out of a 25-point target and 50-point maximum for the strategic goals portion for the 2023 STIP performance year. In determining the number of points earned, the Compensation Committee considered these results for Mr. Jacobson: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Drove robust cash flow generation and ended the year above the Company’s approximately $18 billion target auto cash balance while returning significant capital to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Met the target to achieve half of the Company’s $2 billion fixed cost reduction plan by driving efficiency in the business to support continued strong financial performance and investment in future growth;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Initiated a $10 billion accelerated share repurchase program and worked with the Board to raise GM’s stock dividend by 33 percent beginning in 2024,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lineRule="atLeast" w:line="400" w:before="0" w:after="0"/>
                              <w:jc w:val="left"/>
                              <w:rPr>
                                <w:rFonts w:ascii="arial" w:hAnsi="arial"/>
                                <w:b/>
                                <w:color w:val="3E3935"/>
                                <w:sz w:val="18"/>
                              </w:rPr>
                            </w:pPr>
                            <w:r>
                              <w:rPr>
                                <w:rFonts w:ascii="arial" w:hAnsi="arial"/>
                                <w:b/>
                                <w:color w:val="3E3935"/>
                                <w:sz w:val="18"/>
                              </w:rPr>
                              <w:t>Our People</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 xml:space="preserve">Continued employee engagement in GM’s safety-first culture resulting in zero fatalities and reductions in injuries  </w:t>
                            </w:r>
                            <w:r>
                              <w:rPr>
                                <w:rFonts w:ascii="arial" w:hAnsi="arial"/>
                                <w:color w:val="3E3935"/>
                                <w:sz w:val="18"/>
                              </w:rPr>
                              <w:drawing>
                                <wp:inline distT="0" distB="0" distL="0" distR="0">
                                  <wp:extent cx="85725" cy="85725"/>
                                  <wp:effectExtent l="0" t="0" r="0" b="0"/>
                                  <wp:docPr id="271"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36" descr=""/>
                                          <pic:cNvPicPr>
                                            <a:picLocks noChangeAspect="1" noChangeArrowheads="1"/>
                                          </pic:cNvPicPr>
                                        </pic:nvPicPr>
                                        <pic:blipFill>
                                          <a:blip r:embed="rId261"/>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Continued serving as executive champion of GM’s African Ancestry Network employee resource group which has chapters across the globe  </w:t>
                            </w:r>
                            <w:r>
                              <w:rPr>
                                <w:rFonts w:ascii="arial" w:hAnsi="arial"/>
                                <w:color w:val="3E3935"/>
                                <w:sz w:val="18"/>
                              </w:rPr>
                              <w:drawing>
                                <wp:inline distT="0" distB="0" distL="0" distR="0">
                                  <wp:extent cx="85725" cy="85725"/>
                                  <wp:effectExtent l="0" t="0" r="0" b="0"/>
                                  <wp:docPr id="272"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37" descr=""/>
                                          <pic:cNvPicPr>
                                            <a:picLocks noChangeAspect="1" noChangeArrowheads="1"/>
                                          </pic:cNvPicPr>
                                        </pic:nvPicPr>
                                        <pic:blipFill>
                                          <a:blip r:embed="rId262"/>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8"/>
                              </w:rPr>
                            </w:pPr>
                            <w:r>
                              <w:rPr>
                                <w:rFonts w:ascii="arial" w:hAnsi="arial"/>
                                <w:b/>
                                <w:color w:val="3E3935"/>
                                <w:sz w:val="18"/>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Executed the Company’s capital allocation strategy, continuing strong investments in future growth while rewarding employees for building products customers love and returning cash to shareholders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8"/>
                              </w:rPr>
                            </w:pPr>
                            <w:r>
                              <w:rPr>
                                <w:rFonts w:ascii="arial" w:hAnsi="arial"/>
                                <w:b/>
                                <w:color w:val="3E3935"/>
                                <w:sz w:val="18"/>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Continued execution of the Company’s Sustainable Finance Framework through the allocation of proceeds from GM’s inaugural green brand issuance in 2022, detailed in GM’s 2023 Sustainable Finance Report  </w:t>
                            </w:r>
                            <w:r>
                              <w:rPr>
                                <w:rFonts w:ascii="arial" w:hAnsi="arial"/>
                                <w:color w:val="3E3935"/>
                                <w:sz w:val="18"/>
                              </w:rPr>
                              <w:drawing>
                                <wp:inline distT="0" distB="0" distL="0" distR="0">
                                  <wp:extent cx="85725" cy="85725"/>
                                  <wp:effectExtent l="0" t="0" r="0" b="0"/>
                                  <wp:docPr id="273"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38" descr=""/>
                                          <pic:cNvPicPr>
                                            <a:picLocks noChangeAspect="1" noChangeArrowheads="1"/>
                                          </pic:cNvPicPr>
                                        </pic:nvPicPr>
                                        <pic:blipFill>
                                          <a:blip r:embed="rId263"/>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Led investments to make the supply chain more sustainable and resilient with increasing focus on North American and free trade partners, including an agreement with Lithium Americas to develop lithium mining in the U.S.  </w:t>
                            </w:r>
                            <w:r>
                              <w:rPr>
                                <w:rFonts w:ascii="arial" w:hAnsi="arial"/>
                                <w:color w:val="3E3935"/>
                                <w:sz w:val="18"/>
                              </w:rPr>
                              <w:drawing>
                                <wp:inline distT="0" distB="0" distL="0" distR="0">
                                  <wp:extent cx="85725" cy="85725"/>
                                  <wp:effectExtent l="0" t="0" r="0" b="0"/>
                                  <wp:docPr id="274"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39" descr=""/>
                                          <pic:cNvPicPr>
                                            <a:picLocks noChangeAspect="1" noChangeArrowheads="1"/>
                                          </pic:cNvPicPr>
                                        </pic:nvPicPr>
                                        <pic:blipFill>
                                          <a:blip r:embed="rId264"/>
                                          <a:stretch>
                                            <a:fillRect/>
                                          </a:stretch>
                                        </pic:blipFill>
                                        <pic:spPr bwMode="auto">
                                          <a:xfrm>
                                            <a:off x="0" y="0"/>
                                            <a:ext cx="85725" cy="85725"/>
                                          </a:xfrm>
                                          <a:prstGeom prst="rect">
                                            <a:avLst/>
                                          </a:prstGeom>
                                        </pic:spPr>
                                      </pic:pic>
                                    </a:graphicData>
                                  </a:graphic>
                                </wp:inline>
                              </w:drawing>
                            </w:r>
                            <w:r>
                              <w:rPr>
                                <w:rFonts w:ascii="arial" w:hAnsi="arial"/>
                                <w:color w:val="3E3935"/>
                                <w:sz w:val="18"/>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10069" w:type="dxa"/>
                            <w:gridSpan w:val="2"/>
                            <w:tcBorders/>
                            <w:shd w:fill="CCF2F8" w:val="clear"/>
                            <w:vAlign w:val="center"/>
                          </w:tcPr>
                          <w:p>
                            <w:pPr>
                              <w:pStyle w:val="TableContents"/>
                              <w:bidi w:val="0"/>
                              <w:spacing w:before="0" w:after="283"/>
                              <w:jc w:val="left"/>
                              <w:rPr>
                                <w:sz w:val="4"/>
                                <w:szCs w:val="4"/>
                              </w:rPr>
                            </w:pPr>
                            <w:r>
                              <w:rPr>
                                <w:sz w:val="4"/>
                                <w:szCs w:val="4"/>
                              </w:rPr>
                            </w:r>
                          </w:p>
                        </w:tc>
                        <w:tc>
                          <w:tcPr>
                            <w:tcW w:w="9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lineRule="atLeast" w:line="400" w:before="0" w:after="0"/>
                              <w:jc w:val="left"/>
                              <w:rPr>
                                <w:rFonts w:ascii="arial" w:hAnsi="arial"/>
                                <w:b/>
                                <w:color w:val="3E3935"/>
                                <w:sz w:val="18"/>
                              </w:rPr>
                            </w:pPr>
                            <w:r>
                              <w:rPr>
                                <w:rFonts w:ascii="arial" w:hAnsi="arial"/>
                                <w:b/>
                                <w:color w:val="3E3935"/>
                                <w:sz w:val="18"/>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Optimized GM’s core business to bring the Company’s cash generation to more than $22 billion over the last two years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Achieved GM Financial EBT-adjusted of $3.0 billion and $1.8 billion in dividends paid back to GM</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Generated record net income attributable to stockholders of $10.1 billion, and strong EBIT-adjusted of $12.4 billion, slightly above the midpoint of the Company’s guidance range and driven by the continued strength of GM’s core business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lineRule="atLeast" w:line="400" w:before="0" w:after="20"/>
                              <w:jc w:val="left"/>
                              <w:rPr>
                                <w:rFonts w:ascii="arial" w:hAnsi="arial"/>
                                <w:b/>
                                <w:color w:val="3E3935"/>
                                <w:sz w:val="18"/>
                              </w:rPr>
                            </w:pPr>
                            <w:r>
                              <w:rPr>
                                <w:rFonts w:ascii="arial" w:hAnsi="arial"/>
                                <w:b/>
                                <w:color w:val="3E3935"/>
                                <w:sz w:val="18"/>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Ranked as top manufacturer in the J.D. Power U.S. Initial Quality Study for the third time in four years, with seven model awards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color w:val="3E3935"/>
                        </w:rPr>
                      </w:pPr>
                      <w:r>
                        <w:rPr>
                          <w:color w:val="3E3935"/>
                        </w:rPr>
                        <w:drawing>
                          <wp:inline distT="0" distB="0" distL="0" distR="0">
                            <wp:extent cx="85725" cy="85725"/>
                            <wp:effectExtent l="0" t="0" r="0" b="0"/>
                            <wp:docPr id="275"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40" descr=""/>
                                    <pic:cNvPicPr>
                                      <a:picLocks noChangeAspect="1" noChangeArrowheads="1"/>
                                    </pic:cNvPicPr>
                                  </pic:nvPicPr>
                                  <pic:blipFill>
                                    <a:blip r:embed="rId265"/>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8"/>
                        </w:rPr>
                        <w:t xml:space="preserve">Represents Sustainability Results </w:t>
                      </w:r>
                    </w:p>
                    <w:p>
                      <w:pPr>
                        <w:pStyle w:val="TextBody"/>
                        <w:bidi w:val="0"/>
                        <w:spacing w:before="120" w:after="0"/>
                        <w:jc w:val="left"/>
                        <w:rPr>
                          <w:rFonts w:ascii="arial" w:hAnsi="arial"/>
                          <w:sz w:val="18"/>
                        </w:rPr>
                      </w:pPr>
                      <w:r>
                        <w:rPr>
                          <w:rFonts w:ascii="arial" w:hAnsi="arial"/>
                          <w:b/>
                          <w:color w:val="0071CE"/>
                          <w:sz w:val="18"/>
                        </w:rPr>
                        <w:t>Long-Term Incentive</w:t>
                      </w:r>
                      <w:r>
                        <w:rPr>
                          <w:rFonts w:ascii="arial" w:hAnsi="arial"/>
                          <w:color w:val="3E3935"/>
                          <w:sz w:val="18"/>
                        </w:rPr>
                        <w:t xml:space="preserve"> – In February 2023, awarded an annual LTIP grant of $8.25 million, consisting of 75 percent PSUs and 25 percent stock options. </w:t>
                      </w:r>
                    </w:p>
                    <w:p>
                      <w:pPr>
                        <w:pStyle w:val="TextBody"/>
                        <w:bidi w:val="0"/>
                        <w:spacing w:before="120" w:after="0"/>
                        <w:jc w:val="left"/>
                        <w:rPr>
                          <w:rFonts w:ascii="arial" w:hAnsi="arial"/>
                          <w:color w:val="3E3935"/>
                          <w:sz w:val="18"/>
                        </w:rPr>
                      </w:pPr>
                      <w:r>
                        <w:rPr>
                          <w:rFonts w:ascii="arial" w:hAnsi="arial"/>
                          <w:color w:val="3E3935"/>
                          <w:sz w:val="18"/>
                        </w:rPr>
                        <w:t xml:space="preserve">Total awarded compensation for 2023, including salary, STIP, and LTIP, is displayed below.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1115"/>
                        <w:gridCol w:w="120"/>
                        <w:gridCol w:w="2930"/>
                        <w:gridCol w:w="120"/>
                        <w:gridCol w:w="191"/>
                        <w:gridCol w:w="1449"/>
                        <w:gridCol w:w="60"/>
                        <w:gridCol w:w="120"/>
                        <w:gridCol w:w="60"/>
                        <w:gridCol w:w="60"/>
                        <w:gridCol w:w="7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Awarded Value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Base Salary</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Only Fixed Pay Element</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w:t>
                            </w:r>
                          </w:p>
                        </w:tc>
                        <w:tc>
                          <w:tcPr>
                            <w:tcW w:w="1449" w:type="dxa"/>
                            <w:tcBorders/>
                            <w:vAlign w:val="center"/>
                          </w:tcPr>
                          <w:p>
                            <w:pPr>
                              <w:pStyle w:val="TableContents"/>
                              <w:bidi w:val="0"/>
                              <w:spacing w:lineRule="atLeast" w:line="300" w:before="0" w:after="0"/>
                              <w:jc w:val="right"/>
                              <w:rPr>
                                <w:rFonts w:ascii="arial" w:hAnsi="arial"/>
                                <w:color w:val="3E3935"/>
                                <w:sz w:val="17"/>
                              </w:rPr>
                            </w:pPr>
                            <w:r>
                              <w:rPr>
                                <w:rFonts w:ascii="arial" w:hAnsi="arial"/>
                                <w:color w:val="3E3935"/>
                                <w:sz w:val="17"/>
                              </w:rPr>
                              <w:t>1,000,000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115"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STIP</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Performance to Metrics</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7"/>
                              </w:rPr>
                            </w:pPr>
                            <w:r>
                              <w:rPr>
                                <w:rFonts w:ascii="arial" w:hAnsi="arial"/>
                                <w:color w:val="3E3935"/>
                                <w:sz w:val="17"/>
                              </w:rPr>
                              <w:t>1,687,500</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PSUs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Performance to Metrics and Stock Price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w:t>
                            </w:r>
                          </w:p>
                        </w:tc>
                        <w:tc>
                          <w:tcPr>
                            <w:tcW w:w="1449" w:type="dxa"/>
                            <w:tcBorders/>
                            <w:vAlign w:val="center"/>
                          </w:tcPr>
                          <w:p>
                            <w:pPr>
                              <w:pStyle w:val="TableContents"/>
                              <w:bidi w:val="0"/>
                              <w:spacing w:lineRule="atLeast" w:line="300" w:before="0" w:after="0"/>
                              <w:jc w:val="right"/>
                              <w:rPr>
                                <w:rFonts w:ascii="arial" w:hAnsi="arial"/>
                                <w:color w:val="3E3935"/>
                                <w:sz w:val="17"/>
                              </w:rPr>
                            </w:pPr>
                            <w:r>
                              <w:rPr>
                                <w:rFonts w:ascii="arial" w:hAnsi="arial"/>
                                <w:color w:val="3E3935"/>
                                <w:sz w:val="17"/>
                              </w:rPr>
                              <w:t>6,187,500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115"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Stock Options</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Performance to Stock Price</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7"/>
                              </w:rPr>
                            </w:pPr>
                            <w:r>
                              <w:rPr>
                                <w:rFonts w:ascii="arial" w:hAnsi="arial"/>
                                <w:color w:val="3E3935"/>
                                <w:sz w:val="17"/>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7"/>
                              </w:rPr>
                            </w:pPr>
                            <w:r>
                              <w:rPr>
                                <w:rFonts w:ascii="arial" w:hAnsi="arial"/>
                                <w:color w:val="3E3935"/>
                                <w:sz w:val="17"/>
                              </w:rPr>
                              <w:t>2,062,503</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0071CE"/>
                            </w:tcBorders>
                            <w:tcMar>
                              <w:bottom w:w="80" w:type="dxa"/>
                            </w:tcMar>
                            <w:vAlign w:val="center"/>
                          </w:tcPr>
                          <w:p>
                            <w:pPr>
                              <w:pStyle w:val="TableContents"/>
                              <w:bidi w:val="0"/>
                              <w:spacing w:lineRule="atLeast" w:line="300" w:before="0" w:after="0"/>
                              <w:jc w:val="left"/>
                              <w:rPr>
                                <w:rFonts w:ascii="arial" w:hAnsi="arial"/>
                                <w:b/>
                                <w:color w:val="0071CE"/>
                                <w:sz w:val="17"/>
                              </w:rPr>
                            </w:pPr>
                            <w:r>
                              <w:rPr>
                                <w:rFonts w:ascii="arial" w:hAnsi="arial"/>
                                <w:b/>
                                <w:color w:val="0071CE"/>
                                <w:sz w:val="17"/>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1" w:type="dxa"/>
                            <w:tcBorders>
                              <w:bottom w:val="single" w:sz="6" w:space="0" w:color="0071CE"/>
                            </w:tcBorders>
                            <w:tcMar>
                              <w:bottom w:w="80" w:type="dxa"/>
                            </w:tcMar>
                            <w:vAlign w:val="center"/>
                          </w:tcPr>
                          <w:p>
                            <w:pPr>
                              <w:pStyle w:val="TableContents"/>
                              <w:bidi w:val="0"/>
                              <w:spacing w:lineRule="atLeast" w:line="300" w:before="0" w:after="0"/>
                              <w:jc w:val="left"/>
                              <w:rPr>
                                <w:rFonts w:ascii="arial" w:hAnsi="arial"/>
                                <w:b/>
                                <w:color w:val="0071CE"/>
                                <w:sz w:val="17"/>
                              </w:rPr>
                            </w:pPr>
                            <w:r>
                              <w:rPr>
                                <w:rFonts w:ascii="arial" w:hAnsi="arial"/>
                                <w:b/>
                                <w:color w:val="0071CE"/>
                                <w:sz w:val="17"/>
                              </w:rPr>
                              <w:t>$</w:t>
                            </w:r>
                          </w:p>
                        </w:tc>
                        <w:tc>
                          <w:tcPr>
                            <w:tcW w:w="1449" w:type="dxa"/>
                            <w:tcBorders>
                              <w:bottom w:val="single" w:sz="6" w:space="0" w:color="0071CE"/>
                            </w:tcBorders>
                            <w:tcMar>
                              <w:bottom w:w="80" w:type="dxa"/>
                            </w:tcMar>
                            <w:vAlign w:val="center"/>
                          </w:tcPr>
                          <w:p>
                            <w:pPr>
                              <w:pStyle w:val="TableContents"/>
                              <w:bidi w:val="0"/>
                              <w:spacing w:lineRule="atLeast" w:line="300" w:before="0" w:after="0"/>
                              <w:jc w:val="right"/>
                              <w:rPr>
                                <w:rFonts w:ascii="arial" w:hAnsi="arial"/>
                                <w:b/>
                                <w:color w:val="0071CE"/>
                                <w:sz w:val="17"/>
                              </w:rPr>
                            </w:pPr>
                            <w:r>
                              <w:rPr>
                                <w:rFonts w:ascii="arial" w:hAnsi="arial"/>
                                <w:b/>
                                <w:color w:val="0071CE"/>
                                <w:sz w:val="17"/>
                              </w:rPr>
                              <w:t>10,937,503</w:t>
                            </w:r>
                          </w:p>
                        </w:tc>
                        <w:tc>
                          <w:tcPr>
                            <w:tcW w:w="60" w:type="dxa"/>
                            <w:tcBorders>
                              <w:bottom w:val="single" w:sz="6" w:space="0" w:color="0071CE"/>
                            </w:tcBorders>
                            <w:tcMar>
                              <w:bottom w:w="8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2073275" cy="2149475"/>
                <wp:effectExtent l="0" t="0" r="0" b="0"/>
                <wp:wrapSquare wrapText="right"/>
                <wp:docPr id="276" name="Frame12"/>
                <a:graphic xmlns:a="http://schemas.openxmlformats.org/drawingml/2006/main">
                  <a:graphicData uri="http://schemas.microsoft.com/office/word/2010/wordprocessingShape">
                    <wps:wsp>
                      <wps:cNvSpPr txBox="1"/>
                      <wps:spPr>
                        <a:xfrm>
                          <a:off x="0" y="0"/>
                          <a:ext cx="2073275" cy="214947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6375" cy="260350"/>
                                  <wp:effectExtent l="0" t="0" r="0" b="0"/>
                                  <wp:docPr id="27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41" descr=""/>
                                          <pic:cNvPicPr>
                                            <a:picLocks noChangeAspect="1" noChangeArrowheads="1"/>
                                          </pic:cNvPicPr>
                                        </pic:nvPicPr>
                                        <pic:blipFill>
                                          <a:blip r:embed="rId266"/>
                                          <a:stretch>
                                            <a:fillRect/>
                                          </a:stretch>
                                        </pic:blipFill>
                                        <pic:spPr bwMode="auto">
                                          <a:xfrm>
                                            <a:off x="0" y="0"/>
                                            <a:ext cx="206375" cy="260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4625" cy="337820"/>
                                  <wp:effectExtent l="0" t="0" r="0" b="0"/>
                                  <wp:docPr id="27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42" descr=""/>
                                          <pic:cNvPicPr>
                                            <a:picLocks noChangeAspect="1" noChangeArrowheads="1"/>
                                          </pic:cNvPicPr>
                                        </pic:nvPicPr>
                                        <pic:blipFill>
                                          <a:blip r:embed="rId267"/>
                                          <a:stretch>
                                            <a:fillRect/>
                                          </a:stretch>
                                        </pic:blipFill>
                                        <pic:spPr bwMode="auto">
                                          <a:xfrm>
                                            <a:off x="0" y="0"/>
                                            <a:ext cx="174625" cy="337820"/>
                                          </a:xfrm>
                                          <a:prstGeom prst="rect">
                                            <a:avLst/>
                                          </a:prstGeom>
                                        </pic:spPr>
                                      </pic:pic>
                                    </a:graphicData>
                                  </a:graphic>
                                </wp:inline>
                              </w:drawing>
                            </w:r>
                            <w:r>
                              <w:rPr/>
                              <w:t xml:space="preserve"> </w:t>
                            </w:r>
                          </w:p>
                          <w:p>
                            <w:pPr>
                              <w:pStyle w:val="TextBody"/>
                              <w:bidi w:val="0"/>
                              <w:spacing w:before="20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169.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6375" cy="260350"/>
                            <wp:effectExtent l="0" t="0" r="0" b="0"/>
                            <wp:docPr id="279"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41" descr=""/>
                                    <pic:cNvPicPr>
                                      <a:picLocks noChangeAspect="1" noChangeArrowheads="1"/>
                                    </pic:cNvPicPr>
                                  </pic:nvPicPr>
                                  <pic:blipFill>
                                    <a:blip r:embed="rId268"/>
                                    <a:stretch>
                                      <a:fillRect/>
                                    </a:stretch>
                                  </pic:blipFill>
                                  <pic:spPr bwMode="auto">
                                    <a:xfrm>
                                      <a:off x="0" y="0"/>
                                      <a:ext cx="206375" cy="260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4625" cy="337820"/>
                            <wp:effectExtent l="0" t="0" r="0" b="0"/>
                            <wp:docPr id="28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42" descr=""/>
                                    <pic:cNvPicPr>
                                      <a:picLocks noChangeAspect="1" noChangeArrowheads="1"/>
                                    </pic:cNvPicPr>
                                  </pic:nvPicPr>
                                  <pic:blipFill>
                                    <a:blip r:embed="rId269"/>
                                    <a:stretch>
                                      <a:fillRect/>
                                    </a:stretch>
                                  </pic:blipFill>
                                  <pic:spPr bwMode="auto">
                                    <a:xfrm>
                                      <a:off x="0" y="0"/>
                                      <a:ext cx="174625" cy="337820"/>
                                    </a:xfrm>
                                    <a:prstGeom prst="rect">
                                      <a:avLst/>
                                    </a:prstGeom>
                                  </pic:spPr>
                                </pic:pic>
                              </a:graphicData>
                            </a:graphic>
                          </wp:inline>
                        </w:drawing>
                      </w:r>
                      <w:r>
                        <w:rPr/>
                        <w:t xml:space="preserve"> </w:t>
                      </w:r>
                    </w:p>
                    <w:p>
                      <w:pPr>
                        <w:pStyle w:val="TextBody"/>
                        <w:bidi w:val="0"/>
                        <w:spacing w:before="20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v:textbox>
                <w10:wrap type="square" side="right"/>
              </v:rect>
            </w:pict>
          </mc:Fallback>
        </mc:AlternateContent>
      </w:r>
    </w:p>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58</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28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43" descr=""/>
                          <pic:cNvPicPr>
                            <a:picLocks noChangeAspect="1" noChangeArrowheads="1"/>
                          </pic:cNvPicPr>
                        </pic:nvPicPr>
                        <pic:blipFill>
                          <a:blip r:embed="rId270"/>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211955" cy="9972040"/>
                <wp:effectExtent l="0" t="0" r="0" b="0"/>
                <wp:wrapSquare wrapText="right"/>
                <wp:docPr id="282" name="Frame13"/>
                <a:graphic xmlns:a="http://schemas.openxmlformats.org/drawingml/2006/main">
                  <a:graphicData uri="http://schemas.microsoft.com/office/word/2010/wordprocessingShape">
                    <wps:wsp>
                      <wps:cNvSpPr txBox="1"/>
                      <wps:spPr>
                        <a:xfrm>
                          <a:off x="0" y="0"/>
                          <a:ext cx="4211955" cy="9972040"/>
                        </a:xfrm>
                        <a:prstGeom prst="rect"/>
                        <a:solidFill>
                          <a:srgbClr val="FFFFFF"/>
                        </a:solidFill>
                      </wps:spPr>
                      <wps:txbx>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Mark L. Reuss </w:t>
                            </w:r>
                          </w:p>
                          <w:p>
                            <w:pPr>
                              <w:pStyle w:val="TextBody"/>
                              <w:bidi w:val="0"/>
                              <w:spacing w:before="120" w:after="0"/>
                              <w:jc w:val="left"/>
                              <w:rPr>
                                <w:rFonts w:ascii="arial" w:hAnsi="arial"/>
                                <w:b/>
                                <w:color w:val="3E3935"/>
                                <w:sz w:val="22"/>
                              </w:rPr>
                            </w:pPr>
                            <w:r>
                              <w:rPr>
                                <w:rFonts w:ascii="arial" w:hAnsi="arial"/>
                                <w:b/>
                                <w:color w:val="3E3935"/>
                                <w:sz w:val="22"/>
                              </w:rPr>
                              <w:t xml:space="preserve">President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6"/>
                              </w:rPr>
                            </w:pPr>
                            <w:r>
                              <w:rPr>
                                <w:rFonts w:ascii="arial" w:hAnsi="arial"/>
                                <w:color w:val="3E3935"/>
                                <w:sz w:val="16"/>
                              </w:rPr>
                              <w:t xml:space="preserve">The Compensation Committee made the following pay decisions based on performance, competitive market data, and feedback from its independent compensation consultant and management: </w:t>
                            </w:r>
                          </w:p>
                          <w:p>
                            <w:pPr>
                              <w:pStyle w:val="TextBody"/>
                              <w:bidi w:val="0"/>
                              <w:spacing w:before="120" w:after="0"/>
                              <w:jc w:val="left"/>
                              <w:rPr>
                                <w:rFonts w:ascii="arial" w:hAnsi="arial"/>
                                <w:sz w:val="16"/>
                              </w:rPr>
                            </w:pPr>
                            <w:r>
                              <w:rPr>
                                <w:rFonts w:ascii="arial" w:hAnsi="arial"/>
                                <w:b/>
                                <w:color w:val="0071CE"/>
                                <w:sz w:val="16"/>
                              </w:rPr>
                              <w:t>Base Salary</w:t>
                            </w:r>
                            <w:r>
                              <w:rPr>
                                <w:rFonts w:ascii="arial" w:hAnsi="arial"/>
                                <w:color w:val="3E3935"/>
                                <w:sz w:val="16"/>
                              </w:rPr>
                              <w:t xml:space="preserve"> – Held base salary at $1,350,000. </w:t>
                            </w:r>
                          </w:p>
                          <w:p>
                            <w:pPr>
                              <w:pStyle w:val="TextBody"/>
                              <w:bidi w:val="0"/>
                              <w:spacing w:before="120" w:after="0"/>
                              <w:jc w:val="left"/>
                              <w:rPr>
                                <w:rFonts w:ascii="arial" w:hAnsi="arial"/>
                                <w:sz w:val="16"/>
                              </w:rPr>
                            </w:pPr>
                            <w:r>
                              <w:rPr>
                                <w:rFonts w:ascii="arial" w:hAnsi="arial"/>
                                <w:b/>
                                <w:color w:val="0071CE"/>
                                <w:sz w:val="16"/>
                              </w:rPr>
                              <w:t>Short-Term Incentive</w:t>
                            </w:r>
                            <w:r>
                              <w:rPr>
                                <w:rFonts w:ascii="arial" w:hAnsi="arial"/>
                                <w:color w:val="3E3935"/>
                                <w:sz w:val="16"/>
                              </w:rPr>
                              <w:t xml:space="preserve"> – Awarded 25 points out of a 25-point target and 50-point maximum for the strategic goals portion for the 2023 STIP performance year. In determining the number of points earned, the Compensation Committee considered these results for Mr. Reuss: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Generated record revenue of $171.8 billion (up 10% year-over-year) by executing GM’s winning product portfolio that led the industry in total sales and in key segments, including trucks, full-size pickups, full-size SUVs, affordable SUVs and fleet vehicles;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Optimized the Company’s ICE and EV portfolio to enable U.S. market share growth to 16.2% with stable pricing and incentives significantly below the industry average;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Earned recognition by J.D. Power for the quality, dependability, and customer sales and dealer service satisfaction of GM’s vehicles,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283"/>
                                    <w:jc w:val="left"/>
                                    <w:rPr>
                                      <w:b/>
                                      <w:color w:val="3E3935"/>
                                    </w:rPr>
                                  </w:pPr>
                                  <w:r>
                                    <w:rPr>
                                      <w:b/>
                                      <w:color w:val="3E3935"/>
                                    </w:rPr>
                                    <w:t>Our People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employee engagement in GM’s safety-first culture resulting in zero fatalities and reductions in injuries  </w:t>
                                  </w:r>
                                  <w:r>
                                    <w:rPr>
                                      <w:rFonts w:ascii="arial" w:hAnsi="arial"/>
                                      <w:color w:val="3E3935"/>
                                      <w:sz w:val="16"/>
                                    </w:rPr>
                                    <w:drawing>
                                      <wp:inline distT="0" distB="0" distL="0" distR="0">
                                        <wp:extent cx="85725" cy="85725"/>
                                        <wp:effectExtent l="0" t="0" r="0" b="0"/>
                                        <wp:docPr id="283"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44" descr=""/>
                                                <pic:cNvPicPr>
                                                  <a:picLocks noChangeAspect="1" noChangeArrowheads="1"/>
                                                </pic:cNvPicPr>
                                              </pic:nvPicPr>
                                              <pic:blipFill>
                                                <a:blip r:embed="rId271"/>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Realigned the organization to allow for faster implementation of new vehicle and technology programs, further enhanced GM’s EV development process, and accelerated our go-to-market strategies  </w:t>
                                  </w:r>
                                  <w:r>
                                    <w:rPr>
                                      <w:rFonts w:ascii="arial" w:hAnsi="arial"/>
                                      <w:color w:val="3E3935"/>
                                      <w:sz w:val="16"/>
                                    </w:rPr>
                                    <w:drawing>
                                      <wp:inline distT="0" distB="0" distL="0" distR="0">
                                        <wp:extent cx="85725" cy="85725"/>
                                        <wp:effectExtent l="0" t="0" r="0" b="0"/>
                                        <wp:docPr id="284"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45" descr=""/>
                                                <pic:cNvPicPr>
                                                  <a:picLocks noChangeAspect="1" noChangeArrowheads="1"/>
                                                </pic:cNvPicPr>
                                              </pic:nvPicPr>
                                              <pic:blipFill>
                                                <a:blip r:embed="rId272"/>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Continued to enhance GM’s portfolio with award-winning vehicles customers love, including the Chevrolet Colorado (2024 MotorTrend Truck of the Year), Chevrolet Blazer EV (2024 MotorTrend SUV of the Year), Chevrolet Trax (Car and Driver’s 10Best Trucks and SUVs), Chevrolet Corvette E-Ray and Stingray, Cadillac CT4-V Blackwing and CT5-V Blackwing (Car and Driver’s 10Best Cars)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Expanded the Ultium Platform EV portfolio with launches of products like the Chevrolet Blazer EV and Chevrolet Silverado EV Work Truck  </w:t>
                                  </w:r>
                                  <w:r>
                                    <w:rPr>
                                      <w:rFonts w:ascii="arial" w:hAnsi="arial"/>
                                      <w:color w:val="3E3935"/>
                                      <w:sz w:val="16"/>
                                    </w:rPr>
                                    <w:drawing>
                                      <wp:inline distT="0" distB="0" distL="0" distR="0">
                                        <wp:extent cx="85725" cy="85725"/>
                                        <wp:effectExtent l="0" t="0" r="0" b="0"/>
                                        <wp:docPr id="285"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46" descr=""/>
                                                <pic:cNvPicPr>
                                                  <a:picLocks noChangeAspect="1" noChangeArrowheads="1"/>
                                                </pic:cNvPicPr>
                                              </pic:nvPicPr>
                                              <pic:blipFill>
                                                <a:blip r:embed="rId273"/>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Introduced new crossover vehicles in global markets, including the Chevrolet Trax and Chevrolet Montana</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to develop a more resilient and sustainable EV supply chain in North America  </w:t>
                                  </w:r>
                                  <w:r>
                                    <w:rPr>
                                      <w:rFonts w:ascii="arial" w:hAnsi="arial"/>
                                      <w:color w:val="3E3935"/>
                                      <w:sz w:val="16"/>
                                    </w:rPr>
                                    <w:drawing>
                                      <wp:inline distT="0" distB="0" distL="0" distR="0">
                                        <wp:extent cx="85725" cy="85725"/>
                                        <wp:effectExtent l="0" t="0" r="0" b="0"/>
                                        <wp:docPr id="286"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47" descr=""/>
                                                <pic:cNvPicPr>
                                                  <a:picLocks noChangeAspect="1" noChangeArrowheads="1"/>
                                                </pic:cNvPicPr>
                                              </pic:nvPicPr>
                                              <pic:blipFill>
                                                <a:blip r:embed="rId274"/>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Provided $3 million in grants to nonprofits through GM’s Community Impact Grants program  </w:t>
                                  </w:r>
                                  <w:r>
                                    <w:rPr>
                                      <w:rFonts w:ascii="arial" w:hAnsi="arial"/>
                                      <w:color w:val="3E3935"/>
                                      <w:sz w:val="16"/>
                                    </w:rPr>
                                    <w:drawing>
                                      <wp:inline distT="0" distB="0" distL="0" distR="0">
                                        <wp:extent cx="85725" cy="85725"/>
                                        <wp:effectExtent l="0" t="0" r="0" b="0"/>
                                        <wp:docPr id="287"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48" descr=""/>
                                                <pic:cNvPicPr>
                                                  <a:picLocks noChangeAspect="1" noChangeArrowheads="1"/>
                                                </pic:cNvPicPr>
                                              </pic:nvPicPr>
                                              <pic:blipFill>
                                                <a:blip r:embed="rId275"/>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Made significant progress in the Company’s commitment to an all-electric future through new EV launches and reveals, expanded charging capabilities and affordable battery development  </w:t>
                                  </w:r>
                                  <w:r>
                                    <w:rPr>
                                      <w:rFonts w:ascii="arial" w:hAnsi="arial"/>
                                      <w:color w:val="3E3935"/>
                                      <w:sz w:val="16"/>
                                    </w:rPr>
                                    <w:drawing>
                                      <wp:inline distT="0" distB="0" distL="0" distR="0">
                                        <wp:extent cx="85725" cy="85725"/>
                                        <wp:effectExtent l="0" t="0" r="0" b="0"/>
                                        <wp:docPr id="288"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49" descr=""/>
                                                <pic:cNvPicPr>
                                                  <a:picLocks noChangeAspect="1" noChangeArrowheads="1"/>
                                                </pic:cNvPicPr>
                                              </pic:nvPicPr>
                                              <pic:blipFill>
                                                <a:blip r:embed="rId276"/>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Enhanced GM’s vehicle portfolio to generate record revenue and establish GM as a leader in the U.S. market’s top-priced quadrant, while new affordable small SUVs helped the Company bypass Toyota and Honda in the most affordable quadrant of the market</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Introduced GM Envolve, the Company’s fleet and commercial business, which increased total fleet sales 20% year-over-year and led the industry in commercial fleet deliveries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Committed to expanding vehicle-to-home bidirectional charging technology across GM’s retail portfolio of Ultium-based electric vehicles by model year 2026, with the 2024 Chevrolet Silverado EV RST being the first vehicle to receive the technology  </w:t>
                                  </w:r>
                                  <w:r>
                                    <w:rPr>
                                      <w:rFonts w:ascii="arial" w:hAnsi="arial"/>
                                      <w:color w:val="3E3935"/>
                                      <w:sz w:val="16"/>
                                    </w:rPr>
                                    <w:drawing>
                                      <wp:inline distT="0" distB="0" distL="0" distR="0">
                                        <wp:extent cx="85725" cy="85725"/>
                                        <wp:effectExtent l="0" t="0" r="0" b="0"/>
                                        <wp:docPr id="28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50" descr=""/>
                                                <pic:cNvPicPr>
                                                  <a:picLocks noChangeAspect="1" noChangeArrowheads="1"/>
                                                </pic:cNvPicPr>
                                              </pic:nvPicPr>
                                              <pic:blipFill>
                                                <a:blip r:embed="rId277"/>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Launched “Hands Free, Eyes On,” an ongoing consumer education effort to increase understanding of and confidence in advanced driver assistance systems and hands-free technologies like GM’s Super Cruise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color w:val="3E3935"/>
                              </w:rPr>
                            </w:pPr>
                            <w:r>
                              <w:rPr>
                                <w:color w:val="3E3935"/>
                              </w:rPr>
                              <w:drawing>
                                <wp:inline distT="0" distB="0" distL="0" distR="0">
                                  <wp:extent cx="85725" cy="85725"/>
                                  <wp:effectExtent l="0" t="0" r="0" b="0"/>
                                  <wp:docPr id="290"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51" descr=""/>
                                          <pic:cNvPicPr>
                                            <a:picLocks noChangeAspect="1" noChangeArrowheads="1"/>
                                          </pic:cNvPicPr>
                                        </pic:nvPicPr>
                                        <pic:blipFill>
                                          <a:blip r:embed="rId278"/>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6"/>
                              </w:rPr>
                              <w:t xml:space="preserve">Represents Sustainability Results </w:t>
                            </w:r>
                          </w:p>
                          <w:p>
                            <w:pPr>
                              <w:pStyle w:val="TextBody"/>
                              <w:bidi w:val="0"/>
                              <w:spacing w:before="240" w:after="0"/>
                              <w:jc w:val="left"/>
                              <w:rPr>
                                <w:rFonts w:ascii="arial" w:hAnsi="arial"/>
                                <w:sz w:val="16"/>
                              </w:rPr>
                            </w:pPr>
                            <w:r>
                              <w:rPr>
                                <w:rFonts w:ascii="arial" w:hAnsi="arial"/>
                                <w:b/>
                                <w:color w:val="0071CE"/>
                                <w:sz w:val="16"/>
                              </w:rPr>
                              <w:t>Long-Term Incentive</w:t>
                            </w:r>
                            <w:r>
                              <w:rPr>
                                <w:rFonts w:ascii="arial" w:hAnsi="arial"/>
                                <w:color w:val="3E3935"/>
                                <w:sz w:val="16"/>
                              </w:rPr>
                              <w:t xml:space="preserve"> – In February 2023, awarded an annual LTIP grant of $13.96 million, consisting of 75 percent PSUs and 25 percent stock options. </w:t>
                            </w:r>
                          </w:p>
                          <w:p>
                            <w:pPr>
                              <w:pStyle w:val="TextBody"/>
                              <w:bidi w:val="0"/>
                              <w:spacing w:before="120" w:after="0"/>
                              <w:jc w:val="left"/>
                              <w:rPr>
                                <w:rFonts w:ascii="arial" w:hAnsi="arial"/>
                                <w:color w:val="3E3935"/>
                                <w:sz w:val="16"/>
                              </w:rPr>
                            </w:pPr>
                            <w:r>
                              <w:rPr>
                                <w:rFonts w:ascii="arial" w:hAnsi="arial"/>
                                <w:color w:val="3E3935"/>
                                <w:sz w:val="16"/>
                              </w:rPr>
                              <w:t xml:space="preserve">Total awarded compensation for 2023, including salary, STIP, and LTIP, is displayed below. </w:t>
                            </w:r>
                          </w:p>
                          <w:p>
                            <w:pPr>
                              <w:pStyle w:val="TextBody"/>
                              <w:bidi w:val="0"/>
                              <w:spacing w:before="0" w:after="0"/>
                              <w:jc w:val="left"/>
                              <w:rPr/>
                            </w:pPr>
                            <w:r>
                              <w:rPr/>
                              <w:t> </w:t>
                            </w:r>
                          </w:p>
                          <w:tbl>
                            <w:tblPr>
                              <w:tblW w:w="6255" w:type="dxa"/>
                              <w:jc w:val="left"/>
                              <w:tblInd w:w="0" w:type="dxa"/>
                              <w:tblLayout w:type="fixed"/>
                              <w:tblCellMar>
                                <w:top w:w="0" w:type="dxa"/>
                                <w:left w:w="0" w:type="dxa"/>
                                <w:bottom w:w="0" w:type="dxa"/>
                                <w:right w:w="0" w:type="dxa"/>
                              </w:tblCellMar>
                            </w:tblPr>
                            <w:tblGrid>
                              <w:gridCol w:w="1070"/>
                              <w:gridCol w:w="120"/>
                              <w:gridCol w:w="2930"/>
                              <w:gridCol w:w="120"/>
                              <w:gridCol w:w="191"/>
                              <w:gridCol w:w="1449"/>
                              <w:gridCol w:w="60"/>
                              <w:gridCol w:w="120"/>
                              <w:gridCol w:w="60"/>
                              <w:gridCol w:w="60"/>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6"/>
                                    </w:rPr>
                                  </w:pPr>
                                  <w:r>
                                    <w:rPr>
                                      <w:rFonts w:ascii="arial" w:hAnsi="arial"/>
                                      <w:b/>
                                      <w:color w:val="3E3935"/>
                                      <w:sz w:val="16"/>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Awarded Value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Base Salary</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Only Fixed Pay Element</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1,350,000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STIP</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2,109,400</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 and Stock Price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10,471,875</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Stock Options</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3,490,634</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1" w:type="dxa"/>
                                  <w:tcBorders>
                                    <w:bottom w:val="single" w:sz="6" w:space="0" w:color="0071CE"/>
                                  </w:tcBorders>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w:t>
                                  </w:r>
                                </w:p>
                              </w:tc>
                              <w:tc>
                                <w:tcPr>
                                  <w:tcW w:w="1449" w:type="dxa"/>
                                  <w:tcBorders>
                                    <w:bottom w:val="single" w:sz="6" w:space="0" w:color="0071CE"/>
                                  </w:tcBorders>
                                  <w:tcMar>
                                    <w:bottom w:w="60" w:type="dxa"/>
                                  </w:tcMar>
                                  <w:vAlign w:val="center"/>
                                </w:tcPr>
                                <w:p>
                                  <w:pPr>
                                    <w:pStyle w:val="TableContents"/>
                                    <w:bidi w:val="0"/>
                                    <w:spacing w:lineRule="atLeast" w:line="300" w:before="0" w:after="0"/>
                                    <w:jc w:val="right"/>
                                    <w:rPr>
                                      <w:rFonts w:ascii="arial" w:hAnsi="arial"/>
                                      <w:b/>
                                      <w:color w:val="0071CE"/>
                                      <w:sz w:val="16"/>
                                    </w:rPr>
                                  </w:pPr>
                                  <w:r>
                                    <w:rPr>
                                      <w:rFonts w:ascii="arial" w:hAnsi="arial"/>
                                      <w:b/>
                                      <w:color w:val="0071CE"/>
                                      <w:sz w:val="16"/>
                                    </w:rPr>
                                    <w:t>17,421,909</w:t>
                                  </w:r>
                                </w:p>
                              </w:tc>
                              <w:tc>
                                <w:tcPr>
                                  <w:tcW w:w="60" w:type="dxa"/>
                                  <w:tcBorders>
                                    <w:bottom w:val="single" w:sz="6" w:space="0" w:color="0071CE"/>
                                  </w:tcBorders>
                                  <w:tcMar>
                                    <w:bottom w:w="6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Mark L. Reuss </w:t>
                      </w:r>
                    </w:p>
                    <w:p>
                      <w:pPr>
                        <w:pStyle w:val="TextBody"/>
                        <w:bidi w:val="0"/>
                        <w:spacing w:before="120" w:after="0"/>
                        <w:jc w:val="left"/>
                        <w:rPr>
                          <w:rFonts w:ascii="arial" w:hAnsi="arial"/>
                          <w:b/>
                          <w:color w:val="3E3935"/>
                          <w:sz w:val="22"/>
                        </w:rPr>
                      </w:pPr>
                      <w:r>
                        <w:rPr>
                          <w:rFonts w:ascii="arial" w:hAnsi="arial"/>
                          <w:b/>
                          <w:color w:val="3E3935"/>
                          <w:sz w:val="22"/>
                        </w:rPr>
                        <w:t xml:space="preserve">President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6"/>
                        </w:rPr>
                      </w:pPr>
                      <w:r>
                        <w:rPr>
                          <w:rFonts w:ascii="arial" w:hAnsi="arial"/>
                          <w:color w:val="3E3935"/>
                          <w:sz w:val="16"/>
                        </w:rPr>
                        <w:t xml:space="preserve">The Compensation Committee made the following pay decisions based on performance, competitive market data, and feedback from its independent compensation consultant and management: </w:t>
                      </w:r>
                    </w:p>
                    <w:p>
                      <w:pPr>
                        <w:pStyle w:val="TextBody"/>
                        <w:bidi w:val="0"/>
                        <w:spacing w:before="120" w:after="0"/>
                        <w:jc w:val="left"/>
                        <w:rPr>
                          <w:rFonts w:ascii="arial" w:hAnsi="arial"/>
                          <w:sz w:val="16"/>
                        </w:rPr>
                      </w:pPr>
                      <w:r>
                        <w:rPr>
                          <w:rFonts w:ascii="arial" w:hAnsi="arial"/>
                          <w:b/>
                          <w:color w:val="0071CE"/>
                          <w:sz w:val="16"/>
                        </w:rPr>
                        <w:t>Base Salary</w:t>
                      </w:r>
                      <w:r>
                        <w:rPr>
                          <w:rFonts w:ascii="arial" w:hAnsi="arial"/>
                          <w:color w:val="3E3935"/>
                          <w:sz w:val="16"/>
                        </w:rPr>
                        <w:t xml:space="preserve"> – Held base salary at $1,350,000. </w:t>
                      </w:r>
                    </w:p>
                    <w:p>
                      <w:pPr>
                        <w:pStyle w:val="TextBody"/>
                        <w:bidi w:val="0"/>
                        <w:spacing w:before="120" w:after="0"/>
                        <w:jc w:val="left"/>
                        <w:rPr>
                          <w:rFonts w:ascii="arial" w:hAnsi="arial"/>
                          <w:sz w:val="16"/>
                        </w:rPr>
                      </w:pPr>
                      <w:r>
                        <w:rPr>
                          <w:rFonts w:ascii="arial" w:hAnsi="arial"/>
                          <w:b/>
                          <w:color w:val="0071CE"/>
                          <w:sz w:val="16"/>
                        </w:rPr>
                        <w:t>Short-Term Incentive</w:t>
                      </w:r>
                      <w:r>
                        <w:rPr>
                          <w:rFonts w:ascii="arial" w:hAnsi="arial"/>
                          <w:color w:val="3E3935"/>
                          <w:sz w:val="16"/>
                        </w:rPr>
                        <w:t xml:space="preserve"> – Awarded 25 points out of a 25-point target and 50-point maximum for the strategic goals portion for the 2023 STIP performance year. In determining the number of points earned, the Compensation Committee considered these results for Mr. Reuss: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Generated record revenue of $171.8 billion (up 10% year-over-year) by executing GM’s winning product portfolio that led the industry in total sales and in key segments, including trucks, full-size pickups, full-size SUVs, affordable SUVs and fleet vehicles;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Optimized the Company’s ICE and EV portfolio to enable U.S. market share growth to 16.2% with stable pricing and incentives significantly below the industry average;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Earned recognition by J.D. Power for the quality, dependability, and customer sales and dealer service satisfaction of GM’s vehicles,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283"/>
                              <w:jc w:val="left"/>
                              <w:rPr>
                                <w:b/>
                                <w:color w:val="3E3935"/>
                              </w:rPr>
                            </w:pPr>
                            <w:r>
                              <w:rPr>
                                <w:b/>
                                <w:color w:val="3E3935"/>
                              </w:rPr>
                              <w:t>Our People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employee engagement in GM’s safety-first culture resulting in zero fatalities and reductions in injuries  </w:t>
                            </w:r>
                            <w:r>
                              <w:rPr>
                                <w:rFonts w:ascii="arial" w:hAnsi="arial"/>
                                <w:color w:val="3E3935"/>
                                <w:sz w:val="16"/>
                              </w:rPr>
                              <w:drawing>
                                <wp:inline distT="0" distB="0" distL="0" distR="0">
                                  <wp:extent cx="85725" cy="85725"/>
                                  <wp:effectExtent l="0" t="0" r="0" b="0"/>
                                  <wp:docPr id="291"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44" descr=""/>
                                          <pic:cNvPicPr>
                                            <a:picLocks noChangeAspect="1" noChangeArrowheads="1"/>
                                          </pic:cNvPicPr>
                                        </pic:nvPicPr>
                                        <pic:blipFill>
                                          <a:blip r:embed="rId279"/>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Realigned the organization to allow for faster implementation of new vehicle and technology programs, further enhanced GM’s EV development process, and accelerated our go-to-market strategies  </w:t>
                            </w:r>
                            <w:r>
                              <w:rPr>
                                <w:rFonts w:ascii="arial" w:hAnsi="arial"/>
                                <w:color w:val="3E3935"/>
                                <w:sz w:val="16"/>
                              </w:rPr>
                              <w:drawing>
                                <wp:inline distT="0" distB="0" distL="0" distR="0">
                                  <wp:extent cx="85725" cy="85725"/>
                                  <wp:effectExtent l="0" t="0" r="0" b="0"/>
                                  <wp:docPr id="292"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45" descr=""/>
                                          <pic:cNvPicPr>
                                            <a:picLocks noChangeAspect="1" noChangeArrowheads="1"/>
                                          </pic:cNvPicPr>
                                        </pic:nvPicPr>
                                        <pic:blipFill>
                                          <a:blip r:embed="rId280"/>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Continued to enhance GM’s portfolio with award-winning vehicles customers love, including the Chevrolet Colorado (2024 MotorTrend Truck of the Year), Chevrolet Blazer EV (2024 MotorTrend SUV of the Year), Chevrolet Trax (Car and Driver’s 10Best Trucks and SUVs), Chevrolet Corvette E-Ray and Stingray, Cadillac CT4-V Blackwing and CT5-V Blackwing (Car and Driver’s 10Best Cars)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Expanded the Ultium Platform EV portfolio with launches of products like the Chevrolet Blazer EV and Chevrolet Silverado EV Work Truck  </w:t>
                            </w:r>
                            <w:r>
                              <w:rPr>
                                <w:rFonts w:ascii="arial" w:hAnsi="arial"/>
                                <w:color w:val="3E3935"/>
                                <w:sz w:val="16"/>
                              </w:rPr>
                              <w:drawing>
                                <wp:inline distT="0" distB="0" distL="0" distR="0">
                                  <wp:extent cx="85725" cy="85725"/>
                                  <wp:effectExtent l="0" t="0" r="0" b="0"/>
                                  <wp:docPr id="293"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46" descr=""/>
                                          <pic:cNvPicPr>
                                            <a:picLocks noChangeAspect="1" noChangeArrowheads="1"/>
                                          </pic:cNvPicPr>
                                        </pic:nvPicPr>
                                        <pic:blipFill>
                                          <a:blip r:embed="rId281"/>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Introduced new crossover vehicles in global markets, including the Chevrolet Trax and Chevrolet Montana</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to develop a more resilient and sustainable EV supply chain in North America  </w:t>
                            </w:r>
                            <w:r>
                              <w:rPr>
                                <w:rFonts w:ascii="arial" w:hAnsi="arial"/>
                                <w:color w:val="3E3935"/>
                                <w:sz w:val="16"/>
                              </w:rPr>
                              <w:drawing>
                                <wp:inline distT="0" distB="0" distL="0" distR="0">
                                  <wp:extent cx="85725" cy="85725"/>
                                  <wp:effectExtent l="0" t="0" r="0" b="0"/>
                                  <wp:docPr id="294"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47" descr=""/>
                                          <pic:cNvPicPr>
                                            <a:picLocks noChangeAspect="1" noChangeArrowheads="1"/>
                                          </pic:cNvPicPr>
                                        </pic:nvPicPr>
                                        <pic:blipFill>
                                          <a:blip r:embed="rId282"/>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Provided $3 million in grants to nonprofits through GM’s Community Impact Grants program  </w:t>
                            </w:r>
                            <w:r>
                              <w:rPr>
                                <w:rFonts w:ascii="arial" w:hAnsi="arial"/>
                                <w:color w:val="3E3935"/>
                                <w:sz w:val="16"/>
                              </w:rPr>
                              <w:drawing>
                                <wp:inline distT="0" distB="0" distL="0" distR="0">
                                  <wp:extent cx="85725" cy="85725"/>
                                  <wp:effectExtent l="0" t="0" r="0" b="0"/>
                                  <wp:docPr id="29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48" descr=""/>
                                          <pic:cNvPicPr>
                                            <a:picLocks noChangeAspect="1" noChangeArrowheads="1"/>
                                          </pic:cNvPicPr>
                                        </pic:nvPicPr>
                                        <pic:blipFill>
                                          <a:blip r:embed="rId283"/>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Made significant progress in the Company’s commitment to an all-electric future through new EV launches and reveals, expanded charging capabilities and affordable battery development  </w:t>
                            </w:r>
                            <w:r>
                              <w:rPr>
                                <w:rFonts w:ascii="arial" w:hAnsi="arial"/>
                                <w:color w:val="3E3935"/>
                                <w:sz w:val="16"/>
                              </w:rPr>
                              <w:drawing>
                                <wp:inline distT="0" distB="0" distL="0" distR="0">
                                  <wp:extent cx="85725" cy="85725"/>
                                  <wp:effectExtent l="0" t="0" r="0" b="0"/>
                                  <wp:docPr id="296"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49" descr=""/>
                                          <pic:cNvPicPr>
                                            <a:picLocks noChangeAspect="1" noChangeArrowheads="1"/>
                                          </pic:cNvPicPr>
                                        </pic:nvPicPr>
                                        <pic:blipFill>
                                          <a:blip r:embed="rId284"/>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Enhanced GM’s vehicle portfolio to generate record revenue and establish GM as a leader in the U.S. market’s top-priced quadrant, while new affordable small SUVs helped the Company bypass Toyota and Honda in the most affordable quadrant of the market</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Introduced GM Envolve, the Company’s fleet and commercial business, which increased total fleet sales 20% year-over-year and led the industry in commercial fleet deliveries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Committed to expanding vehicle-to-home bidirectional charging technology across GM’s retail portfolio of Ultium-based electric vehicles by model year 2026, with the 2024 Chevrolet Silverado EV RST being the first vehicle to receive the technology  </w:t>
                            </w:r>
                            <w:r>
                              <w:rPr>
                                <w:rFonts w:ascii="arial" w:hAnsi="arial"/>
                                <w:color w:val="3E3935"/>
                                <w:sz w:val="16"/>
                              </w:rPr>
                              <w:drawing>
                                <wp:inline distT="0" distB="0" distL="0" distR="0">
                                  <wp:extent cx="85725" cy="85725"/>
                                  <wp:effectExtent l="0" t="0" r="0" b="0"/>
                                  <wp:docPr id="297"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50" descr=""/>
                                          <pic:cNvPicPr>
                                            <a:picLocks noChangeAspect="1" noChangeArrowheads="1"/>
                                          </pic:cNvPicPr>
                                        </pic:nvPicPr>
                                        <pic:blipFill>
                                          <a:blip r:embed="rId285"/>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Launched “Hands Free, Eyes On,” an ongoing consumer education effort to increase understanding of and confidence in advanced driver assistance systems and hands-free technologies like GM’s Super Cruise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color w:val="3E3935"/>
                        </w:rPr>
                      </w:pPr>
                      <w:r>
                        <w:rPr>
                          <w:color w:val="3E3935"/>
                        </w:rPr>
                        <w:drawing>
                          <wp:inline distT="0" distB="0" distL="0" distR="0">
                            <wp:extent cx="85725" cy="85725"/>
                            <wp:effectExtent l="0" t="0" r="0" b="0"/>
                            <wp:docPr id="298"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51" descr=""/>
                                    <pic:cNvPicPr>
                                      <a:picLocks noChangeAspect="1" noChangeArrowheads="1"/>
                                    </pic:cNvPicPr>
                                  </pic:nvPicPr>
                                  <pic:blipFill>
                                    <a:blip r:embed="rId286"/>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6"/>
                        </w:rPr>
                        <w:t xml:space="preserve">Represents Sustainability Results </w:t>
                      </w:r>
                    </w:p>
                    <w:p>
                      <w:pPr>
                        <w:pStyle w:val="TextBody"/>
                        <w:bidi w:val="0"/>
                        <w:spacing w:before="240" w:after="0"/>
                        <w:jc w:val="left"/>
                        <w:rPr>
                          <w:rFonts w:ascii="arial" w:hAnsi="arial"/>
                          <w:sz w:val="16"/>
                        </w:rPr>
                      </w:pPr>
                      <w:r>
                        <w:rPr>
                          <w:rFonts w:ascii="arial" w:hAnsi="arial"/>
                          <w:b/>
                          <w:color w:val="0071CE"/>
                          <w:sz w:val="16"/>
                        </w:rPr>
                        <w:t>Long-Term Incentive</w:t>
                      </w:r>
                      <w:r>
                        <w:rPr>
                          <w:rFonts w:ascii="arial" w:hAnsi="arial"/>
                          <w:color w:val="3E3935"/>
                          <w:sz w:val="16"/>
                        </w:rPr>
                        <w:t xml:space="preserve"> – In February 2023, awarded an annual LTIP grant of $13.96 million, consisting of 75 percent PSUs and 25 percent stock options. </w:t>
                      </w:r>
                    </w:p>
                    <w:p>
                      <w:pPr>
                        <w:pStyle w:val="TextBody"/>
                        <w:bidi w:val="0"/>
                        <w:spacing w:before="120" w:after="0"/>
                        <w:jc w:val="left"/>
                        <w:rPr>
                          <w:rFonts w:ascii="arial" w:hAnsi="arial"/>
                          <w:color w:val="3E3935"/>
                          <w:sz w:val="16"/>
                        </w:rPr>
                      </w:pPr>
                      <w:r>
                        <w:rPr>
                          <w:rFonts w:ascii="arial" w:hAnsi="arial"/>
                          <w:color w:val="3E3935"/>
                          <w:sz w:val="16"/>
                        </w:rPr>
                        <w:t xml:space="preserve">Total awarded compensation for 2023, including salary, STIP, and LTIP, is displayed below. </w:t>
                      </w:r>
                    </w:p>
                    <w:p>
                      <w:pPr>
                        <w:pStyle w:val="TextBody"/>
                        <w:bidi w:val="0"/>
                        <w:spacing w:before="0" w:after="0"/>
                        <w:jc w:val="left"/>
                        <w:rPr/>
                      </w:pPr>
                      <w:r>
                        <w:rPr/>
                        <w:t> </w:t>
                      </w:r>
                    </w:p>
                    <w:tbl>
                      <w:tblPr>
                        <w:tblW w:w="6255" w:type="dxa"/>
                        <w:jc w:val="left"/>
                        <w:tblInd w:w="0" w:type="dxa"/>
                        <w:tblLayout w:type="fixed"/>
                        <w:tblCellMar>
                          <w:top w:w="0" w:type="dxa"/>
                          <w:left w:w="0" w:type="dxa"/>
                          <w:bottom w:w="0" w:type="dxa"/>
                          <w:right w:w="0" w:type="dxa"/>
                        </w:tblCellMar>
                      </w:tblPr>
                      <w:tblGrid>
                        <w:gridCol w:w="1070"/>
                        <w:gridCol w:w="120"/>
                        <w:gridCol w:w="2930"/>
                        <w:gridCol w:w="120"/>
                        <w:gridCol w:w="191"/>
                        <w:gridCol w:w="1449"/>
                        <w:gridCol w:w="60"/>
                        <w:gridCol w:w="120"/>
                        <w:gridCol w:w="60"/>
                        <w:gridCol w:w="60"/>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6"/>
                              </w:rPr>
                            </w:pPr>
                            <w:r>
                              <w:rPr>
                                <w:rFonts w:ascii="arial" w:hAnsi="arial"/>
                                <w:b/>
                                <w:color w:val="3E3935"/>
                                <w:sz w:val="16"/>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Awarded Value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Base Salary</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Only Fixed Pay Element</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1,350,000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STIP</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2,109,400</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 and Stock Price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10,471,875</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Stock Options</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3,490,634</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1" w:type="dxa"/>
                            <w:tcBorders>
                              <w:bottom w:val="single" w:sz="6" w:space="0" w:color="0071CE"/>
                            </w:tcBorders>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w:t>
                            </w:r>
                          </w:p>
                        </w:tc>
                        <w:tc>
                          <w:tcPr>
                            <w:tcW w:w="1449" w:type="dxa"/>
                            <w:tcBorders>
                              <w:bottom w:val="single" w:sz="6" w:space="0" w:color="0071CE"/>
                            </w:tcBorders>
                            <w:tcMar>
                              <w:bottom w:w="60" w:type="dxa"/>
                            </w:tcMar>
                            <w:vAlign w:val="center"/>
                          </w:tcPr>
                          <w:p>
                            <w:pPr>
                              <w:pStyle w:val="TableContents"/>
                              <w:bidi w:val="0"/>
                              <w:spacing w:lineRule="atLeast" w:line="300" w:before="0" w:after="0"/>
                              <w:jc w:val="right"/>
                              <w:rPr>
                                <w:rFonts w:ascii="arial" w:hAnsi="arial"/>
                                <w:b/>
                                <w:color w:val="0071CE"/>
                                <w:sz w:val="16"/>
                              </w:rPr>
                            </w:pPr>
                            <w:r>
                              <w:rPr>
                                <w:rFonts w:ascii="arial" w:hAnsi="arial"/>
                                <w:b/>
                                <w:color w:val="0071CE"/>
                                <w:sz w:val="16"/>
                              </w:rPr>
                              <w:t>17,421,909</w:t>
                            </w:r>
                          </w:p>
                        </w:tc>
                        <w:tc>
                          <w:tcPr>
                            <w:tcW w:w="60" w:type="dxa"/>
                            <w:tcBorders>
                              <w:bottom w:val="single" w:sz="6" w:space="0" w:color="0071CE"/>
                            </w:tcBorders>
                            <w:tcMar>
                              <w:bottom w:w="6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2073275" cy="2176145"/>
                <wp:effectExtent l="0" t="0" r="0" b="0"/>
                <wp:wrapSquare wrapText="right"/>
                <wp:docPr id="299" name="Frame14"/>
                <a:graphic xmlns:a="http://schemas.openxmlformats.org/drawingml/2006/main">
                  <a:graphicData uri="http://schemas.microsoft.com/office/word/2010/wordprocessingShape">
                    <wps:wsp>
                      <wps:cNvSpPr txBox="1"/>
                      <wps:spPr>
                        <a:xfrm>
                          <a:off x="0" y="0"/>
                          <a:ext cx="2073275" cy="217614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3675" cy="261620"/>
                                  <wp:effectExtent l="0" t="0" r="0" b="0"/>
                                  <wp:docPr id="30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52" descr=""/>
                                          <pic:cNvPicPr>
                                            <a:picLocks noChangeAspect="1" noChangeArrowheads="1"/>
                                          </pic:cNvPicPr>
                                        </pic:nvPicPr>
                                        <pic:blipFill>
                                          <a:blip r:embed="rId287"/>
                                          <a:stretch>
                                            <a:fillRect/>
                                          </a:stretch>
                                        </pic:blipFill>
                                        <pic:spPr bwMode="auto">
                                          <a:xfrm>
                                            <a:off x="0" y="0"/>
                                            <a:ext cx="193675" cy="2616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3990" cy="337820"/>
                                  <wp:effectExtent l="0" t="0" r="0" b="0"/>
                                  <wp:docPr id="30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53" descr=""/>
                                          <pic:cNvPicPr>
                                            <a:picLocks noChangeAspect="1" noChangeArrowheads="1"/>
                                          </pic:cNvPicPr>
                                        </pic:nvPicPr>
                                        <pic:blipFill>
                                          <a:blip r:embed="rId288"/>
                                          <a:stretch>
                                            <a:fillRect/>
                                          </a:stretch>
                                        </pic:blipFill>
                                        <pic:spPr bwMode="auto">
                                          <a:xfrm>
                                            <a:off x="0" y="0"/>
                                            <a:ext cx="173990" cy="337820"/>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171.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3675" cy="261620"/>
                            <wp:effectExtent l="0" t="0" r="0" b="0"/>
                            <wp:docPr id="30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52" descr=""/>
                                    <pic:cNvPicPr>
                                      <a:picLocks noChangeAspect="1" noChangeArrowheads="1"/>
                                    </pic:cNvPicPr>
                                  </pic:nvPicPr>
                                  <pic:blipFill>
                                    <a:blip r:embed="rId289"/>
                                    <a:stretch>
                                      <a:fillRect/>
                                    </a:stretch>
                                  </pic:blipFill>
                                  <pic:spPr bwMode="auto">
                                    <a:xfrm>
                                      <a:off x="0" y="0"/>
                                      <a:ext cx="193675" cy="2616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3990" cy="337820"/>
                            <wp:effectExtent l="0" t="0" r="0" b="0"/>
                            <wp:docPr id="30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53" descr=""/>
                                    <pic:cNvPicPr>
                                      <a:picLocks noChangeAspect="1" noChangeArrowheads="1"/>
                                    </pic:cNvPicPr>
                                  </pic:nvPicPr>
                                  <pic:blipFill>
                                    <a:blip r:embed="rId290"/>
                                    <a:stretch>
                                      <a:fillRect/>
                                    </a:stretch>
                                  </pic:blipFill>
                                  <pic:spPr bwMode="auto">
                                    <a:xfrm>
                                      <a:off x="0" y="0"/>
                                      <a:ext cx="173990" cy="337820"/>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v:textbox>
                <w10:wrap type="square" side="right"/>
              </v:rect>
            </w:pict>
          </mc:Fallback>
        </mc:AlternateContent>
      </w:r>
    </w:p>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59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073275" cy="2173605"/>
                <wp:effectExtent l="0" t="0" r="0" b="0"/>
                <wp:wrapSquare wrapText="right"/>
                <wp:docPr id="304" name="Frame16"/>
                <a:graphic xmlns:a="http://schemas.openxmlformats.org/drawingml/2006/main">
                  <a:graphicData uri="http://schemas.microsoft.com/office/word/2010/wordprocessingShape">
                    <wps:wsp>
                      <wps:cNvSpPr txBox="1"/>
                      <wps:spPr>
                        <a:xfrm>
                          <a:off x="0" y="0"/>
                          <a:ext cx="2073275" cy="217360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3675" cy="261620"/>
                                  <wp:effectExtent l="0" t="0" r="0" b="0"/>
                                  <wp:docPr id="305"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59" descr=""/>
                                          <pic:cNvPicPr>
                                            <a:picLocks noChangeAspect="1" noChangeArrowheads="1"/>
                                          </pic:cNvPicPr>
                                        </pic:nvPicPr>
                                        <pic:blipFill>
                                          <a:blip r:embed="rId291"/>
                                          <a:stretch>
                                            <a:fillRect/>
                                          </a:stretch>
                                        </pic:blipFill>
                                        <pic:spPr bwMode="auto">
                                          <a:xfrm>
                                            <a:off x="0" y="0"/>
                                            <a:ext cx="193675" cy="2616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3990" cy="335280"/>
                                  <wp:effectExtent l="0" t="0" r="0" b="0"/>
                                  <wp:docPr id="306"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60" descr=""/>
                                          <pic:cNvPicPr>
                                            <a:picLocks noChangeAspect="1" noChangeArrowheads="1"/>
                                          </pic:cNvPicPr>
                                        </pic:nvPicPr>
                                        <pic:blipFill>
                                          <a:blip r:embed="rId292"/>
                                          <a:stretch>
                                            <a:fillRect/>
                                          </a:stretch>
                                        </pic:blipFill>
                                        <pic:spPr bwMode="auto">
                                          <a:xfrm>
                                            <a:off x="0" y="0"/>
                                            <a:ext cx="173990" cy="335280"/>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17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3675" cy="261620"/>
                            <wp:effectExtent l="0" t="0" r="0" b="0"/>
                            <wp:docPr id="307"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59" descr=""/>
                                    <pic:cNvPicPr>
                                      <a:picLocks noChangeAspect="1" noChangeArrowheads="1"/>
                                    </pic:cNvPicPr>
                                  </pic:nvPicPr>
                                  <pic:blipFill>
                                    <a:blip r:embed="rId293"/>
                                    <a:stretch>
                                      <a:fillRect/>
                                    </a:stretch>
                                  </pic:blipFill>
                                  <pic:spPr bwMode="auto">
                                    <a:xfrm>
                                      <a:off x="0" y="0"/>
                                      <a:ext cx="193675" cy="2616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3990" cy="335280"/>
                            <wp:effectExtent l="0" t="0" r="0" b="0"/>
                            <wp:docPr id="308"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60" descr=""/>
                                    <pic:cNvPicPr>
                                      <a:picLocks noChangeAspect="1" noChangeArrowheads="1"/>
                                    </pic:cNvPicPr>
                                  </pic:nvPicPr>
                                  <pic:blipFill>
                                    <a:blip r:embed="rId294"/>
                                    <a:stretch>
                                      <a:fillRect/>
                                    </a:stretch>
                                  </pic:blipFill>
                                  <pic:spPr bwMode="auto">
                                    <a:xfrm>
                                      <a:off x="0" y="0"/>
                                      <a:ext cx="173990" cy="335280"/>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v:textbox>
                <w10:wrap type="square" side="right"/>
              </v:rect>
            </w:pict>
          </mc:Fallback>
        </mc:AlternateConten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211955" cy="9972040"/>
                <wp:effectExtent l="0" t="0" r="0" b="0"/>
                <wp:wrapSquare wrapText="right"/>
                <wp:docPr id="309" name="Frame15"/>
                <a:graphic xmlns:a="http://schemas.openxmlformats.org/drawingml/2006/main">
                  <a:graphicData uri="http://schemas.microsoft.com/office/word/2010/wordprocessingShape">
                    <wps:wsp>
                      <wps:cNvSpPr txBox="1"/>
                      <wps:spPr>
                        <a:xfrm>
                          <a:off x="0" y="0"/>
                          <a:ext cx="4211955" cy="9972040"/>
                        </a:xfrm>
                        <a:prstGeom prst="rect"/>
                        <a:solidFill>
                          <a:srgbClr val="FFFFFF"/>
                        </a:solidFill>
                      </wps:spPr>
                      <wps:txbx>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Michael Abbott </w:t>
                            </w:r>
                          </w:p>
                          <w:p>
                            <w:pPr>
                              <w:pStyle w:val="TextBody"/>
                              <w:bidi w:val="0"/>
                              <w:spacing w:before="120" w:after="0"/>
                              <w:jc w:val="left"/>
                              <w:rPr>
                                <w:rFonts w:ascii="arial" w:hAnsi="arial"/>
                                <w:b/>
                                <w:color w:val="3E3935"/>
                                <w:sz w:val="22"/>
                              </w:rPr>
                            </w:pPr>
                            <w:r>
                              <w:rPr>
                                <w:rFonts w:ascii="arial" w:hAnsi="arial"/>
                                <w:b/>
                                <w:color w:val="3E3935"/>
                                <w:sz w:val="22"/>
                              </w:rPr>
                              <w:t xml:space="preserve">Executive Vice President, Software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6"/>
                              </w:rPr>
                            </w:pPr>
                            <w:r>
                              <w:rPr>
                                <w:rFonts w:ascii="arial" w:hAnsi="arial"/>
                                <w:color w:val="3E3935"/>
                                <w:sz w:val="16"/>
                              </w:rPr>
                              <w:t xml:space="preserve">The Compensation Committee made the following pay decisions based on performance, competitive market data, and feedback from its independent compensation consultant and management. As announced on March 12, 2024, Mr. Abbott resigned from his role at the Company due to health reasons. His resignation was effective April 2, 2024, and as a result, certain elements of his 2023 awarded compensation, including the second installment of the new hire cash payment ($0.85M) and the entirety of the new hire equity award ($17.0M), as described below have been subsequently forfeited. </w:t>
                            </w:r>
                          </w:p>
                          <w:p>
                            <w:pPr>
                              <w:pStyle w:val="TextBody"/>
                              <w:bidi w:val="0"/>
                              <w:spacing w:before="120" w:after="0"/>
                              <w:jc w:val="left"/>
                              <w:rPr>
                                <w:rFonts w:ascii="arial" w:hAnsi="arial"/>
                                <w:sz w:val="16"/>
                              </w:rPr>
                            </w:pPr>
                            <w:r>
                              <w:rPr>
                                <w:rFonts w:ascii="arial" w:hAnsi="arial"/>
                                <w:b/>
                                <w:color w:val="0071CE"/>
                                <w:sz w:val="16"/>
                              </w:rPr>
                              <w:t>Base Salary</w:t>
                            </w:r>
                            <w:r>
                              <w:rPr>
                                <w:rFonts w:ascii="arial" w:hAnsi="arial"/>
                                <w:color w:val="3E3935"/>
                                <w:sz w:val="16"/>
                              </w:rPr>
                              <w:t xml:space="preserve"> – Effective May 22, 2023, upon Mr. Abbott’s hiring, set base salary at $800,000. </w:t>
                            </w:r>
                          </w:p>
                          <w:p>
                            <w:pPr>
                              <w:pStyle w:val="TextBody"/>
                              <w:bidi w:val="0"/>
                              <w:spacing w:before="120" w:after="0"/>
                              <w:jc w:val="left"/>
                              <w:rPr>
                                <w:rFonts w:ascii="arial" w:hAnsi="arial"/>
                                <w:sz w:val="16"/>
                              </w:rPr>
                            </w:pPr>
                            <w:r>
                              <w:rPr>
                                <w:rFonts w:ascii="arial" w:hAnsi="arial"/>
                                <w:b/>
                                <w:color w:val="0071CE"/>
                                <w:sz w:val="16"/>
                              </w:rPr>
                              <w:t>New Hire Cash Payment</w:t>
                            </w:r>
                            <w:r>
                              <w:rPr>
                                <w:rFonts w:ascii="arial" w:hAnsi="arial"/>
                                <w:color w:val="3E3935"/>
                                <w:sz w:val="16"/>
                              </w:rPr>
                              <w:t xml:space="preserve"> – Upon Mr. Abbott’s hiring, awarded a new hire cash payment of $2.35 million, of which $1.5 million was paid at hire, with the balance to be paid on the first anniversary of his start date. Upon Mr. Abbott’s resignation described above, the second installment of the new hire cash payment will not be paid. </w:t>
                            </w:r>
                          </w:p>
                          <w:p>
                            <w:pPr>
                              <w:pStyle w:val="TextBody"/>
                              <w:bidi w:val="0"/>
                              <w:spacing w:before="120" w:after="0"/>
                              <w:jc w:val="left"/>
                              <w:rPr>
                                <w:rFonts w:ascii="arial" w:hAnsi="arial"/>
                                <w:sz w:val="16"/>
                              </w:rPr>
                            </w:pPr>
                            <w:r>
                              <w:rPr>
                                <w:rFonts w:ascii="arial" w:hAnsi="arial"/>
                                <w:b/>
                                <w:color w:val="0071CE"/>
                                <w:sz w:val="16"/>
                              </w:rPr>
                              <w:t>Short-Term Incentive</w:t>
                            </w:r>
                            <w:r>
                              <w:rPr>
                                <w:rFonts w:ascii="arial" w:hAnsi="arial"/>
                                <w:color w:val="3E3935"/>
                                <w:sz w:val="16"/>
                              </w:rPr>
                              <w:t xml:space="preserve"> – Awarded 35 points out of a 25-point target and 50-point maximum for the strategic goals portion for the 2023 STIP performance year. In determining the number of points earned, the Compensation Committee considered these results for Mr. Abbott: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Joined GM from Apple to lead a new integrated end-to-end software organization focused on the development of vehicle and enterprise software, and delivery of digital services and features to retail and commercial customers;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Led software and services team to improve standardization of the software development and release process while increasing focus on test automation at the vehicle level,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rFonts w:ascii="arial" w:hAnsi="arial"/>
                                      <w:b/>
                                      <w:color w:val="3E3935"/>
                                      <w:sz w:val="16"/>
                                    </w:rPr>
                                  </w:pPr>
                                  <w:r>
                                    <w:rPr>
                                      <w:rFonts w:ascii="arial" w:hAnsi="arial"/>
                                      <w:b/>
                                      <w:color w:val="3E3935"/>
                                      <w:sz w:val="16"/>
                                    </w:rPr>
                                    <w:t>Our People</w:t>
                                  </w:r>
                                </w:p>
                                <w:p>
                                  <w:pPr>
                                    <w:pStyle w:val="TableContents"/>
                                    <w:bidi w:val="0"/>
                                    <w:spacing w:before="0" w:after="20"/>
                                    <w:jc w:val="left"/>
                                    <w:rPr>
                                      <w:color w:val="3E3935"/>
                                    </w:rPr>
                                  </w:pPr>
                                  <w:r>
                                    <w:rPr>
                                      <w:color w:val="0071CE"/>
                                    </w:rPr>
                                    <w:t>•</w:t>
                                  </w:r>
                                  <w:r>
                                    <w:rPr>
                                      <w:color w:val="3E3935"/>
                                    </w:rPr>
                                    <w:t>  </w:t>
                                  </w:r>
                                  <w:r>
                                    <w:rPr>
                                      <w:rFonts w:ascii="arial" w:hAnsi="arial"/>
                                      <w:color w:val="3E3935"/>
                                      <w:sz w:val="16"/>
                                    </w:rPr>
                                    <w:t xml:space="preserve">Continued employee engagement in GM’s safety-first culture resulting in zero fatalities and reductions in injuries  </w:t>
                                  </w:r>
                                  <w:r>
                                    <w:rPr>
                                      <w:rFonts w:ascii="arial" w:hAnsi="arial"/>
                                      <w:color w:val="3E3935"/>
                                      <w:sz w:val="16"/>
                                    </w:rPr>
                                    <w:drawing>
                                      <wp:inline distT="0" distB="0" distL="0" distR="0">
                                        <wp:extent cx="85725" cy="85725"/>
                                        <wp:effectExtent l="0" t="0" r="0" b="0"/>
                                        <wp:docPr id="310"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54" descr=""/>
                                                <pic:cNvPicPr>
                                                  <a:picLocks noChangeAspect="1" noChangeArrowheads="1"/>
                                                </pic:cNvPicPr>
                                              </pic:nvPicPr>
                                              <pic:blipFill>
                                                <a:blip r:embed="rId295"/>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Advanced efforts to attract and retain diverse and critical technical talent through recruitment of leaders with deep expertise in software development, product and program management, product design and services  </w:t>
                                  </w:r>
                                  <w:r>
                                    <w:rPr>
                                      <w:rFonts w:ascii="arial" w:hAnsi="arial"/>
                                      <w:color w:val="3E3935"/>
                                      <w:sz w:val="16"/>
                                    </w:rPr>
                                    <w:drawing>
                                      <wp:inline distT="0" distB="0" distL="0" distR="0">
                                        <wp:extent cx="85725" cy="85725"/>
                                        <wp:effectExtent l="0" t="0" r="0" b="0"/>
                                        <wp:docPr id="31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55" descr=""/>
                                                <pic:cNvPicPr>
                                                  <a:picLocks noChangeAspect="1" noChangeArrowheads="1"/>
                                                </pic:cNvPicPr>
                                              </pic:nvPicPr>
                                              <pic:blipFill>
                                                <a:blip r:embed="rId296"/>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Established a software quality division within the software and services team to analyze and improve software development and test processes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expansion of Super Cruise, the industry’s first hands-free driver assistance technology, which is now available on 15 GM nameplates globally  </w:t>
                                  </w:r>
                                  <w:r>
                                    <w:rPr>
                                      <w:rFonts w:ascii="arial" w:hAnsi="arial"/>
                                      <w:color w:val="3E3935"/>
                                      <w:sz w:val="16"/>
                                    </w:rPr>
                                    <w:drawing>
                                      <wp:inline distT="0" distB="0" distL="0" distR="0">
                                        <wp:extent cx="85725" cy="85725"/>
                                        <wp:effectExtent l="0" t="0" r="0" b="0"/>
                                        <wp:docPr id="312"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56" descr=""/>
                                                <pic:cNvPicPr>
                                                  <a:picLocks noChangeAspect="1" noChangeArrowheads="1"/>
                                                </pic:cNvPicPr>
                                              </pic:nvPicPr>
                                              <pic:blipFill>
                                                <a:blip r:embed="rId297"/>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Joined the Connected Vehicle Systems Alliance to share uServices with the developer community to enable a shared software solution that ensures secure access of vehicle systems from anywhere in an OEM’s vehicle ecosystem</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implementation of OnStar’s collaboration with RapidDeploy technology to help improve response to customers’ emergency needs, providing call center advisors improved location accuracy and mapping options  </w:t>
                                  </w:r>
                                  <w:r>
                                    <w:rPr>
                                      <w:rFonts w:ascii="arial" w:hAnsi="arial"/>
                                      <w:color w:val="3E3935"/>
                                      <w:sz w:val="16"/>
                                    </w:rPr>
                                    <w:drawing>
                                      <wp:inline distT="0" distB="0" distL="0" distR="0">
                                        <wp:extent cx="85725" cy="85725"/>
                                        <wp:effectExtent l="0" t="0" r="0" b="0"/>
                                        <wp:docPr id="313"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57" descr=""/>
                                                <pic:cNvPicPr>
                                                  <a:picLocks noChangeAspect="1" noChangeArrowheads="1"/>
                                                </pic:cNvPicPr>
                                              </pic:nvPicPr>
                                              <pic:blipFill>
                                                <a:blip r:embed="rId298"/>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Launched “Hands Free, Eyes On,” an ongoing consumer education effort to increase understanding of and confidence in advanced driver assistance systems and hands-free technologies like GM’s Super Cruise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Combined three distinct software functions – Software Defined Vehicle and Operating System; Information and Digital Technology; Digital Business – to execute a centrally defined software strategy across GM’s ICE and EV portfolio</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Continued collaboration with technology industry innovators like Microsoft and Google to advance the Company’s focus on scaling EVs and software development</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Leveraged AI-driven predictive analytics in manufacturing to optimize GM’s vehicle output through historical performance and real-time data analytics of the Company’s robotics and conveyor system</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Implemented AI analysis of EV trends to identify optimal charging station locations for GM’s infrastructure collaboration with Pilot Flying J, helping enable long-distance electric vehicle travel across the U.S.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Collaborated with Google Cloud on AI initiatives to improve the customer experience by integrating its conversational AI technology into GM’s OnStar Interactive Virtual Assistant</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color w:val="3E3935"/>
                              </w:rPr>
                            </w:pPr>
                            <w:r>
                              <w:rPr>
                                <w:color w:val="3E3935"/>
                              </w:rPr>
                              <w:drawing>
                                <wp:inline distT="0" distB="0" distL="0" distR="0">
                                  <wp:extent cx="85725" cy="85725"/>
                                  <wp:effectExtent l="0" t="0" r="0" b="0"/>
                                  <wp:docPr id="314"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58" descr=""/>
                                          <pic:cNvPicPr>
                                            <a:picLocks noChangeAspect="1" noChangeArrowheads="1"/>
                                          </pic:cNvPicPr>
                                        </pic:nvPicPr>
                                        <pic:blipFill>
                                          <a:blip r:embed="rId299"/>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6"/>
                              </w:rPr>
                              <w:t xml:space="preserve">Represents Sustainability Results </w:t>
                            </w:r>
                          </w:p>
                          <w:p>
                            <w:pPr>
                              <w:pStyle w:val="TextBody"/>
                              <w:bidi w:val="0"/>
                              <w:spacing w:before="120" w:after="0"/>
                              <w:jc w:val="left"/>
                              <w:rPr>
                                <w:rFonts w:ascii="arial" w:hAnsi="arial"/>
                                <w:sz w:val="16"/>
                              </w:rPr>
                            </w:pPr>
                            <w:r>
                              <w:rPr>
                                <w:rFonts w:ascii="arial" w:hAnsi="arial"/>
                                <w:b/>
                                <w:color w:val="0071CE"/>
                                <w:sz w:val="16"/>
                              </w:rPr>
                              <w:t>New Hire Equity Award</w:t>
                            </w:r>
                            <w:r>
                              <w:rPr>
                                <w:rFonts w:ascii="arial" w:hAnsi="arial"/>
                                <w:color w:val="3E3935"/>
                                <w:sz w:val="16"/>
                              </w:rPr>
                              <w:t xml:space="preserve"> – In July 2023, awarded a new hire RSU grant of $17.0 million, vesting ratably on each anniversary of the grant date in 2024 and 2025. This award is reflective of the Company’s aim to attract and retain top talent that is critical to achieve the Company’s long-term strategy, and the competitive market against which we are competing for top technology talent. This award was intended to align Mr. Abbott’s compensation in the year of hire with his target compensation levels approved by the Compensation Committee. Upon Mr. Abbott’s resignation described above, the entirety of the new hire equity award was subsequently forfeited. </w:t>
                            </w:r>
                          </w:p>
                          <w:p>
                            <w:pPr>
                              <w:pStyle w:val="TextBody"/>
                              <w:bidi w:val="0"/>
                              <w:spacing w:before="240" w:after="0"/>
                              <w:jc w:val="left"/>
                              <w:rPr>
                                <w:rFonts w:ascii="arial" w:hAnsi="arial"/>
                                <w:color w:val="3E3935"/>
                                <w:sz w:val="16"/>
                              </w:rPr>
                            </w:pPr>
                            <w:r>
                              <w:rPr>
                                <w:rFonts w:ascii="arial" w:hAnsi="arial"/>
                                <w:color w:val="3E3935"/>
                                <w:sz w:val="16"/>
                              </w:rPr>
                              <w:t xml:space="preserve">Total awarded compensation for 2023, including salary, one-time cash payment, STIP, and LTIP, is displayed below.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1325"/>
                              <w:gridCol w:w="120"/>
                              <w:gridCol w:w="2720"/>
                              <w:gridCol w:w="120"/>
                              <w:gridCol w:w="191"/>
                              <w:gridCol w:w="1449"/>
                              <w:gridCol w:w="60"/>
                              <w:gridCol w:w="120"/>
                              <w:gridCol w:w="60"/>
                              <w:gridCol w:w="60"/>
                              <w:gridCol w:w="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1CE"/>
                                  </w:tcBorders>
                                  <w:tcMar>
                                    <w:bottom w:w="40" w:type="dxa"/>
                                  </w:tcMar>
                                  <w:vAlign w:val="center"/>
                                </w:tcPr>
                                <w:p>
                                  <w:pPr>
                                    <w:pStyle w:val="TableContents"/>
                                    <w:bidi w:val="0"/>
                                    <w:spacing w:before="0" w:after="0"/>
                                    <w:jc w:val="left"/>
                                    <w:rPr>
                                      <w:rFonts w:ascii="arial" w:hAnsi="arial"/>
                                      <w:b/>
                                      <w:color w:val="3E3935"/>
                                      <w:sz w:val="16"/>
                                    </w:rPr>
                                  </w:pPr>
                                  <w:r>
                                    <w:rPr>
                                      <w:rFonts w:ascii="arial" w:hAnsi="arial"/>
                                      <w:b/>
                                      <w:color w:val="3E3935"/>
                                      <w:sz w:val="16"/>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720" w:type="dxa"/>
                                  <w:tcBorders>
                                    <w:bottom w:val="single" w:sz="6" w:space="0" w:color="0071CE"/>
                                  </w:tcBorders>
                                  <w:tcMar>
                                    <w:bottom w:w="4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Awarded Value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Base Salary</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Fixed Pay Element</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488,889</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shd w:fill="CCF2F8" w:val="clear"/>
                                  <w:vAlign w:val="center"/>
                                </w:tcPr>
                                <w:p>
                                  <w:pPr>
                                    <w:pStyle w:val="TableContents"/>
                                    <w:bidi w:val="0"/>
                                    <w:spacing w:lineRule="atLeast" w:line="240" w:before="0" w:after="0"/>
                                    <w:jc w:val="left"/>
                                    <w:rPr>
                                      <w:rFonts w:ascii="arial" w:hAnsi="arial"/>
                                      <w:color w:val="3E3935"/>
                                      <w:sz w:val="16"/>
                                    </w:rPr>
                                  </w:pPr>
                                  <w:r>
                                    <w:rPr>
                                      <w:rFonts w:ascii="arial" w:hAnsi="arial"/>
                                      <w:color w:val="3E3935"/>
                                      <w:sz w:val="16"/>
                                    </w:rPr>
                                    <w:t>Cash Payment(1)</w:t>
                                  </w:r>
                                </w:p>
                              </w:tc>
                              <w:tc>
                                <w:tcPr>
                                  <w:tcW w:w="120" w:type="dxa"/>
                                  <w:tcBorders/>
                                  <w:shd w:fill="CCF2F8" w:val="clear"/>
                                  <w:vAlign w:val="center"/>
                                </w:tcPr>
                                <w:p>
                                  <w:pPr>
                                    <w:pStyle w:val="TableContents"/>
                                    <w:bidi w:val="0"/>
                                    <w:spacing w:before="0" w:after="283"/>
                                    <w:jc w:val="left"/>
                                    <w:rPr/>
                                  </w:pPr>
                                  <w:r>
                                    <w:rPr/>
                                    <w:t>  </w:t>
                                  </w:r>
                                </w:p>
                              </w:tc>
                              <w:tc>
                                <w:tcPr>
                                  <w:tcW w:w="272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Fixed Pay Element</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1,500,000</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STIP</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1,350,000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shd w:fill="CCF2F8" w:val="clear"/>
                                  <w:vAlign w:val="center"/>
                                </w:tcPr>
                                <w:p>
                                  <w:pPr>
                                    <w:pStyle w:val="TableContents"/>
                                    <w:bidi w:val="0"/>
                                    <w:spacing w:lineRule="atLeast" w:line="240" w:before="0" w:after="0"/>
                                    <w:jc w:val="left"/>
                                    <w:rPr>
                                      <w:rFonts w:ascii="arial" w:hAnsi="arial"/>
                                      <w:color w:val="3E3935"/>
                                      <w:sz w:val="16"/>
                                    </w:rPr>
                                  </w:pPr>
                                  <w:r>
                                    <w:rPr>
                                      <w:rFonts w:ascii="arial" w:hAnsi="arial"/>
                                      <w:color w:val="3E3935"/>
                                      <w:sz w:val="16"/>
                                    </w:rPr>
                                    <w:t>RSUs(2)</w:t>
                                  </w:r>
                                </w:p>
                              </w:tc>
                              <w:tc>
                                <w:tcPr>
                                  <w:tcW w:w="120" w:type="dxa"/>
                                  <w:tcBorders/>
                                  <w:shd w:fill="CCF2F8" w:val="clear"/>
                                  <w:vAlign w:val="center"/>
                                </w:tcPr>
                                <w:p>
                                  <w:pPr>
                                    <w:pStyle w:val="TableContents"/>
                                    <w:bidi w:val="0"/>
                                    <w:spacing w:before="0" w:after="283"/>
                                    <w:jc w:val="left"/>
                                    <w:rPr/>
                                  </w:pPr>
                                  <w:r>
                                    <w:rPr/>
                                    <w:t>  </w:t>
                                  </w:r>
                                </w:p>
                              </w:tc>
                              <w:tc>
                                <w:tcPr>
                                  <w:tcW w:w="272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17,000,001</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1CE"/>
                                  </w:tcBorders>
                                  <w:tcMar>
                                    <w:bottom w:w="4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7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1" w:type="dxa"/>
                                  <w:tcBorders>
                                    <w:bottom w:val="single" w:sz="6" w:space="0" w:color="0071CE"/>
                                  </w:tcBorders>
                                  <w:tcMar>
                                    <w:bottom w:w="4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w:t>
                                  </w:r>
                                </w:p>
                              </w:tc>
                              <w:tc>
                                <w:tcPr>
                                  <w:tcW w:w="1449" w:type="dxa"/>
                                  <w:tcBorders>
                                    <w:bottom w:val="single" w:sz="6" w:space="0" w:color="0071CE"/>
                                  </w:tcBorders>
                                  <w:tcMar>
                                    <w:bottom w:w="40" w:type="dxa"/>
                                  </w:tcMar>
                                  <w:vAlign w:val="center"/>
                                </w:tcPr>
                                <w:p>
                                  <w:pPr>
                                    <w:pStyle w:val="TableContents"/>
                                    <w:bidi w:val="0"/>
                                    <w:spacing w:lineRule="atLeast" w:line="300" w:before="0" w:after="0"/>
                                    <w:jc w:val="right"/>
                                    <w:rPr>
                                      <w:rFonts w:ascii="arial" w:hAnsi="arial"/>
                                      <w:b/>
                                      <w:color w:val="0071CE"/>
                                      <w:sz w:val="16"/>
                                    </w:rPr>
                                  </w:pPr>
                                  <w:r>
                                    <w:rPr>
                                      <w:rFonts w:ascii="arial" w:hAnsi="arial"/>
                                      <w:b/>
                                      <w:color w:val="0071CE"/>
                                      <w:sz w:val="16"/>
                                    </w:rPr>
                                    <w:t>20,338,890</w:t>
                                  </w:r>
                                </w:p>
                              </w:tc>
                              <w:tc>
                                <w:tcPr>
                                  <w:tcW w:w="60" w:type="dxa"/>
                                  <w:tcBorders>
                                    <w:bottom w:val="single" w:sz="6" w:space="0" w:color="0071CE"/>
                                  </w:tcBorders>
                                  <w:tcMar>
                                    <w:bottom w:w="4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color w:val="3E3935"/>
                                    </w:rPr>
                                  </w:pPr>
                                  <w:r>
                                    <w:rPr>
                                      <w:color w:val="3E3935"/>
                                    </w:rPr>
                                    <w:t>(1)</w:t>
                                  </w:r>
                                </w:p>
                              </w:tc>
                              <w:tc>
                                <w:tcPr>
                                  <w:tcW w:w="9901"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Reflects first installment of new hire cash payment. Upon his resignation, the second installment of the new hire cash payment will not be paid. </w:t>
                                  </w:r>
                                </w:p>
                              </w:tc>
                            </w:tr>
                          </w:tbl>
                          <w:tbl>
                            <w:tblPr>
                              <w:tblW w:w="7270" w:type="dxa"/>
                              <w:jc w:val="left"/>
                              <w:tblInd w:w="0" w:type="dxa"/>
                              <w:tblLayout w:type="fixed"/>
                              <w:tblCellMar>
                                <w:top w:w="0" w:type="dxa"/>
                                <w:left w:w="0" w:type="dxa"/>
                                <w:bottom w:w="0" w:type="dxa"/>
                                <w:right w:w="0" w:type="dxa"/>
                              </w:tblCellMar>
                            </w:tblPr>
                            <w:tblGrid>
                              <w:gridCol w:w="305"/>
                              <w:gridCol w:w="6965"/>
                            </w:tblGrid>
                            <w:tr>
                              <w:trPr/>
                              <w:tc>
                                <w:tcPr>
                                  <w:tcW w:w="305" w:type="dxa"/>
                                  <w:tcBorders/>
                                  <w:vAlign w:val="center"/>
                                </w:tcPr>
                                <w:p>
                                  <w:pPr>
                                    <w:pStyle w:val="TableContents"/>
                                    <w:bidi w:val="0"/>
                                    <w:spacing w:before="0" w:after="283"/>
                                    <w:jc w:val="left"/>
                                    <w:rPr>
                                      <w:color w:val="3E3935"/>
                                    </w:rPr>
                                  </w:pPr>
                                  <w:r>
                                    <w:rPr>
                                      <w:color w:val="3E3935"/>
                                    </w:rPr>
                                    <w:t>(2)</w:t>
                                  </w:r>
                                </w:p>
                              </w:tc>
                              <w:tc>
                                <w:tcPr>
                                  <w:tcW w:w="696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Upon Mr. Abbott’s resignation, the entirety of the new hire equity award was subsequently forfeited.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Michael Abbott </w:t>
                      </w:r>
                    </w:p>
                    <w:p>
                      <w:pPr>
                        <w:pStyle w:val="TextBody"/>
                        <w:bidi w:val="0"/>
                        <w:spacing w:before="120" w:after="0"/>
                        <w:jc w:val="left"/>
                        <w:rPr>
                          <w:rFonts w:ascii="arial" w:hAnsi="arial"/>
                          <w:b/>
                          <w:color w:val="3E3935"/>
                          <w:sz w:val="22"/>
                        </w:rPr>
                      </w:pPr>
                      <w:r>
                        <w:rPr>
                          <w:rFonts w:ascii="arial" w:hAnsi="arial"/>
                          <w:b/>
                          <w:color w:val="3E3935"/>
                          <w:sz w:val="22"/>
                        </w:rPr>
                        <w:t xml:space="preserve">Executive Vice President, Software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6"/>
                        </w:rPr>
                      </w:pPr>
                      <w:r>
                        <w:rPr>
                          <w:rFonts w:ascii="arial" w:hAnsi="arial"/>
                          <w:color w:val="3E3935"/>
                          <w:sz w:val="16"/>
                        </w:rPr>
                        <w:t xml:space="preserve">The Compensation Committee made the following pay decisions based on performance, competitive market data, and feedback from its independent compensation consultant and management. As announced on March 12, 2024, Mr. Abbott resigned from his role at the Company due to health reasons. His resignation was effective April 2, 2024, and as a result, certain elements of his 2023 awarded compensation, including the second installment of the new hire cash payment ($0.85M) and the entirety of the new hire equity award ($17.0M), as described below have been subsequently forfeited. </w:t>
                      </w:r>
                    </w:p>
                    <w:p>
                      <w:pPr>
                        <w:pStyle w:val="TextBody"/>
                        <w:bidi w:val="0"/>
                        <w:spacing w:before="120" w:after="0"/>
                        <w:jc w:val="left"/>
                        <w:rPr>
                          <w:rFonts w:ascii="arial" w:hAnsi="arial"/>
                          <w:sz w:val="16"/>
                        </w:rPr>
                      </w:pPr>
                      <w:r>
                        <w:rPr>
                          <w:rFonts w:ascii="arial" w:hAnsi="arial"/>
                          <w:b/>
                          <w:color w:val="0071CE"/>
                          <w:sz w:val="16"/>
                        </w:rPr>
                        <w:t>Base Salary</w:t>
                      </w:r>
                      <w:r>
                        <w:rPr>
                          <w:rFonts w:ascii="arial" w:hAnsi="arial"/>
                          <w:color w:val="3E3935"/>
                          <w:sz w:val="16"/>
                        </w:rPr>
                        <w:t xml:space="preserve"> – Effective May 22, 2023, upon Mr. Abbott’s hiring, set base salary at $800,000. </w:t>
                      </w:r>
                    </w:p>
                    <w:p>
                      <w:pPr>
                        <w:pStyle w:val="TextBody"/>
                        <w:bidi w:val="0"/>
                        <w:spacing w:before="120" w:after="0"/>
                        <w:jc w:val="left"/>
                        <w:rPr>
                          <w:rFonts w:ascii="arial" w:hAnsi="arial"/>
                          <w:sz w:val="16"/>
                        </w:rPr>
                      </w:pPr>
                      <w:r>
                        <w:rPr>
                          <w:rFonts w:ascii="arial" w:hAnsi="arial"/>
                          <w:b/>
                          <w:color w:val="0071CE"/>
                          <w:sz w:val="16"/>
                        </w:rPr>
                        <w:t>New Hire Cash Payment</w:t>
                      </w:r>
                      <w:r>
                        <w:rPr>
                          <w:rFonts w:ascii="arial" w:hAnsi="arial"/>
                          <w:color w:val="3E3935"/>
                          <w:sz w:val="16"/>
                        </w:rPr>
                        <w:t xml:space="preserve"> – Upon Mr. Abbott’s hiring, awarded a new hire cash payment of $2.35 million, of which $1.5 million was paid at hire, with the balance to be paid on the first anniversary of his start date. Upon Mr. Abbott’s resignation described above, the second installment of the new hire cash payment will not be paid. </w:t>
                      </w:r>
                    </w:p>
                    <w:p>
                      <w:pPr>
                        <w:pStyle w:val="TextBody"/>
                        <w:bidi w:val="0"/>
                        <w:spacing w:before="120" w:after="0"/>
                        <w:jc w:val="left"/>
                        <w:rPr>
                          <w:rFonts w:ascii="arial" w:hAnsi="arial"/>
                          <w:sz w:val="16"/>
                        </w:rPr>
                      </w:pPr>
                      <w:r>
                        <w:rPr>
                          <w:rFonts w:ascii="arial" w:hAnsi="arial"/>
                          <w:b/>
                          <w:color w:val="0071CE"/>
                          <w:sz w:val="16"/>
                        </w:rPr>
                        <w:t>Short-Term Incentive</w:t>
                      </w:r>
                      <w:r>
                        <w:rPr>
                          <w:rFonts w:ascii="arial" w:hAnsi="arial"/>
                          <w:color w:val="3E3935"/>
                          <w:sz w:val="16"/>
                        </w:rPr>
                        <w:t xml:space="preserve"> – Awarded 35 points out of a 25-point target and 50-point maximum for the strategic goals portion for the 2023 STIP performance year. In determining the number of points earned, the Compensation Committee considered these results for Mr. Abbott: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Joined GM from Apple to lead a new integrated end-to-end software organization focused on the development of vehicle and enterprise software, and delivery of digital services and features to retail and commercial customers;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Led software and services team to improve standardization of the software development and release process while increasing focus on test automation at the vehicle level,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rFonts w:ascii="arial" w:hAnsi="arial"/>
                                <w:b/>
                                <w:color w:val="3E3935"/>
                                <w:sz w:val="16"/>
                              </w:rPr>
                            </w:pPr>
                            <w:r>
                              <w:rPr>
                                <w:rFonts w:ascii="arial" w:hAnsi="arial"/>
                                <w:b/>
                                <w:color w:val="3E3935"/>
                                <w:sz w:val="16"/>
                              </w:rPr>
                              <w:t>Our People</w:t>
                            </w:r>
                          </w:p>
                          <w:p>
                            <w:pPr>
                              <w:pStyle w:val="TableContents"/>
                              <w:bidi w:val="0"/>
                              <w:spacing w:before="0" w:after="20"/>
                              <w:jc w:val="left"/>
                              <w:rPr>
                                <w:color w:val="3E3935"/>
                              </w:rPr>
                            </w:pPr>
                            <w:r>
                              <w:rPr>
                                <w:color w:val="0071CE"/>
                              </w:rPr>
                              <w:t>•</w:t>
                            </w:r>
                            <w:r>
                              <w:rPr>
                                <w:color w:val="3E3935"/>
                              </w:rPr>
                              <w:t>  </w:t>
                            </w:r>
                            <w:r>
                              <w:rPr>
                                <w:rFonts w:ascii="arial" w:hAnsi="arial"/>
                                <w:color w:val="3E3935"/>
                                <w:sz w:val="16"/>
                              </w:rPr>
                              <w:t xml:space="preserve">Continued employee engagement in GM’s safety-first culture resulting in zero fatalities and reductions in injuries  </w:t>
                            </w:r>
                            <w:r>
                              <w:rPr>
                                <w:rFonts w:ascii="arial" w:hAnsi="arial"/>
                                <w:color w:val="3E3935"/>
                                <w:sz w:val="16"/>
                              </w:rPr>
                              <w:drawing>
                                <wp:inline distT="0" distB="0" distL="0" distR="0">
                                  <wp:extent cx="85725" cy="85725"/>
                                  <wp:effectExtent l="0" t="0" r="0" b="0"/>
                                  <wp:docPr id="315"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54" descr=""/>
                                          <pic:cNvPicPr>
                                            <a:picLocks noChangeAspect="1" noChangeArrowheads="1"/>
                                          </pic:cNvPicPr>
                                        </pic:nvPicPr>
                                        <pic:blipFill>
                                          <a:blip r:embed="rId300"/>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Advanced efforts to attract and retain diverse and critical technical talent through recruitment of leaders with deep expertise in software development, product and program management, product design and services  </w:t>
                            </w:r>
                            <w:r>
                              <w:rPr>
                                <w:rFonts w:ascii="arial" w:hAnsi="arial"/>
                                <w:color w:val="3E3935"/>
                                <w:sz w:val="16"/>
                              </w:rPr>
                              <w:drawing>
                                <wp:inline distT="0" distB="0" distL="0" distR="0">
                                  <wp:extent cx="85725" cy="85725"/>
                                  <wp:effectExtent l="0" t="0" r="0" b="0"/>
                                  <wp:docPr id="316"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55" descr=""/>
                                          <pic:cNvPicPr>
                                            <a:picLocks noChangeAspect="1" noChangeArrowheads="1"/>
                                          </pic:cNvPicPr>
                                        </pic:nvPicPr>
                                        <pic:blipFill>
                                          <a:blip r:embed="rId301"/>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Established a software quality division within the software and services team to analyze and improve software development and test processes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expansion of Super Cruise, the industry’s first hands-free driver assistance technology, which is now available on 15 GM nameplates globally  </w:t>
                            </w:r>
                            <w:r>
                              <w:rPr>
                                <w:rFonts w:ascii="arial" w:hAnsi="arial"/>
                                <w:color w:val="3E3935"/>
                                <w:sz w:val="16"/>
                              </w:rPr>
                              <w:drawing>
                                <wp:inline distT="0" distB="0" distL="0" distR="0">
                                  <wp:extent cx="85725" cy="85725"/>
                                  <wp:effectExtent l="0" t="0" r="0" b="0"/>
                                  <wp:docPr id="317"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56" descr=""/>
                                          <pic:cNvPicPr>
                                            <a:picLocks noChangeAspect="1" noChangeArrowheads="1"/>
                                          </pic:cNvPicPr>
                                        </pic:nvPicPr>
                                        <pic:blipFill>
                                          <a:blip r:embed="rId302"/>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Joined the Connected Vehicle Systems Alliance to share uServices with the developer community to enable a shared software solution that ensures secure access of vehicle systems from anywhere in an OEM’s vehicle ecosystem</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implementation of OnStar’s collaboration with RapidDeploy technology to help improve response to customers’ emergency needs, providing call center advisors improved location accuracy and mapping options  </w:t>
                            </w:r>
                            <w:r>
                              <w:rPr>
                                <w:rFonts w:ascii="arial" w:hAnsi="arial"/>
                                <w:color w:val="3E3935"/>
                                <w:sz w:val="16"/>
                              </w:rPr>
                              <w:drawing>
                                <wp:inline distT="0" distB="0" distL="0" distR="0">
                                  <wp:extent cx="85725" cy="85725"/>
                                  <wp:effectExtent l="0" t="0" r="0" b="0"/>
                                  <wp:docPr id="318"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57" descr=""/>
                                          <pic:cNvPicPr>
                                            <a:picLocks noChangeAspect="1" noChangeArrowheads="1"/>
                                          </pic:cNvPicPr>
                                        </pic:nvPicPr>
                                        <pic:blipFill>
                                          <a:blip r:embed="rId303"/>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Launched “Hands Free, Eyes On,” an ongoing consumer education effort to increase understanding of and confidence in advanced driver assistance systems and hands-free technologies like GM’s Super Cruise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Combined three distinct software functions – Software Defined Vehicle and Operating System; Information and Digital Technology; Digital Business – to execute a centrally defined software strategy across GM’s ICE and EV portfolio</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Continued collaboration with technology industry innovators like Microsoft and Google to advance the Company’s focus on scaling EVs and software development</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Leveraged AI-driven predictive analytics in manufacturing to optimize GM’s vehicle output through historical performance and real-time data analytics of the Company’s robotics and conveyor system</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Implemented AI analysis of EV trends to identify optimal charging station locations for GM’s infrastructure collaboration with Pilot Flying J, helping enable long-distance electric vehicle travel across the U.S.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Collaborated with Google Cloud on AI initiatives to improve the customer experience by integrating its conversational AI technology into GM’s OnStar Interactive Virtual Assistant</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color w:val="3E3935"/>
                        </w:rPr>
                      </w:pPr>
                      <w:r>
                        <w:rPr>
                          <w:color w:val="3E3935"/>
                        </w:rPr>
                        <w:drawing>
                          <wp:inline distT="0" distB="0" distL="0" distR="0">
                            <wp:extent cx="85725" cy="85725"/>
                            <wp:effectExtent l="0" t="0" r="0" b="0"/>
                            <wp:docPr id="319"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58" descr=""/>
                                    <pic:cNvPicPr>
                                      <a:picLocks noChangeAspect="1" noChangeArrowheads="1"/>
                                    </pic:cNvPicPr>
                                  </pic:nvPicPr>
                                  <pic:blipFill>
                                    <a:blip r:embed="rId304"/>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6"/>
                        </w:rPr>
                        <w:t xml:space="preserve">Represents Sustainability Results </w:t>
                      </w:r>
                    </w:p>
                    <w:p>
                      <w:pPr>
                        <w:pStyle w:val="TextBody"/>
                        <w:bidi w:val="0"/>
                        <w:spacing w:before="120" w:after="0"/>
                        <w:jc w:val="left"/>
                        <w:rPr>
                          <w:rFonts w:ascii="arial" w:hAnsi="arial"/>
                          <w:sz w:val="16"/>
                        </w:rPr>
                      </w:pPr>
                      <w:r>
                        <w:rPr>
                          <w:rFonts w:ascii="arial" w:hAnsi="arial"/>
                          <w:b/>
                          <w:color w:val="0071CE"/>
                          <w:sz w:val="16"/>
                        </w:rPr>
                        <w:t>New Hire Equity Award</w:t>
                      </w:r>
                      <w:r>
                        <w:rPr>
                          <w:rFonts w:ascii="arial" w:hAnsi="arial"/>
                          <w:color w:val="3E3935"/>
                          <w:sz w:val="16"/>
                        </w:rPr>
                        <w:t xml:space="preserve"> – In July 2023, awarded a new hire RSU grant of $17.0 million, vesting ratably on each anniversary of the grant date in 2024 and 2025. This award is reflective of the Company’s aim to attract and retain top talent that is critical to achieve the Company’s long-term strategy, and the competitive market against which we are competing for top technology talent. This award was intended to align Mr. Abbott’s compensation in the year of hire with his target compensation levels approved by the Compensation Committee. Upon Mr. Abbott’s resignation described above, the entirety of the new hire equity award was subsequently forfeited. </w:t>
                      </w:r>
                    </w:p>
                    <w:p>
                      <w:pPr>
                        <w:pStyle w:val="TextBody"/>
                        <w:bidi w:val="0"/>
                        <w:spacing w:before="240" w:after="0"/>
                        <w:jc w:val="left"/>
                        <w:rPr>
                          <w:rFonts w:ascii="arial" w:hAnsi="arial"/>
                          <w:color w:val="3E3935"/>
                          <w:sz w:val="16"/>
                        </w:rPr>
                      </w:pPr>
                      <w:r>
                        <w:rPr>
                          <w:rFonts w:ascii="arial" w:hAnsi="arial"/>
                          <w:color w:val="3E3935"/>
                          <w:sz w:val="16"/>
                        </w:rPr>
                        <w:t xml:space="preserve">Total awarded compensation for 2023, including salary, one-time cash payment, STIP, and LTIP, is displayed below.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1325"/>
                        <w:gridCol w:w="120"/>
                        <w:gridCol w:w="2720"/>
                        <w:gridCol w:w="120"/>
                        <w:gridCol w:w="191"/>
                        <w:gridCol w:w="1449"/>
                        <w:gridCol w:w="60"/>
                        <w:gridCol w:w="120"/>
                        <w:gridCol w:w="60"/>
                        <w:gridCol w:w="60"/>
                        <w:gridCol w:w="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1CE"/>
                            </w:tcBorders>
                            <w:tcMar>
                              <w:bottom w:w="40" w:type="dxa"/>
                            </w:tcMar>
                            <w:vAlign w:val="center"/>
                          </w:tcPr>
                          <w:p>
                            <w:pPr>
                              <w:pStyle w:val="TableContents"/>
                              <w:bidi w:val="0"/>
                              <w:spacing w:before="0" w:after="0"/>
                              <w:jc w:val="left"/>
                              <w:rPr>
                                <w:rFonts w:ascii="arial" w:hAnsi="arial"/>
                                <w:b/>
                                <w:color w:val="3E3935"/>
                                <w:sz w:val="16"/>
                              </w:rPr>
                            </w:pPr>
                            <w:r>
                              <w:rPr>
                                <w:rFonts w:ascii="arial" w:hAnsi="arial"/>
                                <w:b/>
                                <w:color w:val="3E3935"/>
                                <w:sz w:val="16"/>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720" w:type="dxa"/>
                            <w:tcBorders>
                              <w:bottom w:val="single" w:sz="6" w:space="0" w:color="0071CE"/>
                            </w:tcBorders>
                            <w:tcMar>
                              <w:bottom w:w="4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Awarded Value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Base Salary</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Fixed Pay Element</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488,889</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shd w:fill="CCF2F8" w:val="clear"/>
                            <w:vAlign w:val="center"/>
                          </w:tcPr>
                          <w:p>
                            <w:pPr>
                              <w:pStyle w:val="TableContents"/>
                              <w:bidi w:val="0"/>
                              <w:spacing w:lineRule="atLeast" w:line="240" w:before="0" w:after="0"/>
                              <w:jc w:val="left"/>
                              <w:rPr>
                                <w:rFonts w:ascii="arial" w:hAnsi="arial"/>
                                <w:color w:val="3E3935"/>
                                <w:sz w:val="16"/>
                              </w:rPr>
                            </w:pPr>
                            <w:r>
                              <w:rPr>
                                <w:rFonts w:ascii="arial" w:hAnsi="arial"/>
                                <w:color w:val="3E3935"/>
                                <w:sz w:val="16"/>
                              </w:rPr>
                              <w:t>Cash Payment(1)</w:t>
                            </w:r>
                          </w:p>
                        </w:tc>
                        <w:tc>
                          <w:tcPr>
                            <w:tcW w:w="120" w:type="dxa"/>
                            <w:tcBorders/>
                            <w:shd w:fill="CCF2F8" w:val="clear"/>
                            <w:vAlign w:val="center"/>
                          </w:tcPr>
                          <w:p>
                            <w:pPr>
                              <w:pStyle w:val="TableContents"/>
                              <w:bidi w:val="0"/>
                              <w:spacing w:before="0" w:after="283"/>
                              <w:jc w:val="left"/>
                              <w:rPr/>
                            </w:pPr>
                            <w:r>
                              <w:rPr/>
                              <w:t>  </w:t>
                            </w:r>
                          </w:p>
                        </w:tc>
                        <w:tc>
                          <w:tcPr>
                            <w:tcW w:w="272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Fixed Pay Element</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1,500,000</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STIP</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1,350,000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shd w:fill="CCF2F8" w:val="clear"/>
                            <w:vAlign w:val="center"/>
                          </w:tcPr>
                          <w:p>
                            <w:pPr>
                              <w:pStyle w:val="TableContents"/>
                              <w:bidi w:val="0"/>
                              <w:spacing w:lineRule="atLeast" w:line="240" w:before="0" w:after="0"/>
                              <w:jc w:val="left"/>
                              <w:rPr>
                                <w:rFonts w:ascii="arial" w:hAnsi="arial"/>
                                <w:color w:val="3E3935"/>
                                <w:sz w:val="16"/>
                              </w:rPr>
                            </w:pPr>
                            <w:r>
                              <w:rPr>
                                <w:rFonts w:ascii="arial" w:hAnsi="arial"/>
                                <w:color w:val="3E3935"/>
                                <w:sz w:val="16"/>
                              </w:rPr>
                              <w:t>RSUs(2)</w:t>
                            </w:r>
                          </w:p>
                        </w:tc>
                        <w:tc>
                          <w:tcPr>
                            <w:tcW w:w="120" w:type="dxa"/>
                            <w:tcBorders/>
                            <w:shd w:fill="CCF2F8" w:val="clear"/>
                            <w:vAlign w:val="center"/>
                          </w:tcPr>
                          <w:p>
                            <w:pPr>
                              <w:pStyle w:val="TableContents"/>
                              <w:bidi w:val="0"/>
                              <w:spacing w:before="0" w:after="283"/>
                              <w:jc w:val="left"/>
                              <w:rPr/>
                            </w:pPr>
                            <w:r>
                              <w:rPr/>
                              <w:t>  </w:t>
                            </w:r>
                          </w:p>
                        </w:tc>
                        <w:tc>
                          <w:tcPr>
                            <w:tcW w:w="272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17,000,001</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1CE"/>
                            </w:tcBorders>
                            <w:tcMar>
                              <w:bottom w:w="4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7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91" w:type="dxa"/>
                            <w:tcBorders>
                              <w:bottom w:val="single" w:sz="6" w:space="0" w:color="0071CE"/>
                            </w:tcBorders>
                            <w:tcMar>
                              <w:bottom w:w="4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w:t>
                            </w:r>
                          </w:p>
                        </w:tc>
                        <w:tc>
                          <w:tcPr>
                            <w:tcW w:w="1449" w:type="dxa"/>
                            <w:tcBorders>
                              <w:bottom w:val="single" w:sz="6" w:space="0" w:color="0071CE"/>
                            </w:tcBorders>
                            <w:tcMar>
                              <w:bottom w:w="40" w:type="dxa"/>
                            </w:tcMar>
                            <w:vAlign w:val="center"/>
                          </w:tcPr>
                          <w:p>
                            <w:pPr>
                              <w:pStyle w:val="TableContents"/>
                              <w:bidi w:val="0"/>
                              <w:spacing w:lineRule="atLeast" w:line="300" w:before="0" w:after="0"/>
                              <w:jc w:val="right"/>
                              <w:rPr>
                                <w:rFonts w:ascii="arial" w:hAnsi="arial"/>
                                <w:b/>
                                <w:color w:val="0071CE"/>
                                <w:sz w:val="16"/>
                              </w:rPr>
                            </w:pPr>
                            <w:r>
                              <w:rPr>
                                <w:rFonts w:ascii="arial" w:hAnsi="arial"/>
                                <w:b/>
                                <w:color w:val="0071CE"/>
                                <w:sz w:val="16"/>
                              </w:rPr>
                              <w:t>20,338,890</w:t>
                            </w:r>
                          </w:p>
                        </w:tc>
                        <w:tc>
                          <w:tcPr>
                            <w:tcW w:w="60" w:type="dxa"/>
                            <w:tcBorders>
                              <w:bottom w:val="single" w:sz="6" w:space="0" w:color="0071CE"/>
                            </w:tcBorders>
                            <w:tcMar>
                              <w:bottom w:w="4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color w:val="3E3935"/>
                              </w:rPr>
                            </w:pPr>
                            <w:r>
                              <w:rPr>
                                <w:color w:val="3E3935"/>
                              </w:rPr>
                              <w:t>(1)</w:t>
                            </w:r>
                          </w:p>
                        </w:tc>
                        <w:tc>
                          <w:tcPr>
                            <w:tcW w:w="9901"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Reflects first installment of new hire cash payment. Upon his resignation, the second installment of the new hire cash payment will not be paid. </w:t>
                            </w:r>
                          </w:p>
                        </w:tc>
                      </w:tr>
                    </w:tbl>
                    <w:tbl>
                      <w:tblPr>
                        <w:tblW w:w="7270" w:type="dxa"/>
                        <w:jc w:val="left"/>
                        <w:tblInd w:w="0" w:type="dxa"/>
                        <w:tblLayout w:type="fixed"/>
                        <w:tblCellMar>
                          <w:top w:w="0" w:type="dxa"/>
                          <w:left w:w="0" w:type="dxa"/>
                          <w:bottom w:w="0" w:type="dxa"/>
                          <w:right w:w="0" w:type="dxa"/>
                        </w:tblCellMar>
                      </w:tblPr>
                      <w:tblGrid>
                        <w:gridCol w:w="305"/>
                        <w:gridCol w:w="6965"/>
                      </w:tblGrid>
                      <w:tr>
                        <w:trPr/>
                        <w:tc>
                          <w:tcPr>
                            <w:tcW w:w="305" w:type="dxa"/>
                            <w:tcBorders/>
                            <w:vAlign w:val="center"/>
                          </w:tcPr>
                          <w:p>
                            <w:pPr>
                              <w:pStyle w:val="TableContents"/>
                              <w:bidi w:val="0"/>
                              <w:spacing w:before="0" w:after="283"/>
                              <w:jc w:val="left"/>
                              <w:rPr>
                                <w:color w:val="3E3935"/>
                              </w:rPr>
                            </w:pPr>
                            <w:r>
                              <w:rPr>
                                <w:color w:val="3E3935"/>
                              </w:rPr>
                              <w:t>(2)</w:t>
                            </w:r>
                          </w:p>
                        </w:tc>
                        <w:tc>
                          <w:tcPr>
                            <w:tcW w:w="696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Upon Mr. Abbott’s resignation, the entirety of the new hire equity award was subsequently forfeited.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60</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20"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61" descr=""/>
                          <pic:cNvPicPr>
                            <a:picLocks noChangeAspect="1" noChangeArrowheads="1"/>
                          </pic:cNvPicPr>
                        </pic:nvPicPr>
                        <pic:blipFill>
                          <a:blip r:embed="rId305"/>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211955" cy="9972040"/>
                <wp:effectExtent l="0" t="0" r="0" b="0"/>
                <wp:wrapSquare wrapText="right"/>
                <wp:docPr id="321" name="Frame17"/>
                <a:graphic xmlns:a="http://schemas.openxmlformats.org/drawingml/2006/main">
                  <a:graphicData uri="http://schemas.microsoft.com/office/word/2010/wordprocessingShape">
                    <wps:wsp>
                      <wps:cNvSpPr txBox="1"/>
                      <wps:spPr>
                        <a:xfrm>
                          <a:off x="0" y="0"/>
                          <a:ext cx="4211955" cy="9972040"/>
                        </a:xfrm>
                        <a:prstGeom prst="rect"/>
                        <a:solidFill>
                          <a:srgbClr val="FFFFFF"/>
                        </a:solidFill>
                      </wps:spPr>
                      <wps:txbx>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Craig B. Glidden </w:t>
                            </w:r>
                          </w:p>
                          <w:p>
                            <w:pPr>
                              <w:pStyle w:val="TextBody"/>
                              <w:bidi w:val="0"/>
                              <w:spacing w:before="120" w:after="0"/>
                              <w:jc w:val="left"/>
                              <w:rPr>
                                <w:rFonts w:ascii="arial" w:hAnsi="arial"/>
                                <w:b/>
                                <w:color w:val="3E3935"/>
                                <w:sz w:val="22"/>
                              </w:rPr>
                            </w:pPr>
                            <w:r>
                              <w:rPr>
                                <w:rFonts w:ascii="arial" w:hAnsi="arial"/>
                                <w:b/>
                                <w:color w:val="3E3935"/>
                                <w:sz w:val="22"/>
                              </w:rPr>
                              <w:t xml:space="preserve">Executive Vice President, Legal, Policy, Cybersecurity, and Corporate Secretary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6"/>
                              </w:rPr>
                            </w:pPr>
                            <w:r>
                              <w:rPr>
                                <w:rFonts w:ascii="arial" w:hAnsi="arial"/>
                                <w:color w:val="3E3935"/>
                                <w:sz w:val="16"/>
                              </w:rPr>
                              <w:t xml:space="preserve">The Compensation Committee made the following pay decisions based on performance, competitive market data, and feedback from its independent compensation consultant and management: </w:t>
                            </w:r>
                          </w:p>
                          <w:p>
                            <w:pPr>
                              <w:pStyle w:val="TextBody"/>
                              <w:bidi w:val="0"/>
                              <w:spacing w:before="120" w:after="0"/>
                              <w:jc w:val="left"/>
                              <w:rPr>
                                <w:rFonts w:ascii="arial" w:hAnsi="arial"/>
                                <w:sz w:val="16"/>
                              </w:rPr>
                            </w:pPr>
                            <w:r>
                              <w:rPr>
                                <w:rFonts w:ascii="arial" w:hAnsi="arial"/>
                                <w:b/>
                                <w:color w:val="0071CE"/>
                                <w:sz w:val="16"/>
                              </w:rPr>
                              <w:t>Base Salary</w:t>
                            </w:r>
                            <w:r>
                              <w:rPr>
                                <w:rFonts w:ascii="arial" w:hAnsi="arial"/>
                                <w:color w:val="3E3935"/>
                                <w:sz w:val="16"/>
                              </w:rPr>
                              <w:t xml:space="preserve"> – Effective December 1, 2023, increased base salary from $875,000 to $1,100,000. </w:t>
                            </w:r>
                          </w:p>
                          <w:p>
                            <w:pPr>
                              <w:pStyle w:val="TextBody"/>
                              <w:bidi w:val="0"/>
                              <w:spacing w:before="120" w:after="0"/>
                              <w:jc w:val="left"/>
                              <w:rPr>
                                <w:rFonts w:ascii="arial" w:hAnsi="arial"/>
                                <w:sz w:val="16"/>
                              </w:rPr>
                            </w:pPr>
                            <w:r>
                              <w:rPr>
                                <w:rFonts w:ascii="arial" w:hAnsi="arial"/>
                                <w:b/>
                                <w:color w:val="0071CE"/>
                                <w:sz w:val="16"/>
                              </w:rPr>
                              <w:t>Short-Term Incentive</w:t>
                            </w:r>
                            <w:r>
                              <w:rPr>
                                <w:rFonts w:ascii="arial" w:hAnsi="arial"/>
                                <w:color w:val="3E3935"/>
                                <w:sz w:val="16"/>
                              </w:rPr>
                              <w:t xml:space="preserve"> – Awarded 35 points out of a 25-point target and 50-point maximum for the strategic goals portion for the 2023 STIP performance year. In determining the number of points earned, the Compensation Committee considered these results for Mr. Glidden: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Led effective engagement with federal, state, and local policymakers on issues critical to GM and its vision of a future with zero crashes, zero emissions, and zero congestion;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Driving change and accountability as the Co-President and Chief Administrative Officer of Cruise, GM’s majority-owned AV subsidiary, where he is leading the organization through a regulatory, legal, and business transformation on a path to rebuild trust with the public and regulators,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10069" w:type="dxa"/>
                                  <w:gridSpan w:val="2"/>
                                  <w:tcBorders/>
                                  <w:shd w:fill="CCF2F8" w:val="clear"/>
                                  <w:vAlign w:val="center"/>
                                </w:tcPr>
                                <w:p>
                                  <w:pPr>
                                    <w:pStyle w:val="TableContents"/>
                                    <w:bidi w:val="0"/>
                                    <w:spacing w:before="0" w:after="283"/>
                                    <w:jc w:val="left"/>
                                    <w:rPr>
                                      <w:sz w:val="4"/>
                                      <w:szCs w:val="4"/>
                                    </w:rPr>
                                  </w:pPr>
                                  <w:r>
                                    <w:rPr>
                                      <w:sz w:val="4"/>
                                      <w:szCs w:val="4"/>
                                    </w:rPr>
                                  </w:r>
                                </w:p>
                              </w:tc>
                              <w:tc>
                                <w:tcPr>
                                  <w:tcW w:w="9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rFonts w:ascii="arial" w:hAnsi="arial"/>
                                      <w:b/>
                                      <w:color w:val="3E3935"/>
                                      <w:sz w:val="16"/>
                                    </w:rPr>
                                  </w:pPr>
                                  <w:r>
                                    <w:rPr>
                                      <w:rFonts w:ascii="arial" w:hAnsi="arial"/>
                                      <w:b/>
                                      <w:color w:val="3E3935"/>
                                      <w:sz w:val="16"/>
                                    </w:rPr>
                                    <w:t>Our People</w:t>
                                  </w:r>
                                </w:p>
                                <w:p>
                                  <w:pPr>
                                    <w:pStyle w:val="TableContents"/>
                                    <w:bidi w:val="0"/>
                                    <w:spacing w:before="0" w:after="20"/>
                                    <w:jc w:val="left"/>
                                    <w:rPr>
                                      <w:color w:val="3E3935"/>
                                    </w:rPr>
                                  </w:pPr>
                                  <w:r>
                                    <w:rPr>
                                      <w:color w:val="0071CE"/>
                                    </w:rPr>
                                    <w:t>•</w:t>
                                  </w:r>
                                  <w:r>
                                    <w:rPr>
                                      <w:color w:val="3E3935"/>
                                    </w:rPr>
                                    <w:t>  </w:t>
                                  </w:r>
                                  <w:r>
                                    <w:rPr>
                                      <w:rFonts w:ascii="arial" w:hAnsi="arial"/>
                                      <w:color w:val="3E3935"/>
                                      <w:sz w:val="16"/>
                                    </w:rPr>
                                    <w:t xml:space="preserve">Continued employee engagement in GM’s safety-first culture resulting in zero fatalities and reductions in injuries  </w:t>
                                  </w:r>
                                  <w:r>
                                    <w:rPr>
                                      <w:rFonts w:ascii="arial" w:hAnsi="arial"/>
                                      <w:color w:val="3E3935"/>
                                      <w:sz w:val="16"/>
                                    </w:rPr>
                                    <w:drawing>
                                      <wp:inline distT="0" distB="0" distL="0" distR="0">
                                        <wp:extent cx="85725" cy="85725"/>
                                        <wp:effectExtent l="0" t="0" r="0" b="0"/>
                                        <wp:docPr id="32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62" descr=""/>
                                                <pic:cNvPicPr>
                                                  <a:picLocks noChangeAspect="1" noChangeArrowheads="1"/>
                                                </pic:cNvPicPr>
                                              </pic:nvPicPr>
                                              <pic:blipFill>
                                                <a:blip r:embed="rId306"/>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to drive GM’s commitment to advancing business integrity and ethical behavior, as was recognized by Ethisphere which named GM as one of the World’s Most Ethical Companies for the 5th year in a row  </w:t>
                                  </w:r>
                                  <w:r>
                                    <w:rPr>
                                      <w:rFonts w:ascii="arial" w:hAnsi="arial"/>
                                      <w:color w:val="3E3935"/>
                                      <w:sz w:val="16"/>
                                    </w:rPr>
                                    <w:drawing>
                                      <wp:inline distT="0" distB="0" distL="0" distR="0">
                                        <wp:extent cx="85725" cy="85725"/>
                                        <wp:effectExtent l="0" t="0" r="0" b="0"/>
                                        <wp:docPr id="32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63" descr=""/>
                                                <pic:cNvPicPr>
                                                  <a:picLocks noChangeAspect="1" noChangeArrowheads="1"/>
                                                </pic:cNvPicPr>
                                              </pic:nvPicPr>
                                              <pic:blipFill>
                                                <a:blip r:embed="rId307"/>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Provided strategic counsel to our Global Manufacturing team in connection with its labor negotiations with the UAW, which enabled GM to successfully agree to a new multi-year collective bargaining agreement</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Led the continued maturity of our Cybersecurity team as it continues to build capabilities and governance processes in response to GM’s evolving business strategy, emerging risks, and new regulations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Bolstered GM’s efforts to build a more sustainable and resilient supply chain focused on North America and free trade partners, including by helping the Company navigate the complex legal and regulatory issues involved in GM’s announced $650 million equity investment in and supply agreement with Lithium Americas to develop the Thacker Pass lithium mine in Nevada, which will help GM secure critical battery raw materials for our future EV production  </w:t>
                                  </w:r>
                                  <w:r>
                                    <w:rPr>
                                      <w:rFonts w:ascii="arial" w:hAnsi="arial"/>
                                      <w:color w:val="3E3935"/>
                                      <w:sz w:val="16"/>
                                    </w:rPr>
                                    <w:drawing>
                                      <wp:inline distT="0" distB="0" distL="0" distR="0">
                                        <wp:extent cx="85725" cy="85725"/>
                                        <wp:effectExtent l="0" t="0" r="0" b="0"/>
                                        <wp:docPr id="32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64" descr=""/>
                                                <pic:cNvPicPr>
                                                  <a:picLocks noChangeAspect="1" noChangeArrowheads="1"/>
                                                </pic:cNvPicPr>
                                              </pic:nvPicPr>
                                              <pic:blipFill>
                                                <a:blip r:embed="rId308"/>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Fostered strong state-level partnerships, association memberships, and coalition relationships to amplify advocacy on public policy matters of critical importance to GM, including through the support of the Business Roundtable  </w:t>
                                  </w:r>
                                  <w:r>
                                    <w:rPr>
                                      <w:rFonts w:ascii="arial" w:hAnsi="arial"/>
                                      <w:color w:val="3E3935"/>
                                      <w:sz w:val="16"/>
                                    </w:rPr>
                                    <w:drawing>
                                      <wp:inline distT="0" distB="0" distL="0" distR="0">
                                        <wp:extent cx="85725" cy="85725"/>
                                        <wp:effectExtent l="0" t="0" r="0" b="0"/>
                                        <wp:docPr id="32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65" descr=""/>
                                                <pic:cNvPicPr>
                                                  <a:picLocks noChangeAspect="1" noChangeArrowheads="1"/>
                                                </pic:cNvPicPr>
                                              </pic:nvPicPr>
                                              <pic:blipFill>
                                                <a:blip r:embed="rId309"/>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Provided critical regulatory, legal, and governance support that enabled Ultium Cells LLC, GM’s battery cell joint venture with LGES, to build the first battery plant, which reached full production in Warren, Ohio this year  </w:t>
                                  </w:r>
                                  <w:r>
                                    <w:rPr>
                                      <w:rFonts w:ascii="arial" w:hAnsi="arial"/>
                                      <w:color w:val="3E3935"/>
                                      <w:sz w:val="16"/>
                                    </w:rPr>
                                    <w:drawing>
                                      <wp:inline distT="0" distB="0" distL="0" distR="0">
                                        <wp:extent cx="85725" cy="85725"/>
                                        <wp:effectExtent l="0" t="0" r="0" b="0"/>
                                        <wp:docPr id="32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66" descr=""/>
                                                <pic:cNvPicPr>
                                                  <a:picLocks noChangeAspect="1" noChangeArrowheads="1"/>
                                                </pic:cNvPicPr>
                                              </pic:nvPicPr>
                                              <pic:blipFill>
                                                <a:blip r:embed="rId310"/>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Counseled the Board of Directors through a variety of dynamic legal issues while also providing leadership of the Company’s complex litigation matters and regulatory developments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Oversaw legal aspects of a new collaboration with six other automakers to develop a high-powered charging network of at least 30,000 chargers across North America to support growing rates of EV adoption  </w:t>
                                  </w:r>
                                  <w:r>
                                    <w:rPr>
                                      <w:rFonts w:ascii="arial" w:hAnsi="arial"/>
                                      <w:color w:val="3E3935"/>
                                      <w:sz w:val="16"/>
                                    </w:rPr>
                                    <w:drawing>
                                      <wp:inline distT="0" distB="0" distL="0" distR="0">
                                        <wp:extent cx="85725" cy="85725"/>
                                        <wp:effectExtent l="0" t="0" r="0" b="0"/>
                                        <wp:docPr id="32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67" descr=""/>
                                                <pic:cNvPicPr>
                                                  <a:picLocks noChangeAspect="1" noChangeArrowheads="1"/>
                                                </pic:cNvPicPr>
                                              </pic:nvPicPr>
                                              <pic:blipFill>
                                                <a:blip r:embed="rId311"/>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Supported efforts to allow dealers and customers to take advantage of the clean vehicle tax credit and build the Company’s EV momentum  </w:t>
                                  </w:r>
                                  <w:r>
                                    <w:rPr>
                                      <w:rFonts w:ascii="arial" w:hAnsi="arial"/>
                                      <w:color w:val="3E3935"/>
                                      <w:sz w:val="16"/>
                                    </w:rPr>
                                    <w:drawing>
                                      <wp:inline distT="0" distB="0" distL="0" distR="0">
                                        <wp:extent cx="85725" cy="85725"/>
                                        <wp:effectExtent l="0" t="0" r="0" b="0"/>
                                        <wp:docPr id="32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68" descr=""/>
                                                <pic:cNvPicPr>
                                                  <a:picLocks noChangeAspect="1" noChangeArrowheads="1"/>
                                                </pic:cNvPicPr>
                                              </pic:nvPicPr>
                                              <pic:blipFill>
                                                <a:blip r:embed="rId312"/>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color w:val="3E3935"/>
                              </w:rPr>
                            </w:pPr>
                            <w:r>
                              <w:rPr>
                                <w:color w:val="3E3935"/>
                              </w:rPr>
                              <w:drawing>
                                <wp:inline distT="0" distB="0" distL="0" distR="0">
                                  <wp:extent cx="85725" cy="85725"/>
                                  <wp:effectExtent l="0" t="0" r="0" b="0"/>
                                  <wp:docPr id="32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69" descr=""/>
                                          <pic:cNvPicPr>
                                            <a:picLocks noChangeAspect="1" noChangeArrowheads="1"/>
                                          </pic:cNvPicPr>
                                        </pic:nvPicPr>
                                        <pic:blipFill>
                                          <a:blip r:embed="rId313"/>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6"/>
                              </w:rPr>
                              <w:t xml:space="preserve">Represents Sustainability Results </w:t>
                            </w:r>
                          </w:p>
                          <w:p>
                            <w:pPr>
                              <w:pStyle w:val="TextBody"/>
                              <w:bidi w:val="0"/>
                              <w:spacing w:before="120" w:after="0"/>
                              <w:jc w:val="left"/>
                              <w:rPr>
                                <w:rFonts w:ascii="arial" w:hAnsi="arial"/>
                                <w:sz w:val="16"/>
                              </w:rPr>
                            </w:pPr>
                            <w:r>
                              <w:rPr>
                                <w:rFonts w:ascii="arial" w:hAnsi="arial"/>
                                <w:b/>
                                <w:color w:val="0071CE"/>
                                <w:sz w:val="16"/>
                              </w:rPr>
                              <w:t>Long-Term Incentive</w:t>
                            </w:r>
                            <w:r>
                              <w:rPr>
                                <w:rFonts w:ascii="arial" w:hAnsi="arial"/>
                                <w:color w:val="3E3935"/>
                                <w:sz w:val="16"/>
                              </w:rPr>
                              <w:t xml:space="preserve"> – In February 2023, awarded an annual LTIP grant of $6.53 million, consisting of 75 percent PSUs and 25 percent stock options. </w:t>
                            </w:r>
                          </w:p>
                          <w:p>
                            <w:pPr>
                              <w:pStyle w:val="TextBody"/>
                              <w:bidi w:val="0"/>
                              <w:spacing w:before="120" w:after="0"/>
                              <w:jc w:val="left"/>
                              <w:rPr>
                                <w:rFonts w:ascii="arial" w:hAnsi="arial"/>
                                <w:sz w:val="16"/>
                              </w:rPr>
                            </w:pPr>
                            <w:r>
                              <w:rPr>
                                <w:rFonts w:ascii="arial" w:hAnsi="arial"/>
                                <w:b/>
                                <w:color w:val="0071CE"/>
                                <w:sz w:val="16"/>
                              </w:rPr>
                              <w:t>One-Time Equity Award</w:t>
                            </w:r>
                            <w:r>
                              <w:rPr>
                                <w:rFonts w:ascii="arial" w:hAnsi="arial"/>
                                <w:color w:val="3E3935"/>
                                <w:sz w:val="16"/>
                              </w:rPr>
                              <w:t xml:space="preserve"> – In December 2023, awarded a one-time RSU grant of $2.0 million in recognition of Mr. Glidden’s appointment as Co-President and Chief Administrative Officer of Cruise, in addition to continuing in his role with GM as Executive Vice President, Legal, Policy, Cybersecurity, and Corporate Secretary. The award vests in full on the second anniversary of the grant date in 2025. </w:t>
                            </w:r>
                          </w:p>
                          <w:p>
                            <w:pPr>
                              <w:pStyle w:val="TextBody"/>
                              <w:bidi w:val="0"/>
                              <w:spacing w:before="120" w:after="0"/>
                              <w:jc w:val="left"/>
                              <w:rPr>
                                <w:rFonts w:ascii="arial" w:hAnsi="arial"/>
                                <w:color w:val="3E3935"/>
                                <w:sz w:val="16"/>
                              </w:rPr>
                            </w:pPr>
                            <w:r>
                              <w:rPr>
                                <w:rFonts w:ascii="arial" w:hAnsi="arial"/>
                                <w:color w:val="3E3935"/>
                                <w:sz w:val="16"/>
                              </w:rPr>
                              <w:t xml:space="preserve">Total awarded compensation for 2023, including salary, STIP, and LTIP, is displayed below. </w:t>
                            </w:r>
                          </w:p>
                          <w:p>
                            <w:pPr>
                              <w:pStyle w:val="TextBody"/>
                              <w:bidi w:val="0"/>
                              <w:spacing w:before="0" w:after="0"/>
                              <w:jc w:val="left"/>
                              <w:rPr/>
                            </w:pPr>
                            <w:r>
                              <w:rPr/>
                              <w:t> </w:t>
                            </w:r>
                          </w:p>
                          <w:tbl>
                            <w:tblPr>
                              <w:tblW w:w="6255" w:type="dxa"/>
                              <w:jc w:val="left"/>
                              <w:tblInd w:w="0" w:type="dxa"/>
                              <w:tblLayout w:type="fixed"/>
                              <w:tblCellMar>
                                <w:top w:w="0" w:type="dxa"/>
                                <w:left w:w="0" w:type="dxa"/>
                                <w:bottom w:w="0" w:type="dxa"/>
                                <w:right w:w="0" w:type="dxa"/>
                              </w:tblCellMar>
                            </w:tblPr>
                            <w:tblGrid>
                              <w:gridCol w:w="1070"/>
                              <w:gridCol w:w="120"/>
                              <w:gridCol w:w="2930"/>
                              <w:gridCol w:w="120"/>
                              <w:gridCol w:w="191"/>
                              <w:gridCol w:w="1449"/>
                              <w:gridCol w:w="60"/>
                              <w:gridCol w:w="120"/>
                              <w:gridCol w:w="60"/>
                              <w:gridCol w:w="60"/>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6"/>
                                    </w:rPr>
                                  </w:pPr>
                                  <w:r>
                                    <w:rPr>
                                      <w:rFonts w:ascii="arial" w:hAnsi="arial"/>
                                      <w:b/>
                                      <w:color w:val="3E3935"/>
                                      <w:sz w:val="16"/>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Awarded Value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Base Salary</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Only Fixed Pay Element</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893,750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STIP</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1,856,300</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 and Stock Price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4,898,400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Stock Options</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1,632,807</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RSUs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2,000,006</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shd w:fill="CCF2F8" w:val="clear"/>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TOTAL</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91" w:type="dxa"/>
                                  <w:tcBorders>
                                    <w:bottom w:val="single" w:sz="6" w:space="0" w:color="0071CE"/>
                                  </w:tcBorders>
                                  <w:shd w:fill="CCF2F8" w:val="clear"/>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w:t>
                                  </w:r>
                                </w:p>
                              </w:tc>
                              <w:tc>
                                <w:tcPr>
                                  <w:tcW w:w="1449" w:type="dxa"/>
                                  <w:tcBorders>
                                    <w:bottom w:val="single" w:sz="6" w:space="0" w:color="0071CE"/>
                                  </w:tcBorders>
                                  <w:shd w:fill="CCF2F8" w:val="clear"/>
                                  <w:tcMar>
                                    <w:bottom w:w="60" w:type="dxa"/>
                                  </w:tcMar>
                                  <w:vAlign w:val="center"/>
                                </w:tcPr>
                                <w:p>
                                  <w:pPr>
                                    <w:pStyle w:val="TableContents"/>
                                    <w:bidi w:val="0"/>
                                    <w:spacing w:lineRule="atLeast" w:line="300" w:before="0" w:after="0"/>
                                    <w:jc w:val="right"/>
                                    <w:rPr>
                                      <w:rFonts w:ascii="arial" w:hAnsi="arial"/>
                                      <w:b/>
                                      <w:color w:val="0071CE"/>
                                      <w:sz w:val="16"/>
                                    </w:rPr>
                                  </w:pPr>
                                  <w:r>
                                    <w:rPr>
                                      <w:rFonts w:ascii="arial" w:hAnsi="arial"/>
                                      <w:b/>
                                      <w:color w:val="0071CE"/>
                                      <w:sz w:val="16"/>
                                    </w:rPr>
                                    <w:t>11,281,263</w:t>
                                  </w:r>
                                </w:p>
                              </w:tc>
                              <w:tc>
                                <w:tcPr>
                                  <w:tcW w:w="60" w:type="dxa"/>
                                  <w:tcBorders>
                                    <w:bottom w:val="single" w:sz="6" w:space="0" w:color="0071CE"/>
                                  </w:tcBorders>
                                  <w:shd w:fill="CCF2F8" w:val="clear"/>
                                  <w:tcMar>
                                    <w:bottom w:w="6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3E3935"/>
                          <w:sz w:val="26"/>
                        </w:rPr>
                      </w:pPr>
                      <w:r>
                        <w:rPr>
                          <w:rFonts w:ascii="arial" w:hAnsi="arial"/>
                          <w:b/>
                          <w:color w:val="3E3935"/>
                          <w:sz w:val="26"/>
                        </w:rPr>
                        <w:t xml:space="preserve">Compensation Decisions for Craig B. Glidden </w:t>
                      </w:r>
                    </w:p>
                    <w:p>
                      <w:pPr>
                        <w:pStyle w:val="TextBody"/>
                        <w:bidi w:val="0"/>
                        <w:spacing w:before="120" w:after="0"/>
                        <w:jc w:val="left"/>
                        <w:rPr>
                          <w:rFonts w:ascii="arial" w:hAnsi="arial"/>
                          <w:b/>
                          <w:color w:val="3E3935"/>
                          <w:sz w:val="22"/>
                        </w:rPr>
                      </w:pPr>
                      <w:r>
                        <w:rPr>
                          <w:rFonts w:ascii="arial" w:hAnsi="arial"/>
                          <w:b/>
                          <w:color w:val="3E3935"/>
                          <w:sz w:val="22"/>
                        </w:rPr>
                        <w:t xml:space="preserve">Executive Vice President, Legal, Policy, Cybersecurity, and Corporate Secretary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left"/>
                        <w:rPr>
                          <w:rFonts w:ascii="arial" w:hAnsi="arial"/>
                          <w:color w:val="3E3935"/>
                          <w:sz w:val="16"/>
                        </w:rPr>
                      </w:pPr>
                      <w:r>
                        <w:rPr>
                          <w:rFonts w:ascii="arial" w:hAnsi="arial"/>
                          <w:color w:val="3E3935"/>
                          <w:sz w:val="16"/>
                        </w:rPr>
                        <w:t xml:space="preserve">The Compensation Committee made the following pay decisions based on performance, competitive market data, and feedback from its independent compensation consultant and management: </w:t>
                      </w:r>
                    </w:p>
                    <w:p>
                      <w:pPr>
                        <w:pStyle w:val="TextBody"/>
                        <w:bidi w:val="0"/>
                        <w:spacing w:before="120" w:after="0"/>
                        <w:jc w:val="left"/>
                        <w:rPr>
                          <w:rFonts w:ascii="arial" w:hAnsi="arial"/>
                          <w:sz w:val="16"/>
                        </w:rPr>
                      </w:pPr>
                      <w:r>
                        <w:rPr>
                          <w:rFonts w:ascii="arial" w:hAnsi="arial"/>
                          <w:b/>
                          <w:color w:val="0071CE"/>
                          <w:sz w:val="16"/>
                        </w:rPr>
                        <w:t>Base Salary</w:t>
                      </w:r>
                      <w:r>
                        <w:rPr>
                          <w:rFonts w:ascii="arial" w:hAnsi="arial"/>
                          <w:color w:val="3E3935"/>
                          <w:sz w:val="16"/>
                        </w:rPr>
                        <w:t xml:space="preserve"> – Effective December 1, 2023, increased base salary from $875,000 to $1,100,000. </w:t>
                      </w:r>
                    </w:p>
                    <w:p>
                      <w:pPr>
                        <w:pStyle w:val="TextBody"/>
                        <w:bidi w:val="0"/>
                        <w:spacing w:before="120" w:after="0"/>
                        <w:jc w:val="left"/>
                        <w:rPr>
                          <w:rFonts w:ascii="arial" w:hAnsi="arial"/>
                          <w:sz w:val="16"/>
                        </w:rPr>
                      </w:pPr>
                      <w:r>
                        <w:rPr>
                          <w:rFonts w:ascii="arial" w:hAnsi="arial"/>
                          <w:b/>
                          <w:color w:val="0071CE"/>
                          <w:sz w:val="16"/>
                        </w:rPr>
                        <w:t>Short-Term Incentive</w:t>
                      </w:r>
                      <w:r>
                        <w:rPr>
                          <w:rFonts w:ascii="arial" w:hAnsi="arial"/>
                          <w:color w:val="3E3935"/>
                          <w:sz w:val="16"/>
                        </w:rPr>
                        <w:t xml:space="preserve"> – Awarded 35 points out of a 25-point target and 50-point maximum for the strategic goals portion for the 2023 STIP performance year. In determining the number of points earned, the Compensation Committee considered these results for Mr. Glidden: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Led effective engagement with federal, state, and local policymakers on issues critical to GM and its vision of a future with zero crashes, zero emissions, and zero congestion;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olor w:val="3E3935"/>
                              </w:rPr>
                            </w:pPr>
                            <w:r>
                              <w:rPr>
                                <w:color w:val="3E3935"/>
                              </w:rPr>
                              <w:t xml:space="preserve">Driving change and accountability as the Co-President and Chief Administrative Officer of Cruise, GM’s majority-owned AV subsidiary, where he is leading the organization through a regulatory, legal, and business transformation on a path to rebuild trust with the public and regulators, as well as other highlights below. </w:t>
                            </w:r>
                          </w:p>
                        </w:tc>
                      </w:tr>
                    </w:tbl>
                    <w:p>
                      <w:pPr>
                        <w:pStyle w:val="TextBody"/>
                        <w:bidi w:val="0"/>
                        <w:spacing w:before="0" w:after="0"/>
                        <w:jc w:val="left"/>
                        <w:rPr/>
                      </w:pPr>
                      <w:r>
                        <w:rPr/>
                        <w:t> </w:t>
                      </w:r>
                    </w:p>
                    <w:tbl>
                      <w:tblPr>
                        <w:tblW w:w="10205" w:type="dxa"/>
                        <w:jc w:val="left"/>
                        <w:tblInd w:w="0" w:type="dxa"/>
                        <w:shd w:fill="CCF2F8"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0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10069" w:type="dxa"/>
                            <w:gridSpan w:val="2"/>
                            <w:tcBorders/>
                            <w:shd w:fill="CCF2F8" w:val="clear"/>
                            <w:vAlign w:val="center"/>
                          </w:tcPr>
                          <w:p>
                            <w:pPr>
                              <w:pStyle w:val="TableContents"/>
                              <w:bidi w:val="0"/>
                              <w:spacing w:before="0" w:after="283"/>
                              <w:jc w:val="left"/>
                              <w:rPr>
                                <w:sz w:val="4"/>
                                <w:szCs w:val="4"/>
                              </w:rPr>
                            </w:pPr>
                            <w:r>
                              <w:rPr>
                                <w:sz w:val="4"/>
                                <w:szCs w:val="4"/>
                              </w:rPr>
                            </w:r>
                          </w:p>
                        </w:tc>
                        <w:tc>
                          <w:tcPr>
                            <w:tcW w:w="9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rFonts w:ascii="arial" w:hAnsi="arial"/>
                                <w:b/>
                                <w:color w:val="3E3935"/>
                                <w:sz w:val="16"/>
                              </w:rPr>
                            </w:pPr>
                            <w:r>
                              <w:rPr>
                                <w:rFonts w:ascii="arial" w:hAnsi="arial"/>
                                <w:b/>
                                <w:color w:val="3E3935"/>
                                <w:sz w:val="16"/>
                              </w:rPr>
                              <w:t>Our People</w:t>
                            </w:r>
                          </w:p>
                          <w:p>
                            <w:pPr>
                              <w:pStyle w:val="TableContents"/>
                              <w:bidi w:val="0"/>
                              <w:spacing w:before="0" w:after="20"/>
                              <w:jc w:val="left"/>
                              <w:rPr>
                                <w:color w:val="3E3935"/>
                              </w:rPr>
                            </w:pPr>
                            <w:r>
                              <w:rPr>
                                <w:color w:val="0071CE"/>
                              </w:rPr>
                              <w:t>•</w:t>
                            </w:r>
                            <w:r>
                              <w:rPr>
                                <w:color w:val="3E3935"/>
                              </w:rPr>
                              <w:t>  </w:t>
                            </w:r>
                            <w:r>
                              <w:rPr>
                                <w:rFonts w:ascii="arial" w:hAnsi="arial"/>
                                <w:color w:val="3E3935"/>
                                <w:sz w:val="16"/>
                              </w:rPr>
                              <w:t xml:space="preserve">Continued employee engagement in GM’s safety-first culture resulting in zero fatalities and reductions in injuries  </w:t>
                            </w:r>
                            <w:r>
                              <w:rPr>
                                <w:rFonts w:ascii="arial" w:hAnsi="arial"/>
                                <w:color w:val="3E3935"/>
                                <w:sz w:val="16"/>
                              </w:rPr>
                              <w:drawing>
                                <wp:inline distT="0" distB="0" distL="0" distR="0">
                                  <wp:extent cx="85725" cy="85725"/>
                                  <wp:effectExtent l="0" t="0" r="0" b="0"/>
                                  <wp:docPr id="33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62" descr=""/>
                                          <pic:cNvPicPr>
                                            <a:picLocks noChangeAspect="1" noChangeArrowheads="1"/>
                                          </pic:cNvPicPr>
                                        </pic:nvPicPr>
                                        <pic:blipFill>
                                          <a:blip r:embed="rId314"/>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Continued to drive GM’s commitment to advancing business integrity and ethical behavior, as was recognized by Ethisphere which named GM as one of the World’s Most Ethical Companies for the 5th year in a row  </w:t>
                            </w:r>
                            <w:r>
                              <w:rPr>
                                <w:rFonts w:ascii="arial" w:hAnsi="arial"/>
                                <w:color w:val="3E3935"/>
                                <w:sz w:val="16"/>
                              </w:rPr>
                              <w:drawing>
                                <wp:inline distT="0" distB="0" distL="0" distR="0">
                                  <wp:extent cx="85725" cy="85725"/>
                                  <wp:effectExtent l="0" t="0" r="0" b="0"/>
                                  <wp:docPr id="331"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63" descr=""/>
                                          <pic:cNvPicPr>
                                            <a:picLocks noChangeAspect="1" noChangeArrowheads="1"/>
                                          </pic:cNvPicPr>
                                        </pic:nvPicPr>
                                        <pic:blipFill>
                                          <a:blip r:embed="rId315"/>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Products, Software, and Services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Provided strategic counsel to our Global Manufacturing team in connection with its labor negotiations with the UAW, which enabled GM to successfully agree to a new multi-year collective bargaining agreement</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Led the continued maturity of our Cybersecurity team as it continues to build capabilities and governance processes in response to GM’s evolving business strategy, emerging risks, and new regulations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Citizenship</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Bolstered GM’s efforts to build a more sustainable and resilient supply chain focused on North America and free trade partners, including by helping the Company navigate the complex legal and regulatory issues involved in GM’s announced $650 million equity investment in and supply agreement with Lithium Americas to develop the Thacker Pass lithium mine in Nevada, which will help GM secure critical battery raw materials for our future EV production  </w:t>
                            </w:r>
                            <w:r>
                              <w:rPr>
                                <w:rFonts w:ascii="arial" w:hAnsi="arial"/>
                                <w:color w:val="3E3935"/>
                                <w:sz w:val="16"/>
                              </w:rPr>
                              <w:drawing>
                                <wp:inline distT="0" distB="0" distL="0" distR="0">
                                  <wp:extent cx="85725" cy="85725"/>
                                  <wp:effectExtent l="0" t="0" r="0" b="0"/>
                                  <wp:docPr id="332"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64" descr=""/>
                                          <pic:cNvPicPr>
                                            <a:picLocks noChangeAspect="1" noChangeArrowheads="1"/>
                                          </pic:cNvPicPr>
                                        </pic:nvPicPr>
                                        <pic:blipFill>
                                          <a:blip r:embed="rId316"/>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Fostered strong state-level partnerships, association memberships, and coalition relationships to amplify advocacy on public policy matters of critical importance to GM, including through the support of the Business Roundtable  </w:t>
                            </w:r>
                            <w:r>
                              <w:rPr>
                                <w:rFonts w:ascii="arial" w:hAnsi="arial"/>
                                <w:color w:val="3E3935"/>
                                <w:sz w:val="16"/>
                              </w:rPr>
                              <w:drawing>
                                <wp:inline distT="0" distB="0" distL="0" distR="0">
                                  <wp:extent cx="85725" cy="85725"/>
                                  <wp:effectExtent l="0" t="0" r="0" b="0"/>
                                  <wp:docPr id="333"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65" descr=""/>
                                          <pic:cNvPicPr>
                                            <a:picLocks noChangeAspect="1" noChangeArrowheads="1"/>
                                          </pic:cNvPicPr>
                                        </pic:nvPicPr>
                                        <pic:blipFill>
                                          <a:blip r:embed="rId317"/>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Enterprise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Provided critical regulatory, legal, and governance support that enabled Ultium Cells LLC, GM’s battery cell joint venture with LGES, to build the first battery plant, which reached full production in Warren, Ohio this year  </w:t>
                            </w:r>
                            <w:r>
                              <w:rPr>
                                <w:rFonts w:ascii="arial" w:hAnsi="arial"/>
                                <w:color w:val="3E3935"/>
                                <w:sz w:val="16"/>
                              </w:rPr>
                              <w:drawing>
                                <wp:inline distT="0" distB="0" distL="0" distR="0">
                                  <wp:extent cx="85725" cy="85725"/>
                                  <wp:effectExtent l="0" t="0" r="0" b="0"/>
                                  <wp:docPr id="334"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66" descr=""/>
                                          <pic:cNvPicPr>
                                            <a:picLocks noChangeAspect="1" noChangeArrowheads="1"/>
                                          </pic:cNvPicPr>
                                        </pic:nvPicPr>
                                        <pic:blipFill>
                                          <a:blip r:embed="rId318"/>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Counseled the Board of Directors through a variety of dynamic legal issues while also providing leadership of the Company’s complex litigation matters and regulatory developments</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3E3935"/>
                                <w:sz w:val="16"/>
                              </w:rPr>
                            </w:pPr>
                            <w:r>
                              <w:rPr>
                                <w:rFonts w:ascii="arial" w:hAnsi="arial"/>
                                <w:b/>
                                <w:color w:val="3E3935"/>
                                <w:sz w:val="16"/>
                              </w:rPr>
                              <w:t>Customer Experience</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Oversaw legal aspects of a new collaboration with six other automakers to develop a high-powered charging network of at least 30,000 chargers across North America to support growing rates of EV adoption  </w:t>
                            </w:r>
                            <w:r>
                              <w:rPr>
                                <w:rFonts w:ascii="arial" w:hAnsi="arial"/>
                                <w:color w:val="3E3935"/>
                                <w:sz w:val="16"/>
                              </w:rPr>
                              <w:drawing>
                                <wp:inline distT="0" distB="0" distL="0" distR="0">
                                  <wp:extent cx="85725" cy="85725"/>
                                  <wp:effectExtent l="0" t="0" r="0" b="0"/>
                                  <wp:docPr id="335"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67" descr=""/>
                                          <pic:cNvPicPr>
                                            <a:picLocks noChangeAspect="1" noChangeArrowheads="1"/>
                                          </pic:cNvPicPr>
                                        </pic:nvPicPr>
                                        <pic:blipFill>
                                          <a:blip r:embed="rId319"/>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r>
                        <w:trPr/>
                        <w:tc>
                          <w:tcPr>
                            <w:tcW w:w="38"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0009"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6"/>
                              </w:rPr>
                              <w:t xml:space="preserve">Supported efforts to allow dealers and customers to take advantage of the clean vehicle tax credit and build the Company’s EV momentum  </w:t>
                            </w:r>
                            <w:r>
                              <w:rPr>
                                <w:rFonts w:ascii="arial" w:hAnsi="arial"/>
                                <w:color w:val="3E3935"/>
                                <w:sz w:val="16"/>
                              </w:rPr>
                              <w:drawing>
                                <wp:inline distT="0" distB="0" distL="0" distR="0">
                                  <wp:extent cx="85725" cy="85725"/>
                                  <wp:effectExtent l="0" t="0" r="0" b="0"/>
                                  <wp:docPr id="336"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68" descr=""/>
                                          <pic:cNvPicPr>
                                            <a:picLocks noChangeAspect="1" noChangeArrowheads="1"/>
                                          </pic:cNvPicPr>
                                        </pic:nvPicPr>
                                        <pic:blipFill>
                                          <a:blip r:embed="rId320"/>
                                          <a:stretch>
                                            <a:fillRect/>
                                          </a:stretch>
                                        </pic:blipFill>
                                        <pic:spPr bwMode="auto">
                                          <a:xfrm>
                                            <a:off x="0" y="0"/>
                                            <a:ext cx="85725" cy="85725"/>
                                          </a:xfrm>
                                          <a:prstGeom prst="rect">
                                            <a:avLst/>
                                          </a:prstGeom>
                                        </pic:spPr>
                                      </pic:pic>
                                    </a:graphicData>
                                  </a:graphic>
                                </wp:inline>
                              </w:drawing>
                            </w:r>
                            <w:r>
                              <w:rPr>
                                <w:rFonts w:ascii="arial" w:hAnsi="arial"/>
                                <w:color w:val="3E3935"/>
                                <w:sz w:val="16"/>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F2F8" w:val="clear"/>
                            <w:vAlign w:val="center"/>
                          </w:tcPr>
                          <w:p>
                            <w:pPr>
                              <w:pStyle w:val="TableContents"/>
                              <w:bidi w:val="0"/>
                              <w:spacing w:before="0" w:after="283"/>
                              <w:jc w:val="left"/>
                              <w:rPr/>
                            </w:pPr>
                            <w:r>
                              <w:rPr/>
                              <w:t> </w:t>
                            </w:r>
                          </w:p>
                        </w:tc>
                        <w:tc>
                          <w:tcPr>
                            <w:tcW w:w="38" w:type="dxa"/>
                            <w:tcBorders/>
                            <w:shd w:fill="CCF2F8"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color w:val="3E3935"/>
                        </w:rPr>
                      </w:pPr>
                      <w:r>
                        <w:rPr>
                          <w:color w:val="3E3935"/>
                        </w:rPr>
                        <w:drawing>
                          <wp:inline distT="0" distB="0" distL="0" distR="0">
                            <wp:extent cx="85725" cy="85725"/>
                            <wp:effectExtent l="0" t="0" r="0" b="0"/>
                            <wp:docPr id="337"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69" descr=""/>
                                    <pic:cNvPicPr>
                                      <a:picLocks noChangeAspect="1" noChangeArrowheads="1"/>
                                    </pic:cNvPicPr>
                                  </pic:nvPicPr>
                                  <pic:blipFill>
                                    <a:blip r:embed="rId321"/>
                                    <a:stretch>
                                      <a:fillRect/>
                                    </a:stretch>
                                  </pic:blipFill>
                                  <pic:spPr bwMode="auto">
                                    <a:xfrm>
                                      <a:off x="0" y="0"/>
                                      <a:ext cx="85725" cy="85725"/>
                                    </a:xfrm>
                                    <a:prstGeom prst="rect">
                                      <a:avLst/>
                                    </a:prstGeom>
                                  </pic:spPr>
                                </pic:pic>
                              </a:graphicData>
                            </a:graphic>
                          </wp:inline>
                        </w:drawing>
                      </w:r>
                      <w:r>
                        <w:rPr>
                          <w:color w:val="3E3935"/>
                        </w:rPr>
                        <w:t xml:space="preserve">  </w:t>
                      </w:r>
                      <w:r>
                        <w:rPr>
                          <w:rFonts w:ascii="arial" w:hAnsi="arial"/>
                          <w:i/>
                          <w:color w:val="3E3935"/>
                          <w:sz w:val="16"/>
                        </w:rPr>
                        <w:t xml:space="preserve">Represents Sustainability Results </w:t>
                      </w:r>
                    </w:p>
                    <w:p>
                      <w:pPr>
                        <w:pStyle w:val="TextBody"/>
                        <w:bidi w:val="0"/>
                        <w:spacing w:before="120" w:after="0"/>
                        <w:jc w:val="left"/>
                        <w:rPr>
                          <w:rFonts w:ascii="arial" w:hAnsi="arial"/>
                          <w:sz w:val="16"/>
                        </w:rPr>
                      </w:pPr>
                      <w:r>
                        <w:rPr>
                          <w:rFonts w:ascii="arial" w:hAnsi="arial"/>
                          <w:b/>
                          <w:color w:val="0071CE"/>
                          <w:sz w:val="16"/>
                        </w:rPr>
                        <w:t>Long-Term Incentive</w:t>
                      </w:r>
                      <w:r>
                        <w:rPr>
                          <w:rFonts w:ascii="arial" w:hAnsi="arial"/>
                          <w:color w:val="3E3935"/>
                          <w:sz w:val="16"/>
                        </w:rPr>
                        <w:t xml:space="preserve"> – In February 2023, awarded an annual LTIP grant of $6.53 million, consisting of 75 percent PSUs and 25 percent stock options. </w:t>
                      </w:r>
                    </w:p>
                    <w:p>
                      <w:pPr>
                        <w:pStyle w:val="TextBody"/>
                        <w:bidi w:val="0"/>
                        <w:spacing w:before="120" w:after="0"/>
                        <w:jc w:val="left"/>
                        <w:rPr>
                          <w:rFonts w:ascii="arial" w:hAnsi="arial"/>
                          <w:sz w:val="16"/>
                        </w:rPr>
                      </w:pPr>
                      <w:r>
                        <w:rPr>
                          <w:rFonts w:ascii="arial" w:hAnsi="arial"/>
                          <w:b/>
                          <w:color w:val="0071CE"/>
                          <w:sz w:val="16"/>
                        </w:rPr>
                        <w:t>One-Time Equity Award</w:t>
                      </w:r>
                      <w:r>
                        <w:rPr>
                          <w:rFonts w:ascii="arial" w:hAnsi="arial"/>
                          <w:color w:val="3E3935"/>
                          <w:sz w:val="16"/>
                        </w:rPr>
                        <w:t xml:space="preserve"> – In December 2023, awarded a one-time RSU grant of $2.0 million in recognition of Mr. Glidden’s appointment as Co-President and Chief Administrative Officer of Cruise, in addition to continuing in his role with GM as Executive Vice President, Legal, Policy, Cybersecurity, and Corporate Secretary. The award vests in full on the second anniversary of the grant date in 2025. </w:t>
                      </w:r>
                    </w:p>
                    <w:p>
                      <w:pPr>
                        <w:pStyle w:val="TextBody"/>
                        <w:bidi w:val="0"/>
                        <w:spacing w:before="120" w:after="0"/>
                        <w:jc w:val="left"/>
                        <w:rPr>
                          <w:rFonts w:ascii="arial" w:hAnsi="arial"/>
                          <w:color w:val="3E3935"/>
                          <w:sz w:val="16"/>
                        </w:rPr>
                      </w:pPr>
                      <w:r>
                        <w:rPr>
                          <w:rFonts w:ascii="arial" w:hAnsi="arial"/>
                          <w:color w:val="3E3935"/>
                          <w:sz w:val="16"/>
                        </w:rPr>
                        <w:t xml:space="preserve">Total awarded compensation for 2023, including salary, STIP, and LTIP, is displayed below. </w:t>
                      </w:r>
                    </w:p>
                    <w:p>
                      <w:pPr>
                        <w:pStyle w:val="TextBody"/>
                        <w:bidi w:val="0"/>
                        <w:spacing w:before="0" w:after="0"/>
                        <w:jc w:val="left"/>
                        <w:rPr/>
                      </w:pPr>
                      <w:r>
                        <w:rPr/>
                        <w:t> </w:t>
                      </w:r>
                    </w:p>
                    <w:tbl>
                      <w:tblPr>
                        <w:tblW w:w="6255" w:type="dxa"/>
                        <w:jc w:val="left"/>
                        <w:tblInd w:w="0" w:type="dxa"/>
                        <w:tblLayout w:type="fixed"/>
                        <w:tblCellMar>
                          <w:top w:w="0" w:type="dxa"/>
                          <w:left w:w="0" w:type="dxa"/>
                          <w:bottom w:w="0" w:type="dxa"/>
                          <w:right w:w="0" w:type="dxa"/>
                        </w:tblCellMar>
                      </w:tblPr>
                      <w:tblGrid>
                        <w:gridCol w:w="1070"/>
                        <w:gridCol w:w="120"/>
                        <w:gridCol w:w="2930"/>
                        <w:gridCol w:w="120"/>
                        <w:gridCol w:w="191"/>
                        <w:gridCol w:w="1449"/>
                        <w:gridCol w:w="60"/>
                        <w:gridCol w:w="120"/>
                        <w:gridCol w:w="60"/>
                        <w:gridCol w:w="60"/>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6"/>
                              </w:rPr>
                            </w:pPr>
                            <w:r>
                              <w:rPr>
                                <w:rFonts w:ascii="arial" w:hAnsi="arial"/>
                                <w:b/>
                                <w:color w:val="3E3935"/>
                                <w:sz w:val="16"/>
                              </w:rPr>
                              <w:t>Pay Element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Majority of Pay Is At-Risk</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Awarded Value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Base Salary</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Only Fixed Pay Element</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893,750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STIP</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1,856,300</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Metrics and Stock Price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4,898,400</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Stock Options</w:t>
                            </w:r>
                          </w:p>
                        </w:tc>
                        <w:tc>
                          <w:tcPr>
                            <w:tcW w:w="120" w:type="dxa"/>
                            <w:tcBorders/>
                            <w:shd w:fill="CCF2F8" w:val="clear"/>
                            <w:vAlign w:val="center"/>
                          </w:tcPr>
                          <w:p>
                            <w:pPr>
                              <w:pStyle w:val="TableContents"/>
                              <w:bidi w:val="0"/>
                              <w:spacing w:before="0" w:after="283"/>
                              <w:jc w:val="left"/>
                              <w:rPr/>
                            </w:pPr>
                            <w:r>
                              <w:rPr/>
                              <w:t>  </w:t>
                            </w:r>
                          </w:p>
                        </w:tc>
                        <w:tc>
                          <w:tcPr>
                            <w:tcW w:w="2930"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shd w:fill="CCF2F8" w:val="clear"/>
                            <w:vAlign w:val="center"/>
                          </w:tcPr>
                          <w:p>
                            <w:pPr>
                              <w:pStyle w:val="TableContents"/>
                              <w:bidi w:val="0"/>
                              <w:spacing w:before="0" w:after="283"/>
                              <w:jc w:val="left"/>
                              <w:rPr/>
                            </w:pPr>
                            <w:r>
                              <w:rPr/>
                              <w:t>  </w:t>
                            </w:r>
                          </w:p>
                        </w:tc>
                        <w:tc>
                          <w:tcPr>
                            <w:tcW w:w="191" w:type="dxa"/>
                            <w:tcBorders/>
                            <w:shd w:fill="CCF2F8" w:val="clear"/>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shd w:fill="CCF2F8" w:val="clear"/>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1,632,807</w:t>
                            </w:r>
                          </w:p>
                        </w:tc>
                        <w:tc>
                          <w:tcPr>
                            <w:tcW w:w="60" w:type="dxa"/>
                            <w:tcBorders/>
                            <w:shd w:fill="CCF2F8" w:val="clear"/>
                            <w:vAlign w:val="center"/>
                          </w:tcPr>
                          <w:p>
                            <w:pPr>
                              <w:pStyle w:val="TableContents"/>
                              <w:bidi w:val="0"/>
                              <w:spacing w:lineRule="atLeast" w:line="300" w:before="0" w:after="0"/>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315"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RSUs</w:t>
                            </w:r>
                          </w:p>
                        </w:tc>
                        <w:tc>
                          <w:tcPr>
                            <w:tcW w:w="1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Performance to Stock Price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300" w:before="0" w:after="0"/>
                              <w:jc w:val="left"/>
                              <w:rPr>
                                <w:rFonts w:ascii="arial" w:hAnsi="arial"/>
                                <w:color w:val="3E3935"/>
                                <w:sz w:val="16"/>
                              </w:rPr>
                            </w:pPr>
                            <w:r>
                              <w:rPr>
                                <w:rFonts w:ascii="arial" w:hAnsi="arial"/>
                                <w:color w:val="3E3935"/>
                                <w:sz w:val="16"/>
                              </w:rPr>
                              <w:t>$</w:t>
                            </w:r>
                          </w:p>
                        </w:tc>
                        <w:tc>
                          <w:tcPr>
                            <w:tcW w:w="1449" w:type="dxa"/>
                            <w:tcBorders/>
                            <w:vAlign w:val="center"/>
                          </w:tcPr>
                          <w:p>
                            <w:pPr>
                              <w:pStyle w:val="TableContents"/>
                              <w:bidi w:val="0"/>
                              <w:spacing w:lineRule="atLeast" w:line="300" w:before="0" w:after="0"/>
                              <w:jc w:val="right"/>
                              <w:rPr>
                                <w:rFonts w:ascii="arial" w:hAnsi="arial"/>
                                <w:color w:val="3E3935"/>
                                <w:sz w:val="16"/>
                              </w:rPr>
                            </w:pPr>
                            <w:r>
                              <w:rPr>
                                <w:rFonts w:ascii="arial" w:hAnsi="arial"/>
                                <w:color w:val="3E3935"/>
                                <w:sz w:val="16"/>
                              </w:rPr>
                              <w:t>2,000,006</w:t>
                            </w:r>
                          </w:p>
                        </w:tc>
                        <w:tc>
                          <w:tcPr>
                            <w:tcW w:w="60" w:type="dxa"/>
                            <w:tcBorders/>
                            <w:vAlign w:val="center"/>
                          </w:tcPr>
                          <w:p>
                            <w:pPr>
                              <w:pStyle w:val="TableContents"/>
                              <w:bidi w:val="0"/>
                              <w:spacing w:lineRule="atLeast" w:line="300" w:before="0" w:after="0"/>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F2F8" w:val="clear"/>
                            <w:vAlign w:val="center"/>
                          </w:tcPr>
                          <w:p>
                            <w:pPr>
                              <w:pStyle w:val="TableContents"/>
                              <w:bidi w:val="0"/>
                              <w:spacing w:before="0" w:after="283"/>
                              <w:jc w:val="left"/>
                              <w:rPr>
                                <w:sz w:val="4"/>
                                <w:szCs w:val="4"/>
                              </w:rPr>
                            </w:pPr>
                            <w:r>
                              <w:rPr>
                                <w:sz w:val="4"/>
                                <w:szCs w:val="4"/>
                              </w:rPr>
                            </w:r>
                          </w:p>
                        </w:tc>
                        <w:tc>
                          <w:tcPr>
                            <w:tcW w:w="3050" w:type="dxa"/>
                            <w:gridSpan w:val="2"/>
                            <w:tcBorders/>
                            <w:shd w:fill="CCF2F8" w:val="clear"/>
                            <w:vAlign w:val="center"/>
                          </w:tcPr>
                          <w:p>
                            <w:pPr>
                              <w:pStyle w:val="TableContents"/>
                              <w:bidi w:val="0"/>
                              <w:spacing w:before="0" w:after="283"/>
                              <w:jc w:val="left"/>
                              <w:rPr>
                                <w:sz w:val="4"/>
                                <w:szCs w:val="4"/>
                              </w:rPr>
                            </w:pPr>
                            <w:r>
                              <w:rPr>
                                <w:sz w:val="4"/>
                                <w:szCs w:val="4"/>
                              </w:rPr>
                            </w:r>
                          </w:p>
                        </w:tc>
                        <w:tc>
                          <w:tcPr>
                            <w:tcW w:w="1820" w:type="dxa"/>
                            <w:gridSpan w:val="4"/>
                            <w:tcBorders/>
                            <w:shd w:fill="CCF2F8" w:val="clear"/>
                            <w:vAlign w:val="center"/>
                          </w:tcPr>
                          <w:p>
                            <w:pPr>
                              <w:pStyle w:val="TableContents"/>
                              <w:bidi w:val="0"/>
                              <w:spacing w:before="0" w:after="283"/>
                              <w:jc w:val="left"/>
                              <w:rPr>
                                <w:sz w:val="4"/>
                                <w:szCs w:val="4"/>
                              </w:rPr>
                            </w:pPr>
                            <w:r>
                              <w:rPr>
                                <w:sz w:val="4"/>
                                <w:szCs w:val="4"/>
                              </w:rPr>
                            </w:r>
                          </w:p>
                        </w:tc>
                        <w:tc>
                          <w:tcPr>
                            <w:tcW w:w="31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71CE"/>
                            </w:tcBorders>
                            <w:shd w:fill="CCF2F8" w:val="clear"/>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TOTAL</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293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91" w:type="dxa"/>
                            <w:tcBorders>
                              <w:bottom w:val="single" w:sz="6" w:space="0" w:color="0071CE"/>
                            </w:tcBorders>
                            <w:shd w:fill="CCF2F8" w:val="clear"/>
                            <w:tcMar>
                              <w:bottom w:w="60" w:type="dxa"/>
                            </w:tcMar>
                            <w:vAlign w:val="center"/>
                          </w:tcPr>
                          <w:p>
                            <w:pPr>
                              <w:pStyle w:val="TableContents"/>
                              <w:bidi w:val="0"/>
                              <w:spacing w:lineRule="atLeast" w:line="300" w:before="0" w:after="0"/>
                              <w:jc w:val="left"/>
                              <w:rPr>
                                <w:rFonts w:ascii="arial" w:hAnsi="arial"/>
                                <w:b/>
                                <w:color w:val="0071CE"/>
                                <w:sz w:val="16"/>
                              </w:rPr>
                            </w:pPr>
                            <w:r>
                              <w:rPr>
                                <w:rFonts w:ascii="arial" w:hAnsi="arial"/>
                                <w:b/>
                                <w:color w:val="0071CE"/>
                                <w:sz w:val="16"/>
                              </w:rPr>
                              <w:t>$</w:t>
                            </w:r>
                          </w:p>
                        </w:tc>
                        <w:tc>
                          <w:tcPr>
                            <w:tcW w:w="1449" w:type="dxa"/>
                            <w:tcBorders>
                              <w:bottom w:val="single" w:sz="6" w:space="0" w:color="0071CE"/>
                            </w:tcBorders>
                            <w:shd w:fill="CCF2F8" w:val="clear"/>
                            <w:tcMar>
                              <w:bottom w:w="60" w:type="dxa"/>
                            </w:tcMar>
                            <w:vAlign w:val="center"/>
                          </w:tcPr>
                          <w:p>
                            <w:pPr>
                              <w:pStyle w:val="TableContents"/>
                              <w:bidi w:val="0"/>
                              <w:spacing w:lineRule="atLeast" w:line="300" w:before="0" w:after="0"/>
                              <w:jc w:val="right"/>
                              <w:rPr>
                                <w:rFonts w:ascii="arial" w:hAnsi="arial"/>
                                <w:b/>
                                <w:color w:val="0071CE"/>
                                <w:sz w:val="16"/>
                              </w:rPr>
                            </w:pPr>
                            <w:r>
                              <w:rPr>
                                <w:rFonts w:ascii="arial" w:hAnsi="arial"/>
                                <w:b/>
                                <w:color w:val="0071CE"/>
                                <w:sz w:val="16"/>
                              </w:rPr>
                              <w:t>11,281,263</w:t>
                            </w:r>
                          </w:p>
                        </w:tc>
                        <w:tc>
                          <w:tcPr>
                            <w:tcW w:w="60" w:type="dxa"/>
                            <w:tcBorders>
                              <w:bottom w:val="single" w:sz="6" w:space="0" w:color="0071CE"/>
                            </w:tcBorders>
                            <w:shd w:fill="CCF2F8" w:val="clear"/>
                            <w:tcMar>
                              <w:bottom w:w="60" w:type="dxa"/>
                            </w:tcMar>
                            <w:vAlign w:val="center"/>
                          </w:tcPr>
                          <w:p>
                            <w:pPr>
                              <w:pStyle w:val="TableContents"/>
                              <w:bidi w:val="0"/>
                              <w:spacing w:lineRule="atLeast" w:line="300" w:before="0" w:after="0"/>
                              <w:jc w:val="left"/>
                              <w:rPr>
                                <w:color w:val="0071CE"/>
                              </w:rPr>
                            </w:pPr>
                            <w:r>
                              <w:rPr>
                                <w:color w:val="0071CE"/>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2073275" cy="2168525"/>
                <wp:effectExtent l="0" t="0" r="0" b="0"/>
                <wp:wrapSquare wrapText="right"/>
                <wp:docPr id="338" name="Frame18"/>
                <a:graphic xmlns:a="http://schemas.openxmlformats.org/drawingml/2006/main">
                  <a:graphicData uri="http://schemas.microsoft.com/office/word/2010/wordprocessingShape">
                    <wps:wsp>
                      <wps:cNvSpPr txBox="1"/>
                      <wps:spPr>
                        <a:xfrm>
                          <a:off x="0" y="0"/>
                          <a:ext cx="2073275" cy="216852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260350"/>
                                  <wp:effectExtent l="0" t="0" r="0" b="0"/>
                                  <wp:docPr id="339"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70" descr=""/>
                                          <pic:cNvPicPr>
                                            <a:picLocks noChangeAspect="1" noChangeArrowheads="1"/>
                                          </pic:cNvPicPr>
                                        </pic:nvPicPr>
                                        <pic:blipFill>
                                          <a:blip r:embed="rId322"/>
                                          <a:stretch>
                                            <a:fillRect/>
                                          </a:stretch>
                                        </pic:blipFill>
                                        <pic:spPr bwMode="auto">
                                          <a:xfrm>
                                            <a:off x="0" y="0"/>
                                            <a:ext cx="204470" cy="260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3990" cy="331470"/>
                                  <wp:effectExtent l="0" t="0" r="0" b="0"/>
                                  <wp:docPr id="340"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71" descr=""/>
                                          <pic:cNvPicPr>
                                            <a:picLocks noChangeAspect="1" noChangeArrowheads="1"/>
                                          </pic:cNvPicPr>
                                        </pic:nvPicPr>
                                        <pic:blipFill>
                                          <a:blip r:embed="rId323"/>
                                          <a:stretch>
                                            <a:fillRect/>
                                          </a:stretch>
                                        </pic:blipFill>
                                        <pic:spPr bwMode="auto">
                                          <a:xfrm>
                                            <a:off x="0" y="0"/>
                                            <a:ext cx="173990" cy="331470"/>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170.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260350"/>
                            <wp:effectExtent l="0" t="0" r="0" b="0"/>
                            <wp:docPr id="34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70" descr=""/>
                                    <pic:cNvPicPr>
                                      <a:picLocks noChangeAspect="1" noChangeArrowheads="1"/>
                                    </pic:cNvPicPr>
                                  </pic:nvPicPr>
                                  <pic:blipFill>
                                    <a:blip r:embed="rId324"/>
                                    <a:stretch>
                                      <a:fillRect/>
                                    </a:stretch>
                                  </pic:blipFill>
                                  <pic:spPr bwMode="auto">
                                    <a:xfrm>
                                      <a:off x="0" y="0"/>
                                      <a:ext cx="204470" cy="260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3990" cy="331470"/>
                            <wp:effectExtent l="0" t="0" r="0" b="0"/>
                            <wp:docPr id="342"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71" descr=""/>
                                    <pic:cNvPicPr>
                                      <a:picLocks noChangeAspect="1" noChangeArrowheads="1"/>
                                    </pic:cNvPicPr>
                                  </pic:nvPicPr>
                                  <pic:blipFill>
                                    <a:blip r:embed="rId325"/>
                                    <a:stretch>
                                      <a:fillRect/>
                                    </a:stretch>
                                  </pic:blipFill>
                                  <pic:spPr bwMode="auto">
                                    <a:xfrm>
                                      <a:off x="0" y="0"/>
                                      <a:ext cx="173990" cy="331470"/>
                                    </a:xfrm>
                                    <a:prstGeom prst="rect">
                                      <a:avLst/>
                                    </a:prstGeom>
                                  </pic:spPr>
                                </pic:pic>
                              </a:graphicData>
                            </a:graphic>
                          </wp:inline>
                        </w:drawing>
                      </w:r>
                      <w:r>
                        <w:rPr/>
                        <w:t xml:space="preserve"> </w:t>
                      </w:r>
                    </w:p>
                    <w:p>
                      <w:pPr>
                        <w:pStyle w:val="TextBody"/>
                        <w:bidi w:val="0"/>
                        <w:spacing w:before="240" w:after="0"/>
                        <w:jc w:val="left"/>
                        <w:rPr>
                          <w:rFonts w:ascii="arial" w:hAnsi="arial"/>
                          <w:i/>
                          <w:color w:val="3E3935"/>
                          <w:sz w:val="18"/>
                        </w:rPr>
                      </w:pPr>
                      <w:r>
                        <w:rPr>
                          <w:rFonts w:ascii="arial" w:hAnsi="arial"/>
                          <w:i/>
                          <w:color w:val="3E3935"/>
                          <w:sz w:val="18"/>
                        </w:rPr>
                        <w:t xml:space="preserve">Awarded Value reflects total compensation in the Summary Compensation Table, excluding change in pension value and all other compensation. </w:t>
                      </w:r>
                    </w:p>
                  </w:txbxContent>
                </v:textbox>
                <w10:wrap type="square" side="right"/>
              </v:rect>
            </w:pict>
          </mc:Fallback>
        </mc:AlternateContent>
      </w:r>
    </w:p>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61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30" w:name="toc648661_28"/>
      <w:bookmarkEnd w:id="30"/>
      <w:r>
        <w:rPr>
          <w:rFonts w:ascii="arial" w:hAnsi="arial"/>
          <w:b/>
          <w:color w:val="0071CE"/>
          <w:sz w:val="28"/>
        </w:rPr>
        <w:t xml:space="preserve">Compensation Policies and Governance Practices </w:t>
      </w:r>
    </w:p>
    <w:p>
      <w:pPr>
        <w:pStyle w:val="TextBody"/>
        <w:bidi w:val="0"/>
        <w:spacing w:before="360" w:after="0"/>
        <w:jc w:val="left"/>
        <w:rPr>
          <w:rFonts w:ascii="arial" w:hAnsi="arial"/>
          <w:b/>
          <w:color w:val="3E3935"/>
          <w:sz w:val="26"/>
        </w:rPr>
      </w:pPr>
      <w:r>
        <w:rPr>
          <w:rFonts w:ascii="arial" w:hAnsi="arial"/>
          <w:b/>
          <w:color w:val="3E3935"/>
          <w:sz w:val="26"/>
        </w:rPr>
        <w:t xml:space="preserve">Stock Ownership Requirements </w:t>
      </w:r>
    </w:p>
    <w:p>
      <w:pPr>
        <w:pStyle w:val="TextBody"/>
        <w:bidi w:val="0"/>
        <w:spacing w:before="120" w:after="0"/>
        <w:jc w:val="both"/>
        <w:rPr>
          <w:rFonts w:ascii="arial" w:hAnsi="arial"/>
          <w:color w:val="3E3935"/>
          <w:sz w:val="18"/>
        </w:rPr>
      </w:pPr>
      <w:r>
        <w:rPr>
          <w:rFonts w:ascii="arial" w:hAnsi="arial"/>
          <w:color w:val="3E3935"/>
          <w:sz w:val="18"/>
        </w:rPr>
        <w:t xml:space="preserve">The Company requires our senior leaders to own GM stock to align their interests with those of our shareholders. Our stock ownership requirements: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75"/>
        <w:gridCol w:w="110"/>
        <w:gridCol w:w="60"/>
        <w:gridCol w:w="2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Cover all senior leaders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Establish a multiple of each executive’s base salary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Set a five-year time frame to meet ownership requirements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Require senior leaders to continually hold shares to maintain ownership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Allow the opportunity to own either a required number of shares or the total dollar value of shares to meet ownership requirements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Count only actual share holdings and unvested RSUs (i.e., excludes stock options and unvested PSUs)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Include ongoing refreshment of stock ownership requirements after each five-year requirement is met </w:t>
            </w:r>
          </w:p>
        </w:tc>
      </w:tr>
    </w:tbl>
    <w:p>
      <w:pPr>
        <w:pStyle w:val="TextBody"/>
        <w:bidi w:val="0"/>
        <w:spacing w:before="120" w:after="0"/>
        <w:jc w:val="both"/>
        <w:rPr>
          <w:rFonts w:ascii="arial" w:hAnsi="arial"/>
          <w:color w:val="3E3935"/>
          <w:sz w:val="18"/>
        </w:rPr>
      </w:pPr>
      <w:r>
        <w:rPr>
          <w:rFonts w:ascii="arial" w:hAnsi="arial"/>
          <w:color w:val="3E3935"/>
          <w:sz w:val="18"/>
        </w:rPr>
        <w:t xml:space="preserve">The table below shows the stock ownership requirement by level in the Company. As of December 31, 2023, all NEOs have met or are on track to meet stock ownership requirements by their respective deadlines.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08330" cy="142240"/>
            <wp:effectExtent l="0" t="0" r="0" b="0"/>
            <wp:docPr id="343"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72" descr=""/>
                    <pic:cNvPicPr>
                      <a:picLocks noChangeAspect="1" noChangeArrowheads="1"/>
                    </pic:cNvPicPr>
                  </pic:nvPicPr>
                  <pic:blipFill>
                    <a:blip r:embed="rId326"/>
                    <a:stretch>
                      <a:fillRect/>
                    </a:stretch>
                  </pic:blipFill>
                  <pic:spPr bwMode="auto">
                    <a:xfrm>
                      <a:off x="0" y="0"/>
                      <a:ext cx="608330" cy="142240"/>
                    </a:xfrm>
                    <a:prstGeom prst="rect">
                      <a:avLst/>
                    </a:prstGeom>
                  </pic:spPr>
                </pic:pic>
              </a:graphicData>
            </a:graphic>
          </wp:inline>
        </w:drawing>
      </w:r>
      <w:r>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Compensation Risk Assessment </w:t>
      </w:r>
    </w:p>
    <w:p>
      <w:pPr>
        <w:pStyle w:val="TextBody"/>
        <w:bidi w:val="0"/>
        <w:spacing w:before="120" w:after="0"/>
        <w:jc w:val="both"/>
        <w:rPr>
          <w:rFonts w:ascii="arial" w:hAnsi="arial"/>
          <w:color w:val="3E3935"/>
          <w:sz w:val="18"/>
        </w:rPr>
      </w:pPr>
      <w:r>
        <w:rPr>
          <w:rFonts w:ascii="arial" w:hAnsi="arial"/>
          <w:color w:val="3E3935"/>
          <w:sz w:val="18"/>
        </w:rPr>
        <w:t xml:space="preserve">Annually, the Compensation Committee reviews the potential impact of our compensation programs on organizational risk. The Compensation Committee discusses the compensation programs and risk mitigation features when evaluating whether the programs encourage or reward employees for engaging in excessive, imprudent, inappropriate, or unnecessary risk-taking. The Compensation Committee also confirms the alignment of the compensation programs to the Company’s sustainability risks and opportunities. </w:t>
      </w:r>
    </w:p>
    <w:p>
      <w:pPr>
        <w:pStyle w:val="TextBody"/>
        <w:bidi w:val="0"/>
        <w:spacing w:before="120" w:after="0"/>
        <w:jc w:val="both"/>
        <w:rPr>
          <w:rFonts w:ascii="arial" w:hAnsi="arial"/>
          <w:color w:val="3E3935"/>
          <w:sz w:val="18"/>
        </w:rPr>
      </w:pPr>
      <w:r>
        <w:rPr>
          <w:rFonts w:ascii="arial" w:hAnsi="arial"/>
          <w:color w:val="3E3935"/>
          <w:sz w:val="18"/>
        </w:rPr>
        <w:t xml:space="preserve">The annual risk review, completed in December 2023, with assistance from our human resources, audit, and legal organizations, as well as our independent compensation consultant, involved analyzing our current compensation programs in relation to organizational risk. Our analysis concluded that our compensation programs include the following risk mitigation features: </w:t>
      </w:r>
    </w:p>
    <w:p>
      <w:pPr>
        <w:pStyle w:val="TextBody"/>
        <w:bidi w:val="0"/>
        <w:spacing w:before="120" w:after="0"/>
        <w:jc w:val="both"/>
        <w:rPr>
          <w:rFonts w:ascii="arial" w:hAnsi="arial"/>
          <w:sz w:val="18"/>
        </w:rPr>
      </w:pPr>
      <w:r>
        <w:rPr>
          <w:rFonts w:ascii="arial" w:hAnsi="arial"/>
          <w:b/>
          <w:color w:val="0071CE"/>
          <w:sz w:val="18"/>
        </w:rPr>
        <w:t xml:space="preserve">Mix of Pay Elements </w:t>
      </w:r>
      <w:r>
        <w:rPr>
          <w:rFonts w:ascii="arial" w:hAnsi="arial"/>
          <w:color w:val="3E3935"/>
          <w:sz w:val="18"/>
        </w:rPr>
        <w:t xml:space="preserve">– Base salary, STIP, PSUs, and stock options are included in the executive compensation program. </w:t>
      </w:r>
    </w:p>
    <w:p>
      <w:pPr>
        <w:pStyle w:val="TextBody"/>
        <w:bidi w:val="0"/>
        <w:spacing w:before="120" w:after="0"/>
        <w:jc w:val="both"/>
        <w:rPr>
          <w:rFonts w:ascii="arial" w:hAnsi="arial"/>
          <w:sz w:val="18"/>
        </w:rPr>
      </w:pPr>
      <w:r>
        <w:rPr>
          <w:rFonts w:ascii="arial" w:hAnsi="arial"/>
          <w:b/>
          <w:color w:val="0071CE"/>
          <w:sz w:val="18"/>
        </w:rPr>
        <w:t xml:space="preserve">Short-Term and Long-Term Plans </w:t>
      </w:r>
      <w:r>
        <w:rPr>
          <w:rFonts w:ascii="arial" w:hAnsi="arial"/>
          <w:color w:val="3E3935"/>
          <w:sz w:val="18"/>
        </w:rPr>
        <w:t xml:space="preserve">– The mix of our short-term and long-term compensation plans appropriately reward employees while balancing risk through the delayed payment of long-term awards. </w:t>
      </w:r>
    </w:p>
    <w:p>
      <w:pPr>
        <w:pStyle w:val="TextBody"/>
        <w:bidi w:val="0"/>
        <w:spacing w:before="120" w:after="0"/>
        <w:jc w:val="both"/>
        <w:rPr>
          <w:rFonts w:ascii="arial" w:hAnsi="arial"/>
          <w:sz w:val="18"/>
        </w:rPr>
      </w:pPr>
      <w:r>
        <w:rPr>
          <w:rFonts w:ascii="arial" w:hAnsi="arial"/>
          <w:b/>
          <w:color w:val="0071CE"/>
          <w:sz w:val="18"/>
        </w:rPr>
        <w:t xml:space="preserve">Adjustments to Compensation </w:t>
      </w:r>
      <w:r>
        <w:rPr>
          <w:rFonts w:ascii="arial" w:hAnsi="arial"/>
          <w:color w:val="3E3935"/>
          <w:sz w:val="18"/>
        </w:rPr>
        <w:t xml:space="preserve">– Maximum payout caps are in place for incentive compensation, and the Compensation Committee has the ability to apply negative discretion. </w:t>
      </w:r>
    </w:p>
    <w:p>
      <w:pPr>
        <w:pStyle w:val="TextBody"/>
        <w:bidi w:val="0"/>
        <w:spacing w:before="120" w:after="0"/>
        <w:jc w:val="both"/>
        <w:rPr>
          <w:rFonts w:ascii="arial" w:hAnsi="arial"/>
          <w:sz w:val="18"/>
        </w:rPr>
      </w:pPr>
      <w:r>
        <w:rPr>
          <w:rFonts w:ascii="arial" w:hAnsi="arial"/>
          <w:b/>
          <w:color w:val="0071CE"/>
          <w:sz w:val="18"/>
        </w:rPr>
        <w:t xml:space="preserve">Compensation Committee Oversight </w:t>
      </w:r>
      <w:r>
        <w:rPr>
          <w:rFonts w:ascii="arial" w:hAnsi="arial"/>
          <w:color w:val="3E3935"/>
          <w:sz w:val="18"/>
        </w:rPr>
        <w:t xml:space="preserve">– Our Compensation Committee reviews plan performance and approves all executive compensation plans and payouts. </w:t>
      </w:r>
    </w:p>
    <w:p>
      <w:pPr>
        <w:pStyle w:val="TextBody"/>
        <w:bidi w:val="0"/>
        <w:spacing w:before="120" w:after="0"/>
        <w:jc w:val="both"/>
        <w:rPr>
          <w:rFonts w:ascii="arial" w:hAnsi="arial"/>
          <w:sz w:val="18"/>
        </w:rPr>
      </w:pPr>
      <w:r>
        <w:rPr>
          <w:rFonts w:ascii="arial" w:hAnsi="arial"/>
          <w:b/>
          <w:color w:val="0071CE"/>
          <w:sz w:val="18"/>
        </w:rPr>
        <w:t xml:space="preserve">Multiple Performance Measures </w:t>
      </w:r>
      <w:r>
        <w:rPr>
          <w:rFonts w:ascii="arial" w:hAnsi="arial"/>
          <w:color w:val="3E3935"/>
          <w:sz w:val="18"/>
        </w:rPr>
        <w:t xml:space="preserve">– Multiple performance measures work together to balance risk in our incentive compensation plans. </w:t>
      </w:r>
    </w:p>
    <w:p>
      <w:pPr>
        <w:pStyle w:val="TextBody"/>
        <w:bidi w:val="0"/>
        <w:spacing w:before="120" w:after="0"/>
        <w:jc w:val="both"/>
        <w:rPr>
          <w:rFonts w:ascii="arial" w:hAnsi="arial"/>
          <w:sz w:val="18"/>
        </w:rPr>
      </w:pPr>
      <w:r>
        <w:rPr>
          <w:rFonts w:ascii="arial" w:hAnsi="arial"/>
          <w:b/>
          <w:color w:val="0071CE"/>
          <w:sz w:val="18"/>
        </w:rPr>
        <w:t xml:space="preserve">Stock Ownership Requirements </w:t>
      </w:r>
      <w:r>
        <w:rPr>
          <w:rFonts w:ascii="arial" w:hAnsi="arial"/>
          <w:color w:val="3E3935"/>
          <w:sz w:val="18"/>
        </w:rPr>
        <w:t xml:space="preserve">– All senior leaders are subject to stock ownership requirements of at least one times their salary, as described above. </w:t>
      </w:r>
    </w:p>
    <w:p>
      <w:pPr>
        <w:pStyle w:val="TextBody"/>
        <w:bidi w:val="0"/>
        <w:spacing w:before="0" w:after="0"/>
        <w:jc w:val="left"/>
        <w:rPr/>
      </w:pPr>
      <w:r>
        <w:rPr/>
        <w:t> </w:t>
      </w:r>
    </w:p>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62</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44"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73" descr=""/>
                          <pic:cNvPicPr>
                            <a:picLocks noChangeAspect="1" noChangeArrowheads="1"/>
                          </pic:cNvPicPr>
                        </pic:nvPicPr>
                        <pic:blipFill>
                          <a:blip r:embed="rId327"/>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sz w:val="18"/>
        </w:rPr>
      </w:pPr>
      <w:r>
        <w:rPr>
          <w:rFonts w:ascii="arial" w:hAnsi="arial"/>
          <w:b/>
          <w:color w:val="0071CE"/>
          <w:sz w:val="18"/>
        </w:rPr>
        <w:t>Clawback and Cancellation Provisions</w:t>
      </w:r>
      <w:r>
        <w:rPr>
          <w:rFonts w:ascii="arial" w:hAnsi="arial"/>
          <w:color w:val="3E3935"/>
          <w:sz w:val="18"/>
        </w:rPr>
        <w:t xml:space="preserve"> – All awards are subject to our Policy on Recoupment of Incentive Compensation, as described below. In addition, cancellation provisions apply to all outstanding STIP and LTIP awards. </w:t>
      </w:r>
    </w:p>
    <w:p>
      <w:pPr>
        <w:pStyle w:val="TextBody"/>
        <w:bidi w:val="0"/>
        <w:spacing w:before="120" w:after="0"/>
        <w:jc w:val="both"/>
        <w:rPr>
          <w:rFonts w:ascii="arial" w:hAnsi="arial"/>
          <w:color w:val="3E3935"/>
          <w:sz w:val="18"/>
        </w:rPr>
      </w:pPr>
      <w:r>
        <w:rPr>
          <w:rFonts w:ascii="arial" w:hAnsi="arial"/>
          <w:color w:val="3E3935"/>
          <w:sz w:val="18"/>
        </w:rPr>
        <w:t xml:space="preserve">In 2023, the Compensation Committee determined that our compensation programs have sufficient risk mitigation features and do not encourage or reward employees for engaging in excessive, imprudent, inappropriate, or unnecessary risk-taking. Based on the Compensation Committee’s review, it was determined our compensation programs are low risk. </w:t>
      </w:r>
    </w:p>
    <w:p>
      <w:pPr>
        <w:pStyle w:val="TextBody"/>
        <w:bidi w:val="0"/>
        <w:spacing w:before="360" w:after="0"/>
        <w:jc w:val="left"/>
        <w:rPr>
          <w:rFonts w:ascii="arial" w:hAnsi="arial"/>
          <w:b/>
          <w:color w:val="3E3935"/>
          <w:sz w:val="26"/>
        </w:rPr>
      </w:pPr>
      <w:r>
        <w:rPr>
          <w:rFonts w:ascii="arial" w:hAnsi="arial"/>
          <w:b/>
          <w:color w:val="3E3935"/>
          <w:sz w:val="26"/>
        </w:rPr>
        <w:t xml:space="preserve">Policy on Recoupment of Incentive Compensation </w:t>
      </w:r>
    </w:p>
    <w:p>
      <w:pPr>
        <w:pStyle w:val="TextBody"/>
        <w:bidi w:val="0"/>
        <w:spacing w:before="120" w:after="0"/>
        <w:jc w:val="both"/>
        <w:rPr>
          <w:rFonts w:ascii="arial" w:hAnsi="arial"/>
          <w:color w:val="3E3935"/>
          <w:sz w:val="18"/>
        </w:rPr>
      </w:pPr>
      <w:r>
        <w:rPr>
          <w:rFonts w:ascii="arial" w:hAnsi="arial"/>
          <w:color w:val="3E3935"/>
          <w:sz w:val="18"/>
        </w:rPr>
        <w:t xml:space="preserve">Under our Policy on Recoupment of Incentive Compensation (available on our website at </w:t>
      </w:r>
      <w:r>
        <w:rPr>
          <w:rFonts w:ascii="arial" w:hAnsi="arial"/>
          <w:i/>
          <w:color w:val="0071CE"/>
          <w:sz w:val="18"/>
        </w:rPr>
        <w:t>investor.gm.com/governanceandsustainability</w:t>
      </w:r>
      <w:r>
        <w:rPr>
          <w:rFonts w:ascii="arial" w:hAnsi="arial"/>
          <w:color w:val="3E3935"/>
          <w:sz w:val="18"/>
        </w:rPr>
        <w:t xml:space="preserve">, the Compensation Committee is empowered to recoup (“clawback”) compensation paid to executive officers and other executives under its purview. In the event of employee misconduct that causes specified financial or reputational damage, a materially inaccurate performance calculation, or an accounting restatement, the Compensation Committee may seek to clawback paid incentive compensation. The Compensation Committee may also cancel outstanding equity-based awards granted to any covered employee if that employee engages in conduct detrimental to the Company. This policy was expanded in 2020 to cover additional executives and scenarios of misconduct beyond only an accounting restatement. The policy was further updated in 2023 to expand the definition of an accounting restatement to cover material non-compliance with any financial reporting requirement in accordance with securities laws and NYSE listing standards.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3"/>
        <w:gridCol w:w="120"/>
        <w:gridCol w:w="3637"/>
        <w:gridCol w:w="120"/>
        <w:gridCol w:w="2780"/>
        <w:gridCol w:w="120"/>
        <w:gridCol w:w="1815"/>
      </w:tblGrid>
      <w:tr>
        <w:trPr/>
        <w:tc>
          <w:tcPr>
            <w:tcW w:w="1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1613"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3637"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Clawback Policy</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780"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Cancellation and</w:t>
              <w:br/>
              <w:t>Clawback Due to Violation</w:t>
              <w:br/>
              <w:t>of Non-Compete and</w:t>
              <w:br/>
              <w:t>Non-Solicitation Terms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815"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Cancellation of</w:t>
              <w:br/>
              <w:t>Unvested</w:t>
            </w:r>
          </w:p>
          <w:p>
            <w:pPr>
              <w:pStyle w:val="TableContents"/>
              <w:bidi w:val="0"/>
              <w:spacing w:before="0" w:after="20"/>
              <w:jc w:val="center"/>
              <w:rPr>
                <w:rFonts w:ascii="arial" w:hAnsi="arial"/>
                <w:b/>
                <w:color w:val="3E3935"/>
                <w:sz w:val="18"/>
              </w:rPr>
            </w:pPr>
            <w:r>
              <w:rPr>
                <w:rFonts w:ascii="arial" w:hAnsi="arial"/>
                <w:b/>
                <w:color w:val="3E3935"/>
                <w:sz w:val="18"/>
              </w:rPr>
              <w:t>and Outstanding</w:t>
              <w:br/>
              <w:t>Awards</w:t>
            </w:r>
          </w:p>
        </w:tc>
      </w:tr>
      <w:tr>
        <w:trPr/>
        <w:tc>
          <w:tcPr>
            <w:tcW w:w="1613" w:type="dxa"/>
            <w:tcBorders/>
            <w:vAlign w:val="center"/>
          </w:tcPr>
          <w:p>
            <w:pPr>
              <w:pStyle w:val="TableContents"/>
              <w:bidi w:val="0"/>
              <w:spacing w:before="0" w:after="283"/>
              <w:jc w:val="left"/>
              <w:rPr>
                <w:sz w:val="4"/>
                <w:szCs w:val="4"/>
              </w:rPr>
            </w:pPr>
            <w:r>
              <w:rPr>
                <w:sz w:val="4"/>
                <w:szCs w:val="4"/>
              </w:rPr>
            </w:r>
          </w:p>
        </w:tc>
        <w:tc>
          <w:tcPr>
            <w:tcW w:w="3757" w:type="dxa"/>
            <w:gridSpan w:val="2"/>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c>
          <w:tcPr>
            <w:tcW w:w="1935" w:type="dxa"/>
            <w:gridSpan w:val="2"/>
            <w:tcBorders/>
            <w:vAlign w:val="center"/>
          </w:tcPr>
          <w:p>
            <w:pPr>
              <w:pStyle w:val="TableContents"/>
              <w:bidi w:val="0"/>
              <w:spacing w:before="0" w:after="283"/>
              <w:jc w:val="left"/>
              <w:rPr>
                <w:sz w:val="4"/>
                <w:szCs w:val="4"/>
              </w:rPr>
            </w:pPr>
            <w:r>
              <w:rPr>
                <w:sz w:val="4"/>
                <w:szCs w:val="4"/>
              </w:rPr>
            </w:r>
          </w:p>
        </w:tc>
      </w:tr>
      <w:tr>
        <w:trPr/>
        <w:tc>
          <w:tcPr>
            <w:tcW w:w="1613"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Covered Population</w:t>
            </w:r>
          </w:p>
        </w:tc>
        <w:tc>
          <w:tcPr>
            <w:tcW w:w="12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center"/>
              <w:rPr>
                <w:color w:val="3E3935"/>
              </w:rPr>
            </w:pPr>
            <w:r>
              <w:rPr>
                <w:color w:val="3E3935"/>
              </w:rPr>
              <w:t>Executive officers and other executives under the purview of the Compensation Committee</w:t>
            </w:r>
          </w:p>
        </w:tc>
        <w:tc>
          <w:tcPr>
            <w:tcW w:w="1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color w:val="3E3935"/>
              </w:rPr>
            </w:pPr>
            <w:r>
              <w:rPr>
                <w:color w:val="3E3935"/>
              </w:rPr>
              <w:t>Approximately 250</w:t>
              <w:br/>
              <w:t>senior leaders</w:t>
            </w:r>
          </w:p>
        </w:tc>
        <w:tc>
          <w:tcPr>
            <w:tcW w:w="120" w:type="dxa"/>
            <w:tcBorders/>
            <w:vAlign w:val="center"/>
          </w:tcPr>
          <w:p>
            <w:pPr>
              <w:pStyle w:val="TableContents"/>
              <w:bidi w:val="0"/>
              <w:spacing w:before="0" w:after="283"/>
              <w:jc w:val="left"/>
              <w:rPr/>
            </w:pPr>
            <w:r>
              <w:rPr/>
              <w:t>  </w:t>
            </w:r>
          </w:p>
        </w:tc>
        <w:tc>
          <w:tcPr>
            <w:tcW w:w="1815" w:type="dxa"/>
            <w:tcBorders/>
            <w:vAlign w:val="center"/>
          </w:tcPr>
          <w:p>
            <w:pPr>
              <w:pStyle w:val="TableContents"/>
              <w:bidi w:val="0"/>
              <w:spacing w:before="0" w:after="283"/>
              <w:jc w:val="center"/>
              <w:rPr>
                <w:color w:val="3E3935"/>
              </w:rPr>
            </w:pPr>
            <w:r>
              <w:rPr>
                <w:color w:val="3E3935"/>
              </w:rPr>
              <w:t>All employees that</w:t>
              <w:br/>
              <w:t>receive awards through</w:t>
              <w:br/>
              <w:t>STIP or LTIP</w:t>
            </w:r>
          </w:p>
        </w:tc>
      </w:tr>
      <w:tr>
        <w:trPr/>
        <w:tc>
          <w:tcPr>
            <w:tcW w:w="1613" w:type="dxa"/>
            <w:tcBorders/>
            <w:shd w:fill="CCF2F8" w:val="clear"/>
            <w:vAlign w:val="center"/>
          </w:tcPr>
          <w:p>
            <w:pPr>
              <w:pStyle w:val="TableContents"/>
              <w:bidi w:val="0"/>
              <w:spacing w:before="0" w:after="283"/>
              <w:jc w:val="left"/>
              <w:rPr>
                <w:sz w:val="4"/>
                <w:szCs w:val="4"/>
              </w:rPr>
            </w:pPr>
            <w:r>
              <w:rPr>
                <w:sz w:val="4"/>
                <w:szCs w:val="4"/>
              </w:rPr>
            </w:r>
          </w:p>
        </w:tc>
        <w:tc>
          <w:tcPr>
            <w:tcW w:w="3757" w:type="dxa"/>
            <w:gridSpan w:val="2"/>
            <w:tcBorders/>
            <w:shd w:fill="CCF2F8" w:val="clear"/>
            <w:vAlign w:val="center"/>
          </w:tcPr>
          <w:p>
            <w:pPr>
              <w:pStyle w:val="TableContents"/>
              <w:bidi w:val="0"/>
              <w:spacing w:before="0" w:after="283"/>
              <w:jc w:val="left"/>
              <w:rPr>
                <w:sz w:val="4"/>
                <w:szCs w:val="4"/>
              </w:rPr>
            </w:pPr>
            <w:r>
              <w:rPr>
                <w:sz w:val="4"/>
                <w:szCs w:val="4"/>
              </w:rPr>
            </w:r>
          </w:p>
        </w:tc>
        <w:tc>
          <w:tcPr>
            <w:tcW w:w="2900" w:type="dxa"/>
            <w:gridSpan w:val="2"/>
            <w:tcBorders/>
            <w:shd w:fill="CCF2F8" w:val="clear"/>
            <w:vAlign w:val="center"/>
          </w:tcPr>
          <w:p>
            <w:pPr>
              <w:pStyle w:val="TableContents"/>
              <w:bidi w:val="0"/>
              <w:spacing w:before="0" w:after="283"/>
              <w:jc w:val="left"/>
              <w:rPr>
                <w:sz w:val="4"/>
                <w:szCs w:val="4"/>
              </w:rPr>
            </w:pPr>
            <w:r>
              <w:rPr>
                <w:sz w:val="4"/>
                <w:szCs w:val="4"/>
              </w:rPr>
            </w:r>
          </w:p>
        </w:tc>
        <w:tc>
          <w:tcPr>
            <w:tcW w:w="1935"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1613"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Event Applicable</w:t>
            </w:r>
          </w:p>
        </w:tc>
        <w:tc>
          <w:tcPr>
            <w:tcW w:w="120" w:type="dxa"/>
            <w:tcBorders/>
            <w:shd w:fill="CCF2F8" w:val="clear"/>
            <w:vAlign w:val="center"/>
          </w:tcPr>
          <w:p>
            <w:pPr>
              <w:pStyle w:val="TableContents"/>
              <w:bidi w:val="0"/>
              <w:spacing w:before="0" w:after="283"/>
              <w:jc w:val="left"/>
              <w:rPr/>
            </w:pPr>
            <w:r>
              <w:rPr/>
              <w:t>  </w:t>
            </w:r>
          </w:p>
        </w:tc>
        <w:tc>
          <w:tcPr>
            <w:tcW w:w="3637" w:type="dxa"/>
            <w:tcBorders/>
            <w:shd w:fill="CCF2F8" w:val="clear"/>
            <w:vAlign w:val="center"/>
          </w:tcPr>
          <w:p>
            <w:pPr>
              <w:pStyle w:val="TableContents"/>
              <w:bidi w:val="0"/>
              <w:spacing w:before="0" w:after="283"/>
              <w:jc w:val="center"/>
              <w:rPr>
                <w:color w:val="3E3935"/>
              </w:rPr>
            </w:pPr>
            <w:r>
              <w:rPr>
                <w:color w:val="3E3935"/>
              </w:rPr>
              <w:t>Following employee misconduct that causes specified financial or reputational damage, a materially inaccurate performance calculation, or an accounting restatement, as defined by the policy</w:t>
            </w:r>
          </w:p>
        </w:tc>
        <w:tc>
          <w:tcPr>
            <w:tcW w:w="120" w:type="dxa"/>
            <w:tcBorders/>
            <w:shd w:fill="CCF2F8" w:val="clear"/>
            <w:vAlign w:val="center"/>
          </w:tcPr>
          <w:p>
            <w:pPr>
              <w:pStyle w:val="TableContents"/>
              <w:bidi w:val="0"/>
              <w:spacing w:before="0" w:after="283"/>
              <w:jc w:val="left"/>
              <w:rPr/>
            </w:pPr>
            <w:r>
              <w:rPr/>
              <w:t>  </w:t>
            </w:r>
          </w:p>
        </w:tc>
        <w:tc>
          <w:tcPr>
            <w:tcW w:w="2780" w:type="dxa"/>
            <w:tcBorders/>
            <w:shd w:fill="CCF2F8" w:val="clear"/>
            <w:vAlign w:val="center"/>
          </w:tcPr>
          <w:p>
            <w:pPr>
              <w:pStyle w:val="TableContents"/>
              <w:bidi w:val="0"/>
              <w:spacing w:before="0" w:after="283"/>
              <w:jc w:val="center"/>
              <w:rPr>
                <w:color w:val="3E3935"/>
              </w:rPr>
            </w:pPr>
            <w:r>
              <w:rPr>
                <w:color w:val="3E3935"/>
              </w:rPr>
              <w:t>Employee violates</w:t>
              <w:br/>
              <w:t>non-compete or</w:t>
              <w:br/>
              <w:t>non-solicitation terms</w:t>
            </w:r>
          </w:p>
        </w:tc>
        <w:tc>
          <w:tcPr>
            <w:tcW w:w="120" w:type="dxa"/>
            <w:tcBorders/>
            <w:shd w:fill="CCF2F8" w:val="clear"/>
            <w:vAlign w:val="center"/>
          </w:tcPr>
          <w:p>
            <w:pPr>
              <w:pStyle w:val="TableContents"/>
              <w:bidi w:val="0"/>
              <w:spacing w:before="0" w:after="283"/>
              <w:jc w:val="left"/>
              <w:rPr/>
            </w:pPr>
            <w:r>
              <w:rPr/>
              <w:t>  </w:t>
            </w:r>
          </w:p>
        </w:tc>
        <w:tc>
          <w:tcPr>
            <w:tcW w:w="1815" w:type="dxa"/>
            <w:tcBorders/>
            <w:shd w:fill="CCF2F8" w:val="clear"/>
            <w:vAlign w:val="center"/>
          </w:tcPr>
          <w:p>
            <w:pPr>
              <w:pStyle w:val="TableContents"/>
              <w:bidi w:val="0"/>
              <w:spacing w:before="0" w:after="283"/>
              <w:jc w:val="center"/>
              <w:rPr>
                <w:color w:val="3E3935"/>
              </w:rPr>
            </w:pPr>
            <w:r>
              <w:rPr>
                <w:color w:val="3E3935"/>
              </w:rPr>
              <w:t>Employee engages in conduct deemed detrimental to the Company</w:t>
            </w:r>
          </w:p>
        </w:tc>
      </w:tr>
      <w:tr>
        <w:trPr/>
        <w:tc>
          <w:tcPr>
            <w:tcW w:w="1613" w:type="dxa"/>
            <w:tcBorders/>
            <w:vAlign w:val="center"/>
          </w:tcPr>
          <w:p>
            <w:pPr>
              <w:pStyle w:val="TableContents"/>
              <w:bidi w:val="0"/>
              <w:spacing w:before="0" w:after="283"/>
              <w:jc w:val="left"/>
              <w:rPr>
                <w:sz w:val="4"/>
                <w:szCs w:val="4"/>
              </w:rPr>
            </w:pPr>
            <w:r>
              <w:rPr>
                <w:sz w:val="4"/>
                <w:szCs w:val="4"/>
              </w:rPr>
            </w:r>
          </w:p>
        </w:tc>
        <w:tc>
          <w:tcPr>
            <w:tcW w:w="3757" w:type="dxa"/>
            <w:gridSpan w:val="2"/>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c>
          <w:tcPr>
            <w:tcW w:w="1935" w:type="dxa"/>
            <w:gridSpan w:val="2"/>
            <w:tcBorders/>
            <w:vAlign w:val="center"/>
          </w:tcPr>
          <w:p>
            <w:pPr>
              <w:pStyle w:val="TableContents"/>
              <w:bidi w:val="0"/>
              <w:spacing w:before="0" w:after="283"/>
              <w:jc w:val="left"/>
              <w:rPr>
                <w:sz w:val="4"/>
                <w:szCs w:val="4"/>
              </w:rPr>
            </w:pPr>
            <w:r>
              <w:rPr>
                <w:sz w:val="4"/>
                <w:szCs w:val="4"/>
              </w:rPr>
            </w:r>
          </w:p>
        </w:tc>
      </w:tr>
      <w:tr>
        <w:trPr/>
        <w:tc>
          <w:tcPr>
            <w:tcW w:w="1613"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Awards Subject to Cancellation, Forfeiture, and/or Recoupment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3637" w:type="dxa"/>
            <w:tcBorders>
              <w:bottom w:val="single" w:sz="6" w:space="0" w:color="0071CE"/>
            </w:tcBorders>
            <w:tcMar>
              <w:bottom w:w="80" w:type="dxa"/>
            </w:tcMar>
            <w:vAlign w:val="center"/>
          </w:tcPr>
          <w:p>
            <w:pPr>
              <w:pStyle w:val="TableContents"/>
              <w:bidi w:val="0"/>
              <w:spacing w:before="0" w:after="283"/>
              <w:jc w:val="center"/>
              <w:rPr>
                <w:color w:val="3E3935"/>
              </w:rPr>
            </w:pPr>
            <w:r>
              <w:rPr>
                <w:color w:val="3E3935"/>
              </w:rPr>
              <w:t>STIP, PSUs, RSUs,</w:t>
              <w:br/>
              <w:t>and Stock Options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780" w:type="dxa"/>
            <w:tcBorders>
              <w:bottom w:val="single" w:sz="6" w:space="0" w:color="0071CE"/>
            </w:tcBorders>
            <w:tcMar>
              <w:bottom w:w="80" w:type="dxa"/>
            </w:tcMar>
            <w:vAlign w:val="center"/>
          </w:tcPr>
          <w:p>
            <w:pPr>
              <w:pStyle w:val="TableContents"/>
              <w:bidi w:val="0"/>
              <w:spacing w:before="0" w:after="283"/>
              <w:jc w:val="center"/>
              <w:rPr>
                <w:color w:val="3E3935"/>
              </w:rPr>
            </w:pPr>
            <w:r>
              <w:rPr>
                <w:color w:val="3E3935"/>
              </w:rPr>
              <w:t>PSUs, RSUs, and</w:t>
              <w:br/>
              <w:t>Stock Options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815" w:type="dxa"/>
            <w:tcBorders>
              <w:bottom w:val="single" w:sz="6" w:space="0" w:color="0071CE"/>
            </w:tcBorders>
            <w:tcMar>
              <w:bottom w:w="80" w:type="dxa"/>
            </w:tcMar>
            <w:vAlign w:val="center"/>
          </w:tcPr>
          <w:p>
            <w:pPr>
              <w:pStyle w:val="TableContents"/>
              <w:bidi w:val="0"/>
              <w:spacing w:before="0" w:after="283"/>
              <w:jc w:val="center"/>
              <w:rPr>
                <w:color w:val="3E3935"/>
              </w:rPr>
            </w:pPr>
            <w:r>
              <w:rPr>
                <w:color w:val="3E3935"/>
              </w:rPr>
              <w:t>STIP, PSUs, RSUs,</w:t>
              <w:br/>
              <w:t>and Stock Options</w:t>
            </w:r>
          </w:p>
        </w:tc>
      </w:tr>
    </w:tbl>
    <w:p>
      <w:pPr>
        <w:pStyle w:val="TextBody"/>
        <w:bidi w:val="0"/>
        <w:spacing w:before="360" w:after="0"/>
        <w:jc w:val="left"/>
        <w:rPr>
          <w:rFonts w:ascii="arial" w:hAnsi="arial"/>
          <w:b/>
          <w:color w:val="3E3935"/>
          <w:sz w:val="26"/>
        </w:rPr>
      </w:pPr>
      <w:r>
        <w:rPr>
          <w:rFonts w:ascii="arial" w:hAnsi="arial"/>
          <w:b/>
          <w:color w:val="3E3935"/>
          <w:sz w:val="26"/>
        </w:rPr>
        <w:t xml:space="preserve">Trading GM Securities </w:t>
      </w:r>
    </w:p>
    <w:p>
      <w:pPr>
        <w:pStyle w:val="TextBody"/>
        <w:bidi w:val="0"/>
        <w:spacing w:before="120" w:after="0"/>
        <w:jc w:val="both"/>
        <w:rPr>
          <w:rFonts w:ascii="arial" w:hAnsi="arial"/>
          <w:color w:val="3E3935"/>
          <w:sz w:val="18"/>
        </w:rPr>
      </w:pPr>
      <w:r>
        <w:rPr>
          <w:rFonts w:ascii="arial" w:hAnsi="arial"/>
          <w:color w:val="3E3935"/>
          <w:sz w:val="18"/>
        </w:rPr>
        <w:t xml:space="preserve">Our Insider Trading Policy, which applies to (i) directors, executive officers, and employees of GM, (ii) certain of such persons’ family members, and (iii) GM contractors and consultants who have access to material nonpublic information concerning GM (collectively, “Insiders”), prohibits Insiders from buying or selling GM securities when in possession of material nonpublic information and during other closed periods. Any sale or purchase of common stock by directors, executive officers, and all other senior leaders must be made during pre-established periods after receiving preclearance by a member of the GM legal staff or pursuant to a pre-approved and pre-established Rule 10b5-1 trading plan. </w:t>
      </w:r>
    </w:p>
    <w:p>
      <w:pPr>
        <w:pStyle w:val="TextBody"/>
        <w:bidi w:val="0"/>
        <w:spacing w:before="120" w:after="0"/>
        <w:jc w:val="both"/>
        <w:rPr>
          <w:rFonts w:ascii="arial" w:hAnsi="arial"/>
          <w:color w:val="3E3935"/>
          <w:sz w:val="18"/>
        </w:rPr>
      </w:pPr>
      <w:r>
        <w:rPr>
          <w:rFonts w:ascii="arial" w:hAnsi="arial"/>
          <w:color w:val="3E3935"/>
          <w:sz w:val="18"/>
        </w:rPr>
        <w:t>Trading in GM derivatives (i.e., puts or calls), engaging in short sales or otherwise engaging in hedging activities, and pledging of GM securities is prohibited for all Insiders. This policy is posted on our website at</w:t>
      </w:r>
      <w:r>
        <w:rPr>
          <w:rFonts w:ascii="arial" w:hAnsi="arial"/>
          <w:color w:val="0071CE"/>
          <w:sz w:val="18"/>
        </w:rPr>
        <w:t xml:space="preserve"> </w:t>
      </w:r>
      <w:r>
        <w:rPr>
          <w:rFonts w:ascii="arial" w:hAnsi="arial"/>
          <w:i/>
          <w:color w:val="0071CE"/>
          <w:sz w:val="18"/>
        </w:rPr>
        <w:t>investor.gm.com/governanceandsustainability</w:t>
      </w:r>
      <w:r>
        <w:rPr>
          <w:rFonts w:ascii="arial" w:hAnsi="arial"/>
          <w:color w:val="3E3935"/>
          <w:sz w:val="18"/>
        </w:rPr>
        <w:t xml:space="preserve">. </w:t>
      </w:r>
    </w:p>
    <w:p>
      <w:pPr>
        <w:pStyle w:val="TextBody"/>
        <w:bidi w:val="0"/>
        <w:spacing w:before="360" w:after="0"/>
        <w:jc w:val="left"/>
        <w:rPr>
          <w:rFonts w:ascii="arial" w:hAnsi="arial"/>
          <w:b/>
          <w:color w:val="3E3935"/>
          <w:sz w:val="26"/>
        </w:rPr>
      </w:pPr>
      <w:r>
        <w:rPr>
          <w:rFonts w:ascii="arial" w:hAnsi="arial"/>
          <w:b/>
          <w:color w:val="3E3935"/>
          <w:sz w:val="26"/>
        </w:rPr>
        <w:t xml:space="preserve">Tax Considerations </w:t>
      </w:r>
    </w:p>
    <w:p>
      <w:pPr>
        <w:pStyle w:val="TextBody"/>
        <w:bidi w:val="0"/>
        <w:spacing w:before="120" w:after="0"/>
        <w:jc w:val="both"/>
        <w:rPr>
          <w:rFonts w:ascii="arial" w:hAnsi="arial"/>
          <w:color w:val="3E3935"/>
          <w:sz w:val="18"/>
        </w:rPr>
      </w:pPr>
      <w:r>
        <w:rPr>
          <w:rFonts w:ascii="arial" w:hAnsi="arial"/>
          <w:color w:val="3E3935"/>
          <w:sz w:val="18"/>
        </w:rPr>
        <w:t xml:space="preserve">The Tax Cuts and Jobs Act enacted on December 22, 2017, modified IRC Section 162(m) to, among other things, limit the federal tax deduction for annual individual compensation paid to $1 million for NEOs beginning with the 2018 tax year. Previously, compensation paid in excess of $1 million could be deducted if it was performance-based. The Tax Cuts and Jobs Act includes a transition relief rule in which these changes do not apply to compensation payable pursuant to a written binding contract in effect on November 2, 2017, and is not materially modified after that date. To the extent it is applicable to our existing arrangements, the Compensation Committee may avail itself of this rule. The Compensation Committee continues to closely align executive pay with performance, regardless of the performance-based exception being removed under IRC Section 162(m). </w:t>
      </w:r>
    </w:p>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63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Compensation Committee and Consultant Independence </w:t>
      </w:r>
    </w:p>
    <w:p>
      <w:pPr>
        <w:pStyle w:val="TextBody"/>
        <w:bidi w:val="0"/>
        <w:spacing w:before="120" w:after="0"/>
        <w:jc w:val="both"/>
        <w:rPr>
          <w:rFonts w:ascii="arial" w:hAnsi="arial"/>
          <w:color w:val="3E3935"/>
          <w:sz w:val="18"/>
        </w:rPr>
      </w:pPr>
      <w:r>
        <w:rPr>
          <w:rFonts w:ascii="arial" w:hAnsi="arial"/>
          <w:color w:val="3E3935"/>
          <w:sz w:val="18"/>
        </w:rPr>
        <w:t xml:space="preserve">Our Compensation Committee is composed entirely of independent directors as determined by the Board under NYSE and SEC rules, and as defined for various regulatory purposes. Under its charter, the Compensation Committee has the authority to hire outside consultants and advisors at the Company’s expense. </w:t>
      </w:r>
    </w:p>
    <w:p>
      <w:pPr>
        <w:pStyle w:val="TextBody"/>
        <w:bidi w:val="0"/>
        <w:spacing w:before="120" w:after="0"/>
        <w:jc w:val="both"/>
        <w:rPr>
          <w:rFonts w:ascii="arial" w:hAnsi="arial"/>
          <w:color w:val="3E3935"/>
          <w:sz w:val="18"/>
        </w:rPr>
      </w:pPr>
      <w:r>
        <w:rPr>
          <w:rFonts w:ascii="arial" w:hAnsi="arial"/>
          <w:color w:val="3E3935"/>
          <w:sz w:val="18"/>
        </w:rPr>
        <w:t xml:space="preserve">The Compensation Committee retained the services of Frederic W. Cook &amp; Co., Inc. (“FW Cook”) from January to August of 2023, and then transitioned to Semler Brossy Consulting Group LLC (“Semler Brossy”), for advice related to the compensation of NEOs and other executive compensation-related matters. FW Cook and Semler Brossy take direction from, and are solely responsible to, the Compensation Committee and do not provide services to the Company’s management. A representative from FW Cook or Semler Brossy attended all Compensation Committee meetings, either in person or virtually, consulted with and advised the Compensation Committee members on executive compensation, including the structure and amounts of various pay elements, and developed executive benchmarking data. The Compensation Committee is also aided in its deliberations by in-house legal counsel. </w:t>
      </w:r>
    </w:p>
    <w:p>
      <w:pPr>
        <w:pStyle w:val="TextBody"/>
        <w:bidi w:val="0"/>
        <w:spacing w:before="120" w:after="0"/>
        <w:jc w:val="both"/>
        <w:rPr>
          <w:rFonts w:ascii="arial" w:hAnsi="arial"/>
          <w:color w:val="3E3935"/>
          <w:sz w:val="18"/>
        </w:rPr>
      </w:pPr>
      <w:r>
        <w:rPr>
          <w:rFonts w:ascii="arial" w:hAnsi="arial"/>
          <w:color w:val="3E3935"/>
          <w:sz w:val="18"/>
        </w:rPr>
        <w:t xml:space="preserve">The Compensation Committee annually reviews the performance of its compensation consultant and considers the following factors when assessing consultant independence in accordance with NYSE standards: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Services provided to GM management outside the services provided to the Compensation Committee;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Fees paid as a percentage of the compensation consultants’ total revenue;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Policies and procedures designed to prevent conflicts of interest;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Any business or personal relationships between members of the Compensation Committee and the compensation consultant;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GM stock ownership by employees of the compensation consultant; and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Any business or personal relationships between GM and the compensation consultant. </w:t>
            </w:r>
          </w:p>
        </w:tc>
      </w:tr>
    </w:tbl>
    <w:p>
      <w:pPr>
        <w:pStyle w:val="TextBody"/>
        <w:bidi w:val="0"/>
        <w:spacing w:before="240" w:after="0"/>
        <w:jc w:val="both"/>
        <w:rPr>
          <w:rFonts w:ascii="arial" w:hAnsi="arial"/>
          <w:color w:val="3E3935"/>
          <w:sz w:val="18"/>
        </w:rPr>
      </w:pPr>
      <w:r>
        <w:rPr>
          <w:rFonts w:ascii="arial" w:hAnsi="arial"/>
          <w:color w:val="3E3935"/>
          <w:sz w:val="18"/>
        </w:rPr>
        <w:t xml:space="preserve">After reviewing the performance and independence of its consultant, the Compensation Committee determined both FW Cook and Semler Brossy were independent based on the standards above. </w:t>
      </w:r>
    </w:p>
    <w:p>
      <w:pPr>
        <w:pStyle w:val="TextBody"/>
        <w:bidi w:val="0"/>
        <w:spacing w:before="360" w:after="0"/>
        <w:jc w:val="left"/>
        <w:rPr>
          <w:rFonts w:ascii="arial" w:hAnsi="arial"/>
          <w:b/>
          <w:color w:val="3E3935"/>
          <w:sz w:val="26"/>
        </w:rPr>
      </w:pPr>
      <w:r>
        <w:rPr>
          <w:rFonts w:ascii="arial" w:hAnsi="arial"/>
          <w:b/>
          <w:color w:val="3E3935"/>
          <w:sz w:val="26"/>
        </w:rPr>
        <w:t xml:space="preserve">Employment and Termination Agreements </w:t>
      </w:r>
    </w:p>
    <w:p>
      <w:pPr>
        <w:pStyle w:val="TextBody"/>
        <w:bidi w:val="0"/>
        <w:spacing w:before="120" w:after="0"/>
        <w:jc w:val="both"/>
        <w:rPr>
          <w:rFonts w:ascii="arial" w:hAnsi="arial"/>
          <w:color w:val="3E3935"/>
          <w:sz w:val="18"/>
        </w:rPr>
      </w:pPr>
      <w:r>
        <w:rPr>
          <w:rFonts w:ascii="arial" w:hAnsi="arial"/>
          <w:color w:val="3E3935"/>
          <w:sz w:val="18"/>
        </w:rPr>
        <w:t xml:space="preserve">The Company has no employment or pre-defined termination agreements with any of our 2023 NEOs. All NEOs participate in the General Motors LLC U.S. Executive Severance Program filed as an exhibit to the Company’s 2023 Form 10-K. </w:t>
      </w:r>
    </w:p>
    <w:p>
      <w:pPr>
        <w:pStyle w:val="TextBody"/>
        <w:bidi w:val="0"/>
        <w:spacing w:before="0" w:after="0"/>
        <w:jc w:val="left"/>
        <w:rPr/>
      </w:pPr>
      <w:r>
        <w:rPr/>
        <w:t> </w:t>
      </w:r>
    </w:p>
    <w:tbl>
      <w:tblPr>
        <w:tblW w:w="6308" w:type="dxa"/>
        <w:jc w:val="left"/>
        <w:tblInd w:w="0" w:type="dxa"/>
        <w:tblLayout w:type="fixed"/>
        <w:tblCellMar>
          <w:top w:w="0" w:type="dxa"/>
          <w:left w:w="0" w:type="dxa"/>
          <w:bottom w:w="0" w:type="dxa"/>
          <w:right w:w="0" w:type="dxa"/>
        </w:tblCellMar>
      </w:tblPr>
      <w:tblGrid>
        <w:gridCol w:w="275"/>
        <w:gridCol w:w="60"/>
        <w:gridCol w:w="192"/>
        <w:gridCol w:w="60"/>
        <w:gridCol w:w="548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64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45"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74" descr=""/>
                          <pic:cNvPicPr>
                            <a:picLocks noChangeAspect="1" noChangeArrowheads="1"/>
                          </pic:cNvPicPr>
                        </pic:nvPicPr>
                        <pic:blipFill>
                          <a:blip r:embed="rId328"/>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31" w:name="toc648661_29"/>
      <w:bookmarkEnd w:id="31"/>
      <w:r>
        <w:rPr>
          <w:rFonts w:ascii="arial" w:hAnsi="arial"/>
          <w:b/>
          <w:color w:val="0071CE"/>
          <w:sz w:val="28"/>
        </w:rPr>
        <w:t xml:space="preserve">Compensation Committee Report </w:t>
      </w:r>
    </w:p>
    <w:p>
      <w:pPr>
        <w:pStyle w:val="TextBody"/>
        <w:bidi w:val="0"/>
        <w:spacing w:before="120" w:after="0"/>
        <w:jc w:val="both"/>
        <w:rPr>
          <w:rFonts w:ascii="arial" w:hAnsi="arial"/>
          <w:color w:val="3E3935"/>
          <w:sz w:val="18"/>
        </w:rPr>
      </w:pPr>
      <w:r>
        <w:rPr>
          <w:rFonts w:ascii="arial" w:hAnsi="arial"/>
          <w:color w:val="3E3935"/>
          <w:sz w:val="18"/>
        </w:rPr>
        <w:t xml:space="preserve">The Compensation Committee has reviewed and discussed with management the Compensation Discussion and Analysis and, based on that review and discussion, has recommended to the Board of Directors that the Compensation Discussion and Analysis be included in this Proxy Statement and incorporated by reference into the Company’s Annual Report on Form 10-K for the year ended December 31, 2023, as filed with the U.S. Securities and Exchange Commission on January 30, 2024. </w:t>
      </w:r>
    </w:p>
    <w:p>
      <w:pPr>
        <w:pStyle w:val="TextBody"/>
        <w:bidi w:val="0"/>
        <w:spacing w:before="240" w:after="0"/>
        <w:jc w:val="center"/>
        <w:rPr>
          <w:rFonts w:ascii="arial" w:hAnsi="arial"/>
          <w:b/>
          <w:color w:val="3E3935"/>
          <w:sz w:val="18"/>
        </w:rPr>
      </w:pPr>
      <w:r>
        <w:rPr>
          <w:rFonts w:ascii="arial" w:hAnsi="arial"/>
          <w:b/>
          <w:color w:val="3E3935"/>
          <w:sz w:val="18"/>
        </w:rPr>
        <w:t xml:space="preserve">Compensation Committee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940"/>
        <w:gridCol w:w="60"/>
        <w:gridCol w:w="141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center"/>
              <w:rPr>
                <w:rFonts w:ascii="arial" w:hAnsi="arial"/>
                <w:color w:val="3E3935"/>
                <w:sz w:val="18"/>
              </w:rPr>
            </w:pPr>
            <w:r>
              <w:rPr>
                <w:rFonts w:ascii="arial" w:hAnsi="arial"/>
                <w:color w:val="3E3935"/>
                <w:sz w:val="18"/>
              </w:rPr>
              <w:t>Wesley G. Bush (Chair)</w:t>
            </w:r>
          </w:p>
          <w:p>
            <w:pPr>
              <w:pStyle w:val="TableContents"/>
              <w:bidi w:val="0"/>
              <w:spacing w:before="0" w:after="20"/>
              <w:jc w:val="center"/>
              <w:rPr>
                <w:rFonts w:ascii="arial" w:hAnsi="arial"/>
                <w:color w:val="3E3935"/>
                <w:sz w:val="18"/>
              </w:rPr>
            </w:pPr>
            <w:r>
              <w:rPr>
                <w:rFonts w:ascii="arial" w:hAnsi="arial"/>
                <w:color w:val="3E3935"/>
                <w:sz w:val="18"/>
              </w:rPr>
              <w:t>Aneel Bhusri</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center"/>
              <w:rPr>
                <w:rFonts w:ascii="arial" w:hAnsi="arial"/>
                <w:color w:val="3E3935"/>
                <w:sz w:val="18"/>
              </w:rPr>
            </w:pPr>
            <w:r>
              <w:rPr>
                <w:rFonts w:ascii="arial" w:hAnsi="arial"/>
                <w:color w:val="3E3935"/>
                <w:sz w:val="18"/>
              </w:rPr>
              <w:t>Joseph Jimenez</w:t>
            </w:r>
          </w:p>
          <w:p>
            <w:pPr>
              <w:pStyle w:val="TableContents"/>
              <w:bidi w:val="0"/>
              <w:spacing w:before="0" w:after="20"/>
              <w:jc w:val="center"/>
              <w:rPr>
                <w:rFonts w:ascii="arial" w:hAnsi="arial"/>
                <w:color w:val="3E3935"/>
                <w:sz w:val="18"/>
              </w:rPr>
            </w:pPr>
            <w:r>
              <w:rPr>
                <w:rFonts w:ascii="arial" w:hAnsi="arial"/>
                <w:color w:val="3E3935"/>
                <w:sz w:val="18"/>
              </w:rPr>
              <w:t>Patricia F. Russo</w:t>
            </w:r>
          </w:p>
        </w:tc>
      </w:tr>
    </w:tbl>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38"/>
        <w:gridCol w:w="60"/>
        <w:gridCol w:w="23"/>
        <w:gridCol w:w="60"/>
        <w:gridCol w:w="548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center"/>
              <w:rPr>
                <w:b/>
                <w:color w:val="3E3935"/>
              </w:rPr>
            </w:pPr>
            <w:r>
              <w:rPr>
                <w:b/>
                <w:color w:val="3E3935"/>
              </w:rPr>
              <w:t>COMPENSATION DISCUSSION AND ANALYSIS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65</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bookmarkStart w:id="32" w:name="toc648661_30"/>
      <w:bookmarkEnd w:id="32"/>
      <w:r>
        <w:rPr>
          <w:rFonts w:ascii="arial" w:hAnsi="arial"/>
          <w:color w:val="3E3935"/>
          <w:sz w:val="64"/>
        </w:rPr>
        <w:t xml:space="preserve">Executive Compensation Tables </w:t>
      </w:r>
    </w:p>
    <w:p>
      <w:pPr>
        <w:pStyle w:val="TextBody"/>
        <w:bidi w:val="0"/>
        <w:spacing w:before="480" w:after="0"/>
        <w:jc w:val="left"/>
        <w:rPr>
          <w:rFonts w:ascii="arial" w:hAnsi="arial"/>
          <w:b/>
          <w:color w:val="0071CE"/>
          <w:sz w:val="28"/>
        </w:rPr>
      </w:pPr>
      <w:bookmarkStart w:id="33" w:name="toc648661_31"/>
      <w:bookmarkEnd w:id="33"/>
      <w:r>
        <w:rPr>
          <w:rFonts w:ascii="arial" w:hAnsi="arial"/>
          <w:b/>
          <w:color w:val="0071CE"/>
          <w:sz w:val="28"/>
        </w:rPr>
        <w:t xml:space="preserve">Summary Compensation Table </w:t>
      </w:r>
    </w:p>
    <w:p>
      <w:pPr>
        <w:pStyle w:val="TextBody"/>
        <w:bidi w:val="0"/>
        <w:spacing w:before="0" w:after="0"/>
        <w:jc w:val="left"/>
        <w:rPr/>
      </w:pPr>
      <w:r>
        <w:rPr/>
        <w:t> </w:t>
      </w:r>
    </w:p>
    <w:tbl>
      <w:tblPr>
        <w:tblW w:w="11660" w:type="dxa"/>
        <w:jc w:val="left"/>
        <w:tblInd w:w="0" w:type="dxa"/>
        <w:tblLayout w:type="fixed"/>
        <w:tblCellMar>
          <w:top w:w="0" w:type="dxa"/>
          <w:left w:w="0" w:type="dxa"/>
          <w:bottom w:w="0" w:type="dxa"/>
          <w:right w:w="0" w:type="dxa"/>
        </w:tblCellMar>
      </w:tblPr>
      <w:tblGrid>
        <w:gridCol w:w="815"/>
        <w:gridCol w:w="60"/>
        <w:gridCol w:w="60"/>
        <w:gridCol w:w="500"/>
        <w:gridCol w:w="60"/>
        <w:gridCol w:w="60"/>
        <w:gridCol w:w="60"/>
        <w:gridCol w:w="980"/>
        <w:gridCol w:w="60"/>
        <w:gridCol w:w="60"/>
        <w:gridCol w:w="60"/>
        <w:gridCol w:w="980"/>
        <w:gridCol w:w="60"/>
        <w:gridCol w:w="60"/>
        <w:gridCol w:w="60"/>
        <w:gridCol w:w="1100"/>
        <w:gridCol w:w="60"/>
        <w:gridCol w:w="60"/>
        <w:gridCol w:w="60"/>
        <w:gridCol w:w="980"/>
        <w:gridCol w:w="60"/>
        <w:gridCol w:w="60"/>
        <w:gridCol w:w="64"/>
        <w:gridCol w:w="1051"/>
        <w:gridCol w:w="60"/>
        <w:gridCol w:w="60"/>
        <w:gridCol w:w="86"/>
        <w:gridCol w:w="984"/>
        <w:gridCol w:w="60"/>
        <w:gridCol w:w="60"/>
        <w:gridCol w:w="90"/>
        <w:gridCol w:w="1475"/>
        <w:gridCol w:w="60"/>
        <w:gridCol w:w="60"/>
        <w:gridCol w:w="60"/>
        <w:gridCol w:w="1100"/>
        <w:gridCol w:w="7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0071CE"/>
            </w:tcBorders>
            <w:tcMar>
              <w:bottom w:w="100" w:type="dxa"/>
            </w:tcMar>
            <w:vAlign w:val="center"/>
          </w:tcPr>
          <w:p>
            <w:pPr>
              <w:pStyle w:val="TableContents"/>
              <w:bidi w:val="0"/>
              <w:spacing w:before="0" w:after="0"/>
              <w:jc w:val="left"/>
              <w:rPr>
                <w:rFonts w:ascii="arial" w:hAnsi="arial"/>
                <w:b/>
                <w:color w:val="3E3935"/>
                <w:sz w:val="15"/>
              </w:rPr>
            </w:pPr>
            <w:r>
              <w:rPr>
                <w:rFonts w:ascii="arial" w:hAnsi="arial"/>
                <w:b/>
                <w:color w:val="3E3935"/>
                <w:sz w:val="15"/>
              </w:rPr>
              <w:t>Name and</w:t>
            </w:r>
          </w:p>
          <w:p>
            <w:pPr>
              <w:pStyle w:val="TableContents"/>
              <w:bidi w:val="0"/>
              <w:spacing w:before="0" w:after="0"/>
              <w:jc w:val="left"/>
              <w:rPr>
                <w:rFonts w:ascii="arial" w:hAnsi="arial"/>
                <w:b/>
                <w:color w:val="3E3935"/>
                <w:sz w:val="15"/>
              </w:rPr>
            </w:pPr>
            <w:r>
              <w:rPr>
                <w:rFonts w:ascii="arial" w:hAnsi="arial"/>
                <w:b/>
                <w:color w:val="3E3935"/>
                <w:sz w:val="15"/>
              </w:rPr>
              <w:t>Principal</w:t>
            </w:r>
          </w:p>
          <w:p>
            <w:pPr>
              <w:pStyle w:val="TableContents"/>
              <w:bidi w:val="0"/>
              <w:spacing w:before="0" w:after="20"/>
              <w:jc w:val="left"/>
              <w:rPr>
                <w:rFonts w:ascii="arial" w:hAnsi="arial"/>
                <w:b/>
                <w:color w:val="3E3935"/>
                <w:sz w:val="15"/>
              </w:rPr>
            </w:pPr>
            <w:r>
              <w:rPr>
                <w:rFonts w:ascii="arial" w:hAnsi="arial"/>
                <w:b/>
                <w:color w:val="3E3935"/>
                <w:sz w:val="15"/>
              </w:rPr>
              <w:t>Position(1)</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71CE"/>
            </w:tcBorders>
            <w:tcMar>
              <w:bottom w:w="100" w:type="dxa"/>
            </w:tcMar>
            <w:vAlign w:val="center"/>
          </w:tcPr>
          <w:p>
            <w:pPr>
              <w:pStyle w:val="TableContents"/>
              <w:bidi w:val="0"/>
              <w:spacing w:before="0" w:after="283"/>
              <w:jc w:val="center"/>
              <w:rPr>
                <w:b/>
                <w:color w:val="3E3935"/>
              </w:rPr>
            </w:pPr>
            <w:r>
              <w:rPr>
                <w:b/>
                <w:color w:val="3E3935"/>
              </w:rPr>
              <w:t>Year</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71CE"/>
            </w:tcBorders>
            <w:tcMar>
              <w:bottom w:w="100" w:type="dxa"/>
            </w:tcMar>
            <w:vAlign w:val="center"/>
          </w:tcPr>
          <w:p>
            <w:pPr>
              <w:pStyle w:val="TableContents"/>
              <w:bidi w:val="0"/>
              <w:spacing w:before="0" w:after="283"/>
              <w:jc w:val="center"/>
              <w:rPr>
                <w:b/>
                <w:color w:val="3E3935"/>
              </w:rPr>
            </w:pPr>
            <w:r>
              <w:rPr>
                <w:b/>
                <w:color w:val="3E3935"/>
              </w:rPr>
              <w:t>Salary</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71CE"/>
            </w:tcBorders>
            <w:tcMar>
              <w:bottom w:w="100" w:type="dxa"/>
            </w:tcMar>
            <w:vAlign w:val="center"/>
          </w:tcPr>
          <w:p>
            <w:pPr>
              <w:pStyle w:val="TableContents"/>
              <w:bidi w:val="0"/>
              <w:spacing w:before="0" w:after="283"/>
              <w:jc w:val="center"/>
              <w:rPr>
                <w:b/>
                <w:color w:val="3E3935"/>
              </w:rPr>
            </w:pPr>
            <w:r>
              <w:rPr>
                <w:b/>
                <w:color w:val="3E3935"/>
              </w:rPr>
              <w:t>Bonus(2)</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100" w:type="dxa"/>
            </w:tcMar>
            <w:vAlign w:val="center"/>
          </w:tcPr>
          <w:p>
            <w:pPr>
              <w:pStyle w:val="TableContents"/>
              <w:bidi w:val="0"/>
              <w:spacing w:before="0" w:after="283"/>
              <w:jc w:val="center"/>
              <w:rPr>
                <w:b/>
                <w:color w:val="3E3935"/>
              </w:rPr>
            </w:pPr>
            <w:r>
              <w:rPr>
                <w:b/>
                <w:color w:val="3E3935"/>
              </w:rPr>
              <w:t>Stock</w:t>
              <w:br/>
              <w:t>Awards(3)</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71CE"/>
            </w:tcBorders>
            <w:tcMar>
              <w:bottom w:w="100" w:type="dxa"/>
            </w:tcMar>
            <w:vAlign w:val="center"/>
          </w:tcPr>
          <w:p>
            <w:pPr>
              <w:pStyle w:val="TableContents"/>
              <w:bidi w:val="0"/>
              <w:spacing w:before="0" w:after="283"/>
              <w:jc w:val="center"/>
              <w:rPr>
                <w:b/>
                <w:color w:val="3E3935"/>
              </w:rPr>
            </w:pPr>
            <w:r>
              <w:rPr>
                <w:b/>
                <w:color w:val="3E3935"/>
              </w:rPr>
              <w:t>Option</w:t>
              <w:br/>
              <w:t>Awards(4)</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71CE"/>
            </w:tcBorders>
            <w:tcMar>
              <w:bottom w:w="100" w:type="dxa"/>
            </w:tcMar>
            <w:vAlign w:val="center"/>
          </w:tcPr>
          <w:p>
            <w:pPr>
              <w:pStyle w:val="TableContents"/>
              <w:bidi w:val="0"/>
              <w:spacing w:before="0" w:after="0"/>
              <w:jc w:val="center"/>
              <w:rPr>
                <w:rFonts w:ascii="arial" w:hAnsi="arial"/>
                <w:b/>
                <w:color w:val="3E3935"/>
                <w:sz w:val="15"/>
              </w:rPr>
            </w:pPr>
            <w:r>
              <w:rPr>
                <w:rFonts w:ascii="arial" w:hAnsi="arial"/>
                <w:b/>
                <w:color w:val="3E3935"/>
                <w:sz w:val="15"/>
              </w:rPr>
              <w:t>Nonequity</w:t>
              <w:br/>
              <w:t>Incentive</w:t>
            </w:r>
          </w:p>
          <w:p>
            <w:pPr>
              <w:pStyle w:val="TableContents"/>
              <w:bidi w:val="0"/>
              <w:spacing w:before="0" w:after="20"/>
              <w:jc w:val="center"/>
              <w:rPr>
                <w:rFonts w:ascii="arial" w:hAnsi="arial"/>
                <w:b/>
                <w:color w:val="3E3935"/>
                <w:sz w:val="15"/>
              </w:rPr>
            </w:pPr>
            <w:r>
              <w:rPr>
                <w:rFonts w:ascii="arial" w:hAnsi="arial"/>
                <w:b/>
                <w:color w:val="3E3935"/>
                <w:sz w:val="15"/>
              </w:rPr>
              <w:t>Plan</w:t>
              <w:br/>
              <w:t>Compensation(5)</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100" w:type="dxa"/>
            </w:tcMar>
            <w:vAlign w:val="center"/>
          </w:tcPr>
          <w:p>
            <w:pPr>
              <w:pStyle w:val="TableContents"/>
              <w:bidi w:val="0"/>
              <w:spacing w:before="0" w:after="0"/>
              <w:jc w:val="center"/>
              <w:rPr>
                <w:rFonts w:ascii="arial" w:hAnsi="arial"/>
                <w:b/>
                <w:color w:val="3E3935"/>
                <w:sz w:val="15"/>
              </w:rPr>
            </w:pPr>
            <w:r>
              <w:rPr>
                <w:rFonts w:ascii="arial" w:hAnsi="arial"/>
                <w:b/>
                <w:color w:val="3E3935"/>
                <w:sz w:val="15"/>
              </w:rPr>
              <w:t>Change in</w:t>
              <w:br/>
              <w:t>Pension Value</w:t>
            </w:r>
          </w:p>
          <w:p>
            <w:pPr>
              <w:pStyle w:val="TableContents"/>
              <w:bidi w:val="0"/>
              <w:spacing w:before="0" w:after="20"/>
              <w:jc w:val="center"/>
              <w:rPr>
                <w:rFonts w:ascii="arial" w:hAnsi="arial"/>
                <w:b/>
                <w:color w:val="3E3935"/>
                <w:sz w:val="15"/>
              </w:rPr>
            </w:pPr>
            <w:r>
              <w:rPr>
                <w:rFonts w:ascii="arial" w:hAnsi="arial"/>
                <w:b/>
                <w:color w:val="3E3935"/>
                <w:sz w:val="15"/>
              </w:rPr>
              <w:t>and NQ</w:t>
              <w:br/>
              <w:t>Deferred</w:t>
              <w:br/>
              <w:t>Compensation</w:t>
              <w:br/>
              <w:t>Earnings(6)</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565" w:type="dxa"/>
            <w:gridSpan w:val="2"/>
            <w:tcBorders>
              <w:bottom w:val="single" w:sz="6" w:space="0" w:color="0071CE"/>
            </w:tcBorders>
            <w:tcMar>
              <w:bottom w:w="100" w:type="dxa"/>
            </w:tcMar>
            <w:vAlign w:val="center"/>
          </w:tcPr>
          <w:p>
            <w:pPr>
              <w:pStyle w:val="TableContents"/>
              <w:bidi w:val="0"/>
              <w:spacing w:before="0" w:after="283"/>
              <w:jc w:val="center"/>
              <w:rPr>
                <w:b/>
                <w:color w:val="3E3935"/>
              </w:rPr>
            </w:pPr>
            <w:r>
              <w:rPr>
                <w:b/>
                <w:color w:val="3E3935"/>
              </w:rPr>
              <w:t>All Other</w:t>
              <w:br/>
              <w:t>Compensation(7)</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100" w:type="dxa"/>
            </w:tcMar>
            <w:vAlign w:val="center"/>
          </w:tcPr>
          <w:p>
            <w:pPr>
              <w:pStyle w:val="TableContents"/>
              <w:bidi w:val="0"/>
              <w:spacing w:before="0" w:after="283"/>
              <w:jc w:val="center"/>
              <w:rPr>
                <w:b/>
                <w:color w:val="3E3935"/>
              </w:rPr>
            </w:pPr>
            <w:r>
              <w:rPr>
                <w:b/>
                <w:color w:val="3E3935"/>
              </w:rPr>
              <w:t>Total</w:t>
              <w:br/>
              <w: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815"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1CE"/>
                <w:sz w:val="16"/>
              </w:rPr>
            </w:pPr>
            <w:r>
              <w:rPr>
                <w:rFonts w:ascii="arial" w:hAnsi="arial"/>
                <w:b/>
                <w:color w:val="0071CE"/>
                <w:sz w:val="16"/>
              </w:rPr>
              <w:t>Mary T. Barra</w:t>
            </w:r>
          </w:p>
          <w:p>
            <w:pPr>
              <w:pStyle w:val="TableContents"/>
              <w:bidi w:val="0"/>
              <w:spacing w:before="0" w:after="0"/>
              <w:jc w:val="left"/>
              <w:rPr>
                <w:rFonts w:ascii="arial" w:hAnsi="arial"/>
                <w:color w:val="3E3935"/>
                <w:sz w:val="15"/>
              </w:rPr>
            </w:pPr>
            <w:r>
              <w:rPr>
                <w:rFonts w:ascii="arial" w:hAnsi="arial"/>
                <w:color w:val="3E3935"/>
                <w:sz w:val="15"/>
              </w:rPr>
              <w:t>Chair and Chief</w:t>
            </w:r>
          </w:p>
          <w:p>
            <w:pPr>
              <w:pStyle w:val="TableContents"/>
              <w:bidi w:val="0"/>
              <w:spacing w:before="0" w:after="20"/>
              <w:jc w:val="left"/>
              <w:rPr>
                <w:rFonts w:ascii="arial" w:hAnsi="arial"/>
                <w:color w:val="3E3935"/>
                <w:sz w:val="15"/>
              </w:rPr>
            </w:pPr>
            <w:r>
              <w:rPr>
                <w:rFonts w:ascii="arial" w:hAnsi="arial"/>
                <w:color w:val="3E3935"/>
                <w:sz w:val="15"/>
              </w:rPr>
              <w:t>Executive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2,100,000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14,625,000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4,875,013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color w:val="3E3935"/>
              </w:rPr>
            </w:pPr>
            <w:r>
              <w:rPr>
                <w:color w:val="3E3935"/>
              </w:rPr>
              <w:t> </w:t>
            </w:r>
          </w:p>
        </w:tc>
        <w:tc>
          <w:tcPr>
            <w:tcW w:w="1051" w:type="dxa"/>
            <w:tcBorders/>
            <w:vAlign w:val="center"/>
          </w:tcPr>
          <w:p>
            <w:pPr>
              <w:pStyle w:val="TableContents"/>
              <w:bidi w:val="0"/>
              <w:spacing w:before="0" w:after="283"/>
              <w:jc w:val="right"/>
              <w:rPr>
                <w:color w:val="3E3935"/>
              </w:rPr>
            </w:pPr>
            <w:r>
              <w:rPr>
                <w:color w:val="3E3935"/>
              </w:rPr>
              <w:t>5,250,000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75" w:type="dxa"/>
            <w:tcBorders/>
            <w:vAlign w:val="center"/>
          </w:tcPr>
          <w:p>
            <w:pPr>
              <w:pStyle w:val="TableContents"/>
              <w:bidi w:val="0"/>
              <w:spacing w:before="0" w:after="283"/>
              <w:jc w:val="right"/>
              <w:rPr>
                <w:color w:val="3E3935"/>
              </w:rPr>
            </w:pPr>
            <w:r>
              <w:rPr>
                <w:color w:val="3E3935"/>
              </w:rPr>
              <w:t>997,392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27,847,405</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2,100,000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14,625,000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4,875,010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color w:val="3E3935"/>
              </w:rPr>
            </w:pPr>
            <w:r>
              <w:rPr>
                <w:color w:val="3E3935"/>
              </w:rPr>
              <w:t> </w:t>
            </w:r>
          </w:p>
        </w:tc>
        <w:tc>
          <w:tcPr>
            <w:tcW w:w="1051" w:type="dxa"/>
            <w:tcBorders/>
            <w:vAlign w:val="center"/>
          </w:tcPr>
          <w:p>
            <w:pPr>
              <w:pStyle w:val="TableContents"/>
              <w:bidi w:val="0"/>
              <w:spacing w:before="0" w:after="283"/>
              <w:jc w:val="right"/>
              <w:rPr>
                <w:color w:val="3E3935"/>
              </w:rPr>
            </w:pPr>
            <w:r>
              <w:rPr>
                <w:color w:val="3E3935"/>
              </w:rPr>
              <w:t>6,258,000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75" w:type="dxa"/>
            <w:tcBorders/>
            <w:vAlign w:val="center"/>
          </w:tcPr>
          <w:p>
            <w:pPr>
              <w:pStyle w:val="TableContents"/>
              <w:bidi w:val="0"/>
              <w:spacing w:before="0" w:after="283"/>
              <w:jc w:val="right"/>
              <w:rPr>
                <w:color w:val="3E3935"/>
              </w:rPr>
            </w:pPr>
            <w:r>
              <w:rPr>
                <w:color w:val="3E3935"/>
              </w:rPr>
              <w:t>1,121,560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28,979,570</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2021</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2,100,000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14,582,198</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3,937,507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color w:val="3E3935"/>
              </w:rPr>
            </w:pPr>
            <w:r>
              <w:rPr>
                <w:color w:val="3E3935"/>
              </w:rPr>
              <w:t> </w:t>
            </w:r>
          </w:p>
        </w:tc>
        <w:tc>
          <w:tcPr>
            <w:tcW w:w="1051" w:type="dxa"/>
            <w:tcBorders/>
            <w:vAlign w:val="center"/>
          </w:tcPr>
          <w:p>
            <w:pPr>
              <w:pStyle w:val="TableContents"/>
              <w:bidi w:val="0"/>
              <w:spacing w:before="0" w:after="283"/>
              <w:jc w:val="right"/>
              <w:rPr>
                <w:color w:val="3E3935"/>
              </w:rPr>
            </w:pPr>
            <w:r>
              <w:rPr>
                <w:color w:val="3E3935"/>
              </w:rPr>
              <w:t>7,644,000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75" w:type="dxa"/>
            <w:tcBorders/>
            <w:vAlign w:val="center"/>
          </w:tcPr>
          <w:p>
            <w:pPr>
              <w:pStyle w:val="TableContents"/>
              <w:bidi w:val="0"/>
              <w:spacing w:before="0" w:after="283"/>
              <w:jc w:val="right"/>
              <w:rPr>
                <w:color w:val="3E3935"/>
              </w:rPr>
            </w:pPr>
            <w:r>
              <w:rPr>
                <w:color w:val="3E3935"/>
              </w:rPr>
              <w:t>873,075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29,136,780</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680" w:type="dxa"/>
            <w:gridSpan w:val="4"/>
            <w:tcBorders/>
            <w:shd w:fill="CCF2F8" w:val="clear"/>
            <w:vAlign w:val="center"/>
          </w:tcPr>
          <w:p>
            <w:pPr>
              <w:pStyle w:val="TableContents"/>
              <w:bidi w:val="0"/>
              <w:spacing w:before="0" w:after="283"/>
              <w:jc w:val="left"/>
              <w:rPr>
                <w:sz w:val="4"/>
                <w:szCs w:val="4"/>
              </w:rPr>
            </w:pPr>
            <w:r>
              <w:rPr>
                <w:sz w:val="4"/>
                <w:szCs w:val="4"/>
              </w:rPr>
            </w:r>
          </w:p>
        </w:tc>
        <w:tc>
          <w:tcPr>
            <w:tcW w:w="1160" w:type="dxa"/>
            <w:gridSpan w:val="4"/>
            <w:tcBorders/>
            <w:shd w:fill="CCF2F8" w:val="clear"/>
            <w:vAlign w:val="center"/>
          </w:tcPr>
          <w:p>
            <w:pPr>
              <w:pStyle w:val="TableContents"/>
              <w:bidi w:val="0"/>
              <w:spacing w:before="0" w:after="283"/>
              <w:jc w:val="left"/>
              <w:rPr>
                <w:sz w:val="4"/>
                <w:szCs w:val="4"/>
              </w:rPr>
            </w:pPr>
            <w:r>
              <w:rPr>
                <w:sz w:val="4"/>
                <w:szCs w:val="4"/>
              </w:rPr>
            </w:r>
          </w:p>
        </w:tc>
        <w:tc>
          <w:tcPr>
            <w:tcW w:w="116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160" w:type="dxa"/>
            <w:gridSpan w:val="4"/>
            <w:tcBorders/>
            <w:shd w:fill="CCF2F8" w:val="clear"/>
            <w:vAlign w:val="center"/>
          </w:tcPr>
          <w:p>
            <w:pPr>
              <w:pStyle w:val="TableContents"/>
              <w:bidi w:val="0"/>
              <w:spacing w:before="0" w:after="283"/>
              <w:jc w:val="left"/>
              <w:rPr>
                <w:sz w:val="4"/>
                <w:szCs w:val="4"/>
              </w:rPr>
            </w:pPr>
            <w:r>
              <w:rPr>
                <w:sz w:val="4"/>
                <w:szCs w:val="4"/>
              </w:rPr>
            </w:r>
          </w:p>
        </w:tc>
        <w:tc>
          <w:tcPr>
            <w:tcW w:w="1235"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1685" w:type="dxa"/>
            <w:gridSpan w:val="4"/>
            <w:tcBorders/>
            <w:shd w:fill="CCF2F8" w:val="clear"/>
            <w:vAlign w:val="center"/>
          </w:tcPr>
          <w:p>
            <w:pPr>
              <w:pStyle w:val="TableContents"/>
              <w:bidi w:val="0"/>
              <w:spacing w:before="0" w:after="283"/>
              <w:jc w:val="left"/>
              <w:rPr>
                <w:sz w:val="4"/>
                <w:szCs w:val="4"/>
              </w:rPr>
            </w:pPr>
            <w:r>
              <w:rPr>
                <w:sz w:val="4"/>
                <w:szCs w:val="4"/>
              </w:rPr>
            </w:r>
          </w:p>
        </w:tc>
        <w:tc>
          <w:tcPr>
            <w:tcW w:w="129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vMerge w:val="restart"/>
            <w:tcBorders/>
            <w:shd w:fill="CCF2F8" w:val="clear"/>
            <w:vAlign w:val="center"/>
          </w:tcPr>
          <w:p>
            <w:pPr>
              <w:pStyle w:val="TableContents"/>
              <w:bidi w:val="0"/>
              <w:spacing w:before="0" w:after="0"/>
              <w:jc w:val="left"/>
              <w:rPr>
                <w:rFonts w:ascii="arial" w:hAnsi="arial"/>
                <w:b/>
                <w:color w:val="0071CE"/>
                <w:sz w:val="16"/>
              </w:rPr>
            </w:pPr>
            <w:r>
              <w:rPr>
                <w:rFonts w:ascii="arial" w:hAnsi="arial"/>
                <w:b/>
                <w:color w:val="0071CE"/>
                <w:sz w:val="16"/>
              </w:rPr>
              <w:t>Paul A. Jacobson</w:t>
            </w:r>
          </w:p>
          <w:p>
            <w:pPr>
              <w:pStyle w:val="TableContents"/>
              <w:bidi w:val="0"/>
              <w:spacing w:before="0" w:after="0"/>
              <w:jc w:val="left"/>
              <w:rPr>
                <w:rFonts w:ascii="arial" w:hAnsi="arial"/>
                <w:color w:val="3E3935"/>
                <w:sz w:val="15"/>
              </w:rPr>
            </w:pPr>
            <w:r>
              <w:rPr>
                <w:rFonts w:ascii="arial" w:hAnsi="arial"/>
                <w:color w:val="3E3935"/>
                <w:sz w:val="15"/>
              </w:rPr>
              <w:t>Executive Vice</w:t>
            </w:r>
          </w:p>
          <w:p>
            <w:pPr>
              <w:pStyle w:val="TableContents"/>
              <w:bidi w:val="0"/>
              <w:spacing w:before="0" w:after="0"/>
              <w:jc w:val="left"/>
              <w:rPr>
                <w:rFonts w:ascii="arial" w:hAnsi="arial"/>
                <w:color w:val="3E3935"/>
                <w:sz w:val="15"/>
              </w:rPr>
            </w:pPr>
            <w:r>
              <w:rPr>
                <w:rFonts w:ascii="arial" w:hAnsi="arial"/>
                <w:color w:val="3E3935"/>
                <w:sz w:val="15"/>
              </w:rPr>
              <w:t>President and Chief</w:t>
            </w:r>
          </w:p>
          <w:p>
            <w:pPr>
              <w:pStyle w:val="TableContents"/>
              <w:bidi w:val="0"/>
              <w:spacing w:before="0" w:after="20"/>
              <w:jc w:val="left"/>
              <w:rPr>
                <w:rFonts w:ascii="arial" w:hAnsi="arial"/>
                <w:color w:val="3E3935"/>
                <w:sz w:val="15"/>
              </w:rPr>
            </w:pPr>
            <w:r>
              <w:rPr>
                <w:rFonts w:ascii="arial" w:hAnsi="arial"/>
                <w:color w:val="3E3935"/>
                <w:sz w:val="15"/>
              </w:rPr>
              <w:t>Financial Officer</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00" w:type="dxa"/>
            <w:tcBorders/>
            <w:shd w:fill="CCF2F8" w:val="clear"/>
            <w:vAlign w:val="center"/>
          </w:tcPr>
          <w:p>
            <w:pPr>
              <w:pStyle w:val="TableContents"/>
              <w:bidi w:val="0"/>
              <w:spacing w:before="0" w:after="283"/>
              <w:jc w:val="right"/>
              <w:rPr>
                <w:color w:val="3E3935"/>
              </w:rPr>
            </w:pPr>
            <w:r>
              <w:rPr>
                <w:color w:val="3E3935"/>
              </w:rPr>
              <w:t>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1,000,000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6,187,500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2,062,503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4" w:type="dxa"/>
            <w:tcBorders/>
            <w:shd w:fill="CCF2F8" w:val="clear"/>
            <w:vAlign w:val="center"/>
          </w:tcPr>
          <w:p>
            <w:pPr>
              <w:pStyle w:val="TableContents"/>
              <w:bidi w:val="0"/>
              <w:spacing w:before="0" w:after="283"/>
              <w:jc w:val="left"/>
              <w:rPr>
                <w:color w:val="3E3935"/>
              </w:rPr>
            </w:pPr>
            <w:r>
              <w:rPr>
                <w:color w:val="3E3935"/>
              </w:rPr>
              <w:t> </w:t>
            </w:r>
          </w:p>
        </w:tc>
        <w:tc>
          <w:tcPr>
            <w:tcW w:w="1051" w:type="dxa"/>
            <w:tcBorders/>
            <w:shd w:fill="CCF2F8" w:val="clear"/>
            <w:vAlign w:val="center"/>
          </w:tcPr>
          <w:p>
            <w:pPr>
              <w:pStyle w:val="TableContents"/>
              <w:bidi w:val="0"/>
              <w:spacing w:before="0" w:after="283"/>
              <w:jc w:val="right"/>
              <w:rPr>
                <w:color w:val="3E3935"/>
              </w:rPr>
            </w:pPr>
            <w:r>
              <w:rPr>
                <w:color w:val="3E3935"/>
              </w:rPr>
              <w:t>1,687,500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color w:val="3E3935"/>
              </w:rPr>
            </w:pPr>
            <w:r>
              <w:rPr>
                <w:color w:val="3E3935"/>
              </w:rPr>
              <w:t> </w:t>
            </w:r>
          </w:p>
        </w:tc>
        <w:tc>
          <w:tcPr>
            <w:tcW w:w="984"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color w:val="3E3935"/>
              </w:rPr>
            </w:pPr>
            <w:r>
              <w:rPr>
                <w:color w:val="3E3935"/>
              </w:rPr>
              <w:t> </w:t>
            </w:r>
          </w:p>
        </w:tc>
        <w:tc>
          <w:tcPr>
            <w:tcW w:w="1475" w:type="dxa"/>
            <w:tcBorders/>
            <w:shd w:fill="CCF2F8" w:val="clear"/>
            <w:vAlign w:val="center"/>
          </w:tcPr>
          <w:p>
            <w:pPr>
              <w:pStyle w:val="TableContents"/>
              <w:bidi w:val="0"/>
              <w:spacing w:before="0" w:after="283"/>
              <w:jc w:val="right"/>
              <w:rPr>
                <w:color w:val="3E3935"/>
              </w:rPr>
            </w:pPr>
            <w:r>
              <w:rPr>
                <w:color w:val="3E3935"/>
              </w:rPr>
              <w:t>186,421</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11,123,924</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vMerge w:val="continue"/>
            <w:tcBorders/>
            <w:shd w:fill="CCF2F8" w:val="clear"/>
            <w:vAlign w:val="center"/>
          </w:tcPr>
          <w:p>
            <w:pPr>
              <w:pStyle w:val="Normal"/>
              <w:bidi w:val="0"/>
              <w:jc w:val="left"/>
              <w:rPr/>
            </w:pPr>
            <w:r>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00" w:type="dxa"/>
            <w:tcBorders/>
            <w:shd w:fill="CCF2F8" w:val="clear"/>
            <w:vAlign w:val="center"/>
          </w:tcPr>
          <w:p>
            <w:pPr>
              <w:pStyle w:val="TableContents"/>
              <w:bidi w:val="0"/>
              <w:spacing w:before="0" w:after="283"/>
              <w:jc w:val="right"/>
              <w:rPr>
                <w:color w:val="3E3935"/>
              </w:rPr>
            </w:pPr>
            <w:r>
              <w:rPr>
                <w:color w:val="3E3935"/>
              </w:rPr>
              <w:t>2022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1,000,000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5,362,500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1,787,513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4" w:type="dxa"/>
            <w:tcBorders/>
            <w:shd w:fill="CCF2F8" w:val="clear"/>
            <w:vAlign w:val="center"/>
          </w:tcPr>
          <w:p>
            <w:pPr>
              <w:pStyle w:val="TableContents"/>
              <w:bidi w:val="0"/>
              <w:spacing w:before="0" w:after="283"/>
              <w:jc w:val="left"/>
              <w:rPr>
                <w:color w:val="3E3935"/>
              </w:rPr>
            </w:pPr>
            <w:r>
              <w:rPr>
                <w:color w:val="3E3935"/>
              </w:rPr>
              <w:t> </w:t>
            </w:r>
          </w:p>
        </w:tc>
        <w:tc>
          <w:tcPr>
            <w:tcW w:w="1051" w:type="dxa"/>
            <w:tcBorders/>
            <w:shd w:fill="CCF2F8" w:val="clear"/>
            <w:vAlign w:val="center"/>
          </w:tcPr>
          <w:p>
            <w:pPr>
              <w:pStyle w:val="TableContents"/>
              <w:bidi w:val="0"/>
              <w:spacing w:before="0" w:after="283"/>
              <w:jc w:val="right"/>
              <w:rPr>
                <w:color w:val="3E3935"/>
              </w:rPr>
            </w:pPr>
            <w:r>
              <w:rPr>
                <w:color w:val="3E3935"/>
              </w:rPr>
              <w:t>1,862,500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color w:val="3E3935"/>
              </w:rPr>
            </w:pPr>
            <w:r>
              <w:rPr>
                <w:color w:val="3E3935"/>
              </w:rPr>
              <w:t> </w:t>
            </w:r>
          </w:p>
        </w:tc>
        <w:tc>
          <w:tcPr>
            <w:tcW w:w="984"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color w:val="3E3935"/>
              </w:rPr>
            </w:pPr>
            <w:r>
              <w:rPr>
                <w:color w:val="3E3935"/>
              </w:rPr>
              <w:t> </w:t>
            </w:r>
          </w:p>
        </w:tc>
        <w:tc>
          <w:tcPr>
            <w:tcW w:w="1475" w:type="dxa"/>
            <w:tcBorders/>
            <w:shd w:fill="CCF2F8" w:val="clear"/>
            <w:vAlign w:val="center"/>
          </w:tcPr>
          <w:p>
            <w:pPr>
              <w:pStyle w:val="TableContents"/>
              <w:bidi w:val="0"/>
              <w:spacing w:before="0" w:after="283"/>
              <w:jc w:val="right"/>
              <w:rPr>
                <w:color w:val="3E3935"/>
              </w:rPr>
            </w:pPr>
            <w:r>
              <w:rPr>
                <w:color w:val="3E3935"/>
              </w:rPr>
              <w:t>223,425</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10,235,938</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vMerge w:val="continue"/>
            <w:tcBorders/>
            <w:shd w:fill="CCF2F8" w:val="clear"/>
            <w:vAlign w:val="center"/>
          </w:tcPr>
          <w:p>
            <w:pPr>
              <w:pStyle w:val="Normal"/>
              <w:bidi w:val="0"/>
              <w:jc w:val="left"/>
              <w:rPr/>
            </w:pPr>
            <w:r>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00" w:type="dxa"/>
            <w:tcBorders/>
            <w:shd w:fill="CCF2F8" w:val="clear"/>
            <w:vAlign w:val="center"/>
          </w:tcPr>
          <w:p>
            <w:pPr>
              <w:pStyle w:val="TableContents"/>
              <w:bidi w:val="0"/>
              <w:spacing w:before="0" w:after="283"/>
              <w:jc w:val="right"/>
              <w:rPr>
                <w:color w:val="3E3935"/>
              </w:rPr>
            </w:pPr>
            <w:r>
              <w:rPr>
                <w:color w:val="3E3935"/>
              </w:rPr>
              <w:t>2021</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1,000,000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4,860,724</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1,312,502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4" w:type="dxa"/>
            <w:tcBorders/>
            <w:shd w:fill="CCF2F8" w:val="clear"/>
            <w:vAlign w:val="center"/>
          </w:tcPr>
          <w:p>
            <w:pPr>
              <w:pStyle w:val="TableContents"/>
              <w:bidi w:val="0"/>
              <w:spacing w:before="0" w:after="283"/>
              <w:jc w:val="left"/>
              <w:rPr>
                <w:color w:val="3E3935"/>
              </w:rPr>
            </w:pPr>
            <w:r>
              <w:rPr>
                <w:color w:val="3E3935"/>
              </w:rPr>
              <w:t> </w:t>
            </w:r>
          </w:p>
        </w:tc>
        <w:tc>
          <w:tcPr>
            <w:tcW w:w="1051" w:type="dxa"/>
            <w:tcBorders/>
            <w:shd w:fill="CCF2F8" w:val="clear"/>
            <w:vAlign w:val="center"/>
          </w:tcPr>
          <w:p>
            <w:pPr>
              <w:pStyle w:val="TableContents"/>
              <w:bidi w:val="0"/>
              <w:spacing w:before="0" w:after="283"/>
              <w:jc w:val="right"/>
              <w:rPr>
                <w:color w:val="3E3935"/>
              </w:rPr>
            </w:pPr>
            <w:r>
              <w:rPr>
                <w:color w:val="3E3935"/>
              </w:rPr>
              <w:t>2,250,000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color w:val="3E3935"/>
              </w:rPr>
            </w:pPr>
            <w:r>
              <w:rPr>
                <w:color w:val="3E3935"/>
              </w:rPr>
              <w:t> </w:t>
            </w:r>
          </w:p>
        </w:tc>
        <w:tc>
          <w:tcPr>
            <w:tcW w:w="984"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color w:val="3E3935"/>
              </w:rPr>
            </w:pPr>
            <w:r>
              <w:rPr>
                <w:color w:val="3E3935"/>
              </w:rPr>
              <w:t> </w:t>
            </w:r>
          </w:p>
        </w:tc>
        <w:tc>
          <w:tcPr>
            <w:tcW w:w="1475" w:type="dxa"/>
            <w:tcBorders/>
            <w:shd w:fill="CCF2F8" w:val="clear"/>
            <w:vAlign w:val="center"/>
          </w:tcPr>
          <w:p>
            <w:pPr>
              <w:pStyle w:val="TableContents"/>
              <w:bidi w:val="0"/>
              <w:spacing w:before="0" w:after="283"/>
              <w:jc w:val="right"/>
              <w:rPr>
                <w:color w:val="3E3935"/>
              </w:rPr>
            </w:pPr>
            <w:r>
              <w:rPr>
                <w:color w:val="3E3935"/>
              </w:rPr>
              <w:t>155,422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9,578,648</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815" w:type="dxa"/>
            <w:vMerge w:val="restart"/>
            <w:tcBorders/>
            <w:vAlign w:val="center"/>
          </w:tcPr>
          <w:p>
            <w:pPr>
              <w:pStyle w:val="TableContents"/>
              <w:bidi w:val="0"/>
              <w:spacing w:before="0" w:after="0"/>
              <w:jc w:val="left"/>
              <w:rPr>
                <w:rFonts w:ascii="arial" w:hAnsi="arial"/>
                <w:b/>
                <w:color w:val="0071CE"/>
                <w:sz w:val="16"/>
              </w:rPr>
            </w:pPr>
            <w:r>
              <w:rPr>
                <w:rFonts w:ascii="arial" w:hAnsi="arial"/>
                <w:b/>
                <w:color w:val="0071CE"/>
                <w:sz w:val="16"/>
              </w:rPr>
              <w:t>Mark L. Reuss</w:t>
            </w:r>
          </w:p>
          <w:p>
            <w:pPr>
              <w:pStyle w:val="TableContents"/>
              <w:bidi w:val="0"/>
              <w:spacing w:before="0" w:after="20"/>
              <w:jc w:val="left"/>
              <w:rPr>
                <w:rFonts w:ascii="arial" w:hAnsi="arial"/>
                <w:color w:val="3E3935"/>
                <w:sz w:val="15"/>
              </w:rPr>
            </w:pPr>
            <w:r>
              <w:rPr>
                <w:rFonts w:ascii="arial" w:hAnsi="arial"/>
                <w:color w:val="3E3935"/>
                <w:sz w:val="15"/>
              </w:rPr>
              <w:t>President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1,350,000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10,471,875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3,490,634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color w:val="3E3935"/>
              </w:rPr>
            </w:pPr>
            <w:r>
              <w:rPr>
                <w:color w:val="3E3935"/>
              </w:rPr>
              <w:t> </w:t>
            </w:r>
          </w:p>
        </w:tc>
        <w:tc>
          <w:tcPr>
            <w:tcW w:w="1051" w:type="dxa"/>
            <w:tcBorders/>
            <w:vAlign w:val="center"/>
          </w:tcPr>
          <w:p>
            <w:pPr>
              <w:pStyle w:val="TableContents"/>
              <w:bidi w:val="0"/>
              <w:spacing w:before="0" w:after="283"/>
              <w:jc w:val="right"/>
              <w:rPr>
                <w:color w:val="3E3935"/>
              </w:rPr>
            </w:pPr>
            <w:r>
              <w:rPr>
                <w:color w:val="3E3935"/>
              </w:rPr>
              <w:t>2,109,400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22,215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75" w:type="dxa"/>
            <w:tcBorders/>
            <w:vAlign w:val="center"/>
          </w:tcPr>
          <w:p>
            <w:pPr>
              <w:pStyle w:val="TableContents"/>
              <w:bidi w:val="0"/>
              <w:spacing w:before="0" w:after="283"/>
              <w:jc w:val="right"/>
              <w:rPr>
                <w:color w:val="3E3935"/>
              </w:rPr>
            </w:pPr>
            <w:r>
              <w:rPr>
                <w:color w:val="3E3935"/>
              </w:rPr>
              <w:t>522,168</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17,966,292</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1,350,000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7,471,875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2,490,626</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color w:val="3E3935"/>
              </w:rPr>
            </w:pPr>
            <w:r>
              <w:rPr>
                <w:color w:val="3E3935"/>
              </w:rPr>
              <w:t> </w:t>
            </w:r>
          </w:p>
        </w:tc>
        <w:tc>
          <w:tcPr>
            <w:tcW w:w="1051" w:type="dxa"/>
            <w:tcBorders/>
            <w:vAlign w:val="center"/>
          </w:tcPr>
          <w:p>
            <w:pPr>
              <w:pStyle w:val="TableContents"/>
              <w:bidi w:val="0"/>
              <w:spacing w:before="0" w:after="283"/>
              <w:jc w:val="right"/>
              <w:rPr>
                <w:color w:val="3E3935"/>
              </w:rPr>
            </w:pPr>
            <w:r>
              <w:rPr>
                <w:color w:val="3E3935"/>
              </w:rPr>
              <w:t>2,598,800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75" w:type="dxa"/>
            <w:tcBorders/>
            <w:vAlign w:val="center"/>
          </w:tcPr>
          <w:p>
            <w:pPr>
              <w:pStyle w:val="TableContents"/>
              <w:bidi w:val="0"/>
              <w:spacing w:before="0" w:after="283"/>
              <w:jc w:val="right"/>
              <w:rPr>
                <w:color w:val="3E3935"/>
              </w:rPr>
            </w:pPr>
            <w:r>
              <w:rPr>
                <w:color w:val="3E3935"/>
              </w:rPr>
              <w:t>438,250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14,349,551</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2021</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1,300,000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6,180,076</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1,668,752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color w:val="3E3935"/>
              </w:rPr>
            </w:pPr>
            <w:r>
              <w:rPr>
                <w:color w:val="3E3935"/>
              </w:rPr>
              <w:t> </w:t>
            </w:r>
          </w:p>
        </w:tc>
        <w:tc>
          <w:tcPr>
            <w:tcW w:w="1051" w:type="dxa"/>
            <w:tcBorders/>
            <w:vAlign w:val="center"/>
          </w:tcPr>
          <w:p>
            <w:pPr>
              <w:pStyle w:val="TableContents"/>
              <w:bidi w:val="0"/>
              <w:spacing w:before="0" w:after="283"/>
              <w:jc w:val="right"/>
              <w:rPr>
                <w:color w:val="3E3935"/>
              </w:rPr>
            </w:pPr>
            <w:r>
              <w:rPr>
                <w:color w:val="3E3935"/>
              </w:rPr>
              <w:t>3,038,800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75" w:type="dxa"/>
            <w:tcBorders/>
            <w:vAlign w:val="center"/>
          </w:tcPr>
          <w:p>
            <w:pPr>
              <w:pStyle w:val="TableContents"/>
              <w:bidi w:val="0"/>
              <w:spacing w:before="0" w:after="283"/>
              <w:jc w:val="right"/>
              <w:rPr>
                <w:color w:val="3E3935"/>
              </w:rPr>
            </w:pPr>
            <w:r>
              <w:rPr>
                <w:color w:val="3E3935"/>
              </w:rPr>
              <w:t>348,119</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12,535,747</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680" w:type="dxa"/>
            <w:gridSpan w:val="4"/>
            <w:tcBorders/>
            <w:shd w:fill="CCF2F8" w:val="clear"/>
            <w:vAlign w:val="center"/>
          </w:tcPr>
          <w:p>
            <w:pPr>
              <w:pStyle w:val="TableContents"/>
              <w:bidi w:val="0"/>
              <w:spacing w:before="0" w:after="283"/>
              <w:jc w:val="left"/>
              <w:rPr>
                <w:sz w:val="4"/>
                <w:szCs w:val="4"/>
              </w:rPr>
            </w:pPr>
            <w:r>
              <w:rPr>
                <w:sz w:val="4"/>
                <w:szCs w:val="4"/>
              </w:rPr>
            </w:r>
          </w:p>
        </w:tc>
        <w:tc>
          <w:tcPr>
            <w:tcW w:w="1160" w:type="dxa"/>
            <w:gridSpan w:val="4"/>
            <w:tcBorders/>
            <w:shd w:fill="CCF2F8" w:val="clear"/>
            <w:vAlign w:val="center"/>
          </w:tcPr>
          <w:p>
            <w:pPr>
              <w:pStyle w:val="TableContents"/>
              <w:bidi w:val="0"/>
              <w:spacing w:before="0" w:after="283"/>
              <w:jc w:val="left"/>
              <w:rPr>
                <w:sz w:val="4"/>
                <w:szCs w:val="4"/>
              </w:rPr>
            </w:pPr>
            <w:r>
              <w:rPr>
                <w:sz w:val="4"/>
                <w:szCs w:val="4"/>
              </w:rPr>
            </w:r>
          </w:p>
        </w:tc>
        <w:tc>
          <w:tcPr>
            <w:tcW w:w="116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160" w:type="dxa"/>
            <w:gridSpan w:val="4"/>
            <w:tcBorders/>
            <w:shd w:fill="CCF2F8" w:val="clear"/>
            <w:vAlign w:val="center"/>
          </w:tcPr>
          <w:p>
            <w:pPr>
              <w:pStyle w:val="TableContents"/>
              <w:bidi w:val="0"/>
              <w:spacing w:before="0" w:after="283"/>
              <w:jc w:val="left"/>
              <w:rPr>
                <w:sz w:val="4"/>
                <w:szCs w:val="4"/>
              </w:rPr>
            </w:pPr>
            <w:r>
              <w:rPr>
                <w:sz w:val="4"/>
                <w:szCs w:val="4"/>
              </w:rPr>
            </w:r>
          </w:p>
        </w:tc>
        <w:tc>
          <w:tcPr>
            <w:tcW w:w="1235"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1685" w:type="dxa"/>
            <w:gridSpan w:val="4"/>
            <w:tcBorders/>
            <w:shd w:fill="CCF2F8" w:val="clear"/>
            <w:vAlign w:val="center"/>
          </w:tcPr>
          <w:p>
            <w:pPr>
              <w:pStyle w:val="TableContents"/>
              <w:bidi w:val="0"/>
              <w:spacing w:before="0" w:after="283"/>
              <w:jc w:val="left"/>
              <w:rPr>
                <w:sz w:val="4"/>
                <w:szCs w:val="4"/>
              </w:rPr>
            </w:pPr>
            <w:r>
              <w:rPr>
                <w:sz w:val="4"/>
                <w:szCs w:val="4"/>
              </w:rPr>
            </w:r>
          </w:p>
        </w:tc>
        <w:tc>
          <w:tcPr>
            <w:tcW w:w="129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vMerge w:val="restart"/>
            <w:tcBorders/>
            <w:shd w:fill="CCF2F8" w:val="clear"/>
            <w:vAlign w:val="center"/>
          </w:tcPr>
          <w:p>
            <w:pPr>
              <w:pStyle w:val="TableContents"/>
              <w:bidi w:val="0"/>
              <w:spacing w:before="0" w:after="0"/>
              <w:jc w:val="left"/>
              <w:rPr>
                <w:rFonts w:ascii="arial" w:hAnsi="arial"/>
                <w:b/>
                <w:color w:val="0071CE"/>
                <w:sz w:val="16"/>
              </w:rPr>
            </w:pPr>
            <w:r>
              <w:rPr>
                <w:rFonts w:ascii="arial" w:hAnsi="arial"/>
                <w:b/>
                <w:color w:val="0071CE"/>
                <w:sz w:val="16"/>
              </w:rPr>
              <w:t>Michael Abbott</w:t>
            </w:r>
          </w:p>
          <w:p>
            <w:pPr>
              <w:pStyle w:val="TableContents"/>
              <w:bidi w:val="0"/>
              <w:spacing w:before="0" w:after="0"/>
              <w:jc w:val="left"/>
              <w:rPr>
                <w:rFonts w:ascii="arial" w:hAnsi="arial"/>
                <w:color w:val="3E3935"/>
                <w:sz w:val="15"/>
              </w:rPr>
            </w:pPr>
            <w:r>
              <w:rPr>
                <w:rFonts w:ascii="arial" w:hAnsi="arial"/>
                <w:color w:val="3E3935"/>
                <w:sz w:val="15"/>
              </w:rPr>
              <w:t>Executive Vice</w:t>
            </w:r>
          </w:p>
          <w:p>
            <w:pPr>
              <w:pStyle w:val="TableContents"/>
              <w:bidi w:val="0"/>
              <w:spacing w:before="0" w:after="20"/>
              <w:jc w:val="left"/>
              <w:rPr>
                <w:rFonts w:ascii="arial" w:hAnsi="arial"/>
                <w:color w:val="3E3935"/>
                <w:sz w:val="15"/>
              </w:rPr>
            </w:pPr>
            <w:r>
              <w:rPr>
                <w:rFonts w:ascii="arial" w:hAnsi="arial"/>
                <w:color w:val="3E3935"/>
                <w:sz w:val="15"/>
              </w:rPr>
              <w:t>President, Software</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00" w:type="dxa"/>
            <w:tcBorders/>
            <w:shd w:fill="CCF2F8" w:val="clear"/>
            <w:vAlign w:val="center"/>
          </w:tcPr>
          <w:p>
            <w:pPr>
              <w:pStyle w:val="TableContents"/>
              <w:bidi w:val="0"/>
              <w:spacing w:before="0" w:after="283"/>
              <w:jc w:val="right"/>
              <w:rPr>
                <w:color w:val="3E3935"/>
              </w:rPr>
            </w:pPr>
            <w:r>
              <w:rPr>
                <w:color w:val="3E3935"/>
              </w:rPr>
              <w:t>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488,889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1,500,000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17,000,001</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4" w:type="dxa"/>
            <w:tcBorders/>
            <w:shd w:fill="CCF2F8" w:val="clear"/>
            <w:vAlign w:val="center"/>
          </w:tcPr>
          <w:p>
            <w:pPr>
              <w:pStyle w:val="TableContents"/>
              <w:bidi w:val="0"/>
              <w:spacing w:before="0" w:after="283"/>
              <w:jc w:val="left"/>
              <w:rPr>
                <w:color w:val="3E3935"/>
              </w:rPr>
            </w:pPr>
            <w:r>
              <w:rPr>
                <w:color w:val="3E3935"/>
              </w:rPr>
              <w:t> </w:t>
            </w:r>
          </w:p>
        </w:tc>
        <w:tc>
          <w:tcPr>
            <w:tcW w:w="1051" w:type="dxa"/>
            <w:tcBorders/>
            <w:shd w:fill="CCF2F8" w:val="clear"/>
            <w:vAlign w:val="center"/>
          </w:tcPr>
          <w:p>
            <w:pPr>
              <w:pStyle w:val="TableContents"/>
              <w:bidi w:val="0"/>
              <w:spacing w:before="0" w:after="283"/>
              <w:jc w:val="right"/>
              <w:rPr>
                <w:color w:val="3E3935"/>
              </w:rPr>
            </w:pPr>
            <w:r>
              <w:rPr>
                <w:color w:val="3E3935"/>
              </w:rPr>
              <w:t>1,350,000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color w:val="3E3935"/>
              </w:rPr>
            </w:pPr>
            <w:r>
              <w:rPr>
                <w:color w:val="3E3935"/>
              </w:rPr>
              <w:t> </w:t>
            </w:r>
          </w:p>
        </w:tc>
        <w:tc>
          <w:tcPr>
            <w:tcW w:w="984"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color w:val="3E3935"/>
              </w:rPr>
            </w:pPr>
            <w:r>
              <w:rPr>
                <w:color w:val="3E3935"/>
              </w:rPr>
              <w:t> </w:t>
            </w:r>
          </w:p>
        </w:tc>
        <w:tc>
          <w:tcPr>
            <w:tcW w:w="1475" w:type="dxa"/>
            <w:tcBorders/>
            <w:shd w:fill="CCF2F8" w:val="clear"/>
            <w:vAlign w:val="center"/>
          </w:tcPr>
          <w:p>
            <w:pPr>
              <w:pStyle w:val="TableContents"/>
              <w:bidi w:val="0"/>
              <w:spacing w:before="0" w:after="283"/>
              <w:jc w:val="right"/>
              <w:rPr>
                <w:color w:val="3E3935"/>
              </w:rPr>
            </w:pPr>
            <w:r>
              <w:rPr>
                <w:color w:val="3E3935"/>
              </w:rPr>
              <w:t>49,197</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20,388,087</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vMerge w:val="continue"/>
            <w:tcBorders/>
            <w:shd w:fill="CCF2F8" w:val="clear"/>
            <w:vAlign w:val="center"/>
          </w:tcPr>
          <w:p>
            <w:pPr>
              <w:pStyle w:val="Normal"/>
              <w:bidi w:val="0"/>
              <w:jc w:val="left"/>
              <w:rPr/>
            </w:pPr>
            <w:r>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5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4" w:type="dxa"/>
            <w:tcBorders/>
            <w:shd w:fill="CCF2F8" w:val="clear"/>
            <w:vAlign w:val="center"/>
          </w:tcPr>
          <w:p>
            <w:pPr>
              <w:pStyle w:val="TableContents"/>
              <w:bidi w:val="0"/>
              <w:spacing w:before="0" w:after="283"/>
              <w:jc w:val="left"/>
              <w:rPr>
                <w:sz w:val="4"/>
                <w:szCs w:val="4"/>
              </w:rPr>
            </w:pPr>
            <w:r>
              <w:rPr>
                <w:sz w:val="4"/>
                <w:szCs w:val="4"/>
              </w:rPr>
            </w:r>
          </w:p>
        </w:tc>
        <w:tc>
          <w:tcPr>
            <w:tcW w:w="1051"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sz w:val="4"/>
                <w:szCs w:val="4"/>
              </w:rPr>
            </w:pPr>
            <w:r>
              <w:rPr>
                <w:sz w:val="4"/>
                <w:szCs w:val="4"/>
              </w:rPr>
            </w:r>
          </w:p>
        </w:tc>
        <w:tc>
          <w:tcPr>
            <w:tcW w:w="984"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sz w:val="4"/>
                <w:szCs w:val="4"/>
              </w:rPr>
            </w:pPr>
            <w:r>
              <w:rPr>
                <w:sz w:val="4"/>
                <w:szCs w:val="4"/>
              </w:rPr>
            </w:r>
          </w:p>
        </w:tc>
        <w:tc>
          <w:tcPr>
            <w:tcW w:w="14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815" w:type="dxa"/>
            <w:vMerge w:val="continue"/>
            <w:tcBorders/>
            <w:shd w:fill="CCF2F8" w:val="clear"/>
            <w:vAlign w:val="center"/>
          </w:tcPr>
          <w:p>
            <w:pPr>
              <w:pStyle w:val="Normal"/>
              <w:bidi w:val="0"/>
              <w:jc w:val="left"/>
              <w:rPr/>
            </w:pPr>
            <w:r>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5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4" w:type="dxa"/>
            <w:tcBorders/>
            <w:shd w:fill="CCF2F8" w:val="clear"/>
            <w:vAlign w:val="center"/>
          </w:tcPr>
          <w:p>
            <w:pPr>
              <w:pStyle w:val="TableContents"/>
              <w:bidi w:val="0"/>
              <w:spacing w:before="0" w:after="283"/>
              <w:jc w:val="left"/>
              <w:rPr>
                <w:sz w:val="4"/>
                <w:szCs w:val="4"/>
              </w:rPr>
            </w:pPr>
            <w:r>
              <w:rPr>
                <w:sz w:val="4"/>
                <w:szCs w:val="4"/>
              </w:rPr>
            </w:r>
          </w:p>
        </w:tc>
        <w:tc>
          <w:tcPr>
            <w:tcW w:w="1051"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sz w:val="4"/>
                <w:szCs w:val="4"/>
              </w:rPr>
            </w:pPr>
            <w:r>
              <w:rPr>
                <w:sz w:val="4"/>
                <w:szCs w:val="4"/>
              </w:rPr>
            </w:r>
          </w:p>
        </w:tc>
        <w:tc>
          <w:tcPr>
            <w:tcW w:w="984"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sz w:val="4"/>
                <w:szCs w:val="4"/>
              </w:rPr>
            </w:pPr>
            <w:r>
              <w:rPr>
                <w:sz w:val="4"/>
                <w:szCs w:val="4"/>
              </w:rPr>
            </w:r>
          </w:p>
        </w:tc>
        <w:tc>
          <w:tcPr>
            <w:tcW w:w="14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815" w:type="dxa"/>
            <w:vMerge w:val="restart"/>
            <w:tcBorders>
              <w:bottom w:val="single" w:sz="6" w:space="0" w:color="0071CE"/>
            </w:tcBorders>
            <w:tcMar>
              <w:bottom w:w="28" w:type="dxa"/>
            </w:tcMar>
            <w:vAlign w:val="center"/>
          </w:tcPr>
          <w:p>
            <w:pPr>
              <w:pStyle w:val="TableContents"/>
              <w:bidi w:val="0"/>
              <w:spacing w:before="0" w:after="0"/>
              <w:jc w:val="left"/>
              <w:rPr>
                <w:rFonts w:ascii="arial" w:hAnsi="arial"/>
                <w:b/>
                <w:color w:val="0071CE"/>
                <w:sz w:val="16"/>
              </w:rPr>
            </w:pPr>
            <w:r>
              <w:rPr>
                <w:rFonts w:ascii="arial" w:hAnsi="arial"/>
                <w:b/>
                <w:color w:val="0071CE"/>
                <w:sz w:val="16"/>
              </w:rPr>
              <w:t>Craig B. Glidden</w:t>
            </w:r>
          </w:p>
          <w:p>
            <w:pPr>
              <w:pStyle w:val="TableContents"/>
              <w:bidi w:val="0"/>
              <w:spacing w:before="0" w:after="0"/>
              <w:jc w:val="left"/>
              <w:rPr>
                <w:rFonts w:ascii="arial" w:hAnsi="arial"/>
                <w:color w:val="3E3935"/>
                <w:sz w:val="15"/>
              </w:rPr>
            </w:pPr>
            <w:r>
              <w:rPr>
                <w:rFonts w:ascii="arial" w:hAnsi="arial"/>
                <w:color w:val="3E3935"/>
                <w:sz w:val="15"/>
              </w:rPr>
              <w:t>Executive Vice</w:t>
            </w:r>
          </w:p>
          <w:p>
            <w:pPr>
              <w:pStyle w:val="TableContents"/>
              <w:bidi w:val="0"/>
              <w:spacing w:before="0" w:after="0"/>
              <w:jc w:val="left"/>
              <w:rPr>
                <w:rFonts w:ascii="arial" w:hAnsi="arial"/>
                <w:color w:val="3E3935"/>
                <w:sz w:val="15"/>
              </w:rPr>
            </w:pPr>
            <w:r>
              <w:rPr>
                <w:rFonts w:ascii="arial" w:hAnsi="arial"/>
                <w:color w:val="3E3935"/>
                <w:sz w:val="15"/>
              </w:rPr>
              <w:t>President, Legal,</w:t>
            </w:r>
          </w:p>
          <w:p>
            <w:pPr>
              <w:pStyle w:val="TableContents"/>
              <w:bidi w:val="0"/>
              <w:spacing w:before="0" w:after="0"/>
              <w:jc w:val="left"/>
              <w:rPr>
                <w:rFonts w:ascii="arial" w:hAnsi="arial"/>
                <w:color w:val="3E3935"/>
                <w:sz w:val="15"/>
              </w:rPr>
            </w:pPr>
            <w:r>
              <w:rPr>
                <w:rFonts w:ascii="arial" w:hAnsi="arial"/>
                <w:color w:val="3E3935"/>
                <w:sz w:val="15"/>
              </w:rPr>
              <w:t>Policy, Cybersecurity,</w:t>
            </w:r>
          </w:p>
          <w:p>
            <w:pPr>
              <w:pStyle w:val="TableContents"/>
              <w:bidi w:val="0"/>
              <w:spacing w:before="0" w:after="20"/>
              <w:jc w:val="left"/>
              <w:rPr>
                <w:rFonts w:ascii="arial" w:hAnsi="arial"/>
                <w:color w:val="3E3935"/>
                <w:sz w:val="15"/>
              </w:rPr>
            </w:pPr>
            <w:r>
              <w:rPr>
                <w:rFonts w:ascii="arial" w:hAnsi="arial"/>
                <w:color w:val="3E3935"/>
                <w:sz w:val="15"/>
              </w:rPr>
              <w:t>and Corporate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893,750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6,898,406</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1,632,807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color w:val="3E3935"/>
              </w:rPr>
            </w:pPr>
            <w:r>
              <w:rPr>
                <w:color w:val="3E3935"/>
              </w:rPr>
              <w:t> </w:t>
            </w:r>
          </w:p>
        </w:tc>
        <w:tc>
          <w:tcPr>
            <w:tcW w:w="1051" w:type="dxa"/>
            <w:tcBorders/>
            <w:vAlign w:val="center"/>
          </w:tcPr>
          <w:p>
            <w:pPr>
              <w:pStyle w:val="TableContents"/>
              <w:bidi w:val="0"/>
              <w:spacing w:before="0" w:after="283"/>
              <w:jc w:val="right"/>
              <w:rPr>
                <w:color w:val="3E3935"/>
              </w:rPr>
            </w:pPr>
            <w:r>
              <w:rPr>
                <w:color w:val="3E3935"/>
              </w:rPr>
              <w:t>1,856,300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75" w:type="dxa"/>
            <w:tcBorders/>
            <w:vAlign w:val="center"/>
          </w:tcPr>
          <w:p>
            <w:pPr>
              <w:pStyle w:val="TableContents"/>
              <w:bidi w:val="0"/>
              <w:spacing w:before="0" w:after="283"/>
              <w:jc w:val="right"/>
              <w:rPr>
                <w:color w:val="3E3935"/>
              </w:rPr>
            </w:pPr>
            <w:r>
              <w:rPr>
                <w:color w:val="3E3935"/>
              </w:rPr>
              <w:t>221,674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11,502,937</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vMerge w:val="continue"/>
            <w:tcBorders>
              <w:bottom w:val="single" w:sz="6" w:space="0" w:color="0071CE"/>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71CE"/>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71CE"/>
            </w:tcBorders>
            <w:tcMar>
              <w:bottom w:w="28" w:type="dxa"/>
            </w:tcMar>
            <w:vAlign w:val="center"/>
          </w:tcPr>
          <w:p>
            <w:pPr>
              <w:pStyle w:val="Normal"/>
              <w:bidi w:val="0"/>
              <w:jc w:val="left"/>
              <w:rPr/>
            </w:pPr>
            <w:r>
              <w:rPr/>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0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98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98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0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98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4" w:type="dxa"/>
            <w:tcBorders>
              <w:bottom w:val="single" w:sz="6" w:space="0" w:color="0071CE"/>
            </w:tcBorders>
            <w:tcMar>
              <w:bottom w:w="28" w:type="dxa"/>
            </w:tcMar>
            <w:vAlign w:val="center"/>
          </w:tcPr>
          <w:p>
            <w:pPr>
              <w:pStyle w:val="TableContents"/>
              <w:bidi w:val="0"/>
              <w:spacing w:before="0" w:after="283"/>
              <w:jc w:val="left"/>
              <w:rPr/>
            </w:pPr>
            <w:r>
              <w:rPr/>
              <w:t> </w:t>
            </w:r>
          </w:p>
        </w:tc>
        <w:tc>
          <w:tcPr>
            <w:tcW w:w="1051"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6" w:type="dxa"/>
            <w:tcBorders>
              <w:bottom w:val="single" w:sz="6" w:space="0" w:color="0071CE"/>
            </w:tcBorders>
            <w:tcMar>
              <w:bottom w:w="28" w:type="dxa"/>
            </w:tcMar>
            <w:vAlign w:val="center"/>
          </w:tcPr>
          <w:p>
            <w:pPr>
              <w:pStyle w:val="TableContents"/>
              <w:bidi w:val="0"/>
              <w:spacing w:before="0" w:after="283"/>
              <w:jc w:val="left"/>
              <w:rPr/>
            </w:pPr>
            <w:r>
              <w:rPr/>
              <w:t> </w:t>
            </w:r>
          </w:p>
        </w:tc>
        <w:tc>
          <w:tcPr>
            <w:tcW w:w="984"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90" w:type="dxa"/>
            <w:tcBorders>
              <w:bottom w:val="single" w:sz="6" w:space="0" w:color="0071CE"/>
            </w:tcBorders>
            <w:tcMar>
              <w:bottom w:w="28" w:type="dxa"/>
            </w:tcMar>
            <w:vAlign w:val="center"/>
          </w:tcPr>
          <w:p>
            <w:pPr>
              <w:pStyle w:val="TableContents"/>
              <w:bidi w:val="0"/>
              <w:spacing w:before="0" w:after="283"/>
              <w:jc w:val="left"/>
              <w:rPr/>
            </w:pPr>
            <w:r>
              <w:rPr/>
              <w:t> </w:t>
            </w:r>
          </w:p>
        </w:tc>
        <w:tc>
          <w:tcPr>
            <w:tcW w:w="147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0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305"/>
        <w:gridCol w:w="7565"/>
      </w:tblGrid>
      <w:tr>
        <w:trPr/>
        <w:tc>
          <w:tcPr>
            <w:tcW w:w="305" w:type="dxa"/>
            <w:tcBorders/>
            <w:vAlign w:val="center"/>
          </w:tcPr>
          <w:p>
            <w:pPr>
              <w:pStyle w:val="TableContents"/>
              <w:bidi w:val="0"/>
              <w:spacing w:before="0" w:after="283"/>
              <w:jc w:val="left"/>
              <w:rPr>
                <w:color w:val="3E3935"/>
              </w:rPr>
            </w:pPr>
            <w:r>
              <w:rPr>
                <w:color w:val="3E3935"/>
              </w:rPr>
              <w:t>(1)</w:t>
            </w:r>
          </w:p>
        </w:tc>
        <w:tc>
          <w:tcPr>
            <w:tcW w:w="756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Titles reflect position as of December 31, 2023. Mr. Abbott and Mr. Glidden were not NEOs in 2022 or 2021.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color w:val="3E3935"/>
              </w:rPr>
            </w:pPr>
            <w:r>
              <w:rPr>
                <w:color w:val="3E3935"/>
              </w:rPr>
              <w:t>(2)</w:t>
            </w:r>
          </w:p>
        </w:tc>
        <w:tc>
          <w:tcPr>
            <w:tcW w:w="9917"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Reflects first installment of Mr. Abbott’s new hire cash payment. Upon his resignation (effective April 2, 2024), the second installment of the new hire cash payment will not be paid.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3E3935"/>
              </w:rPr>
            </w:pPr>
            <w:r>
              <w:rPr>
                <w:color w:val="3E3935"/>
              </w:rPr>
              <w:t>(3)</w:t>
            </w:r>
          </w:p>
        </w:tc>
        <w:tc>
          <w:tcPr>
            <w:tcW w:w="995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Stock Awards displays the grant date fair values of PSUs and RSUs issued under the LTIP, computed in accordance with Financial Accounting Standards Board (“FASB”) Accounting Standards Codification (“ASC”) Topic 718. PSUs will vest based on GM’s performance against EBIT-adjusted Margin, Relative TSR, and EV Measures. The assumptions used for the Monte Carlo valuation of the Relative TSR portion of the PSUs are summarized below: </w:t>
            </w:r>
          </w:p>
        </w:tc>
      </w:tr>
    </w:tbl>
    <w:p>
      <w:pPr>
        <w:pStyle w:val="TextBody"/>
        <w:bidi w:val="0"/>
        <w:spacing w:before="0" w:after="0"/>
        <w:jc w:val="left"/>
        <w:rPr/>
      </w:pPr>
      <w:r>
        <w:rPr/>
        <w:t> </w:t>
      </w:r>
    </w:p>
    <w:tbl>
      <w:tblPr>
        <w:tblW w:w="7138" w:type="dxa"/>
        <w:jc w:val="left"/>
        <w:tblInd w:w="0" w:type="dxa"/>
        <w:tblLayout w:type="fixed"/>
        <w:tblCellMar>
          <w:top w:w="0" w:type="dxa"/>
          <w:left w:w="0" w:type="dxa"/>
          <w:bottom w:w="0" w:type="dxa"/>
          <w:right w:w="0" w:type="dxa"/>
        </w:tblCellMar>
      </w:tblPr>
      <w:tblGrid>
        <w:gridCol w:w="815"/>
        <w:gridCol w:w="120"/>
        <w:gridCol w:w="60"/>
        <w:gridCol w:w="140"/>
        <w:gridCol w:w="560"/>
        <w:gridCol w:w="23"/>
        <w:gridCol w:w="120"/>
        <w:gridCol w:w="95"/>
        <w:gridCol w:w="95"/>
        <w:gridCol w:w="415"/>
        <w:gridCol w:w="345"/>
        <w:gridCol w:w="120"/>
        <w:gridCol w:w="103"/>
        <w:gridCol w:w="103"/>
        <w:gridCol w:w="760"/>
        <w:gridCol w:w="374"/>
        <w:gridCol w:w="120"/>
        <w:gridCol w:w="78"/>
        <w:gridCol w:w="183"/>
        <w:gridCol w:w="733"/>
        <w:gridCol w:w="31"/>
        <w:gridCol w:w="120"/>
        <w:gridCol w:w="107"/>
        <w:gridCol w:w="107"/>
        <w:gridCol w:w="1000"/>
        <w:gridCol w:w="411"/>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5"/>
              </w:rPr>
            </w:pPr>
            <w:r>
              <w:rPr>
                <w:rFonts w:ascii="arial" w:hAnsi="arial"/>
                <w:b/>
                <w:color w:val="3E3935"/>
                <w:sz w:val="15"/>
              </w:rPr>
              <w:t>Grant Date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83"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Stock</w:t>
              <w:br/>
              <w:t>Price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5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Implied</w:t>
              <w:br/>
              <w:t>Volatility</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Risk-Free</w:t>
              <w:br/>
              <w:t>Interest Rate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25"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Valuation</w:t>
              <w:br/>
              <w:t>Price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25"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Valuation Price</w:t>
              <w:br/>
              <w:t>as a Percent</w:t>
              <w:br/>
              <w:t>of Target</w:t>
            </w:r>
          </w:p>
        </w:tc>
      </w:tr>
      <w:tr>
        <w:trPr/>
        <w:tc>
          <w:tcPr>
            <w:tcW w:w="815" w:type="dxa"/>
            <w:tcBorders/>
            <w:vAlign w:val="center"/>
          </w:tcPr>
          <w:p>
            <w:pPr>
              <w:pStyle w:val="TableContents"/>
              <w:bidi w:val="0"/>
              <w:spacing w:before="0" w:after="283"/>
              <w:jc w:val="left"/>
              <w:rPr>
                <w:sz w:val="4"/>
                <w:szCs w:val="4"/>
              </w:rPr>
            </w:pPr>
            <w:r>
              <w:rPr>
                <w:sz w:val="4"/>
                <w:szCs w:val="4"/>
              </w:rPr>
            </w:r>
          </w:p>
        </w:tc>
        <w:tc>
          <w:tcPr>
            <w:tcW w:w="903" w:type="dxa"/>
            <w:gridSpan w:val="5"/>
            <w:tcBorders/>
            <w:vAlign w:val="center"/>
          </w:tcPr>
          <w:p>
            <w:pPr>
              <w:pStyle w:val="TableContents"/>
              <w:bidi w:val="0"/>
              <w:spacing w:before="0" w:after="283"/>
              <w:jc w:val="left"/>
              <w:rPr>
                <w:sz w:val="4"/>
                <w:szCs w:val="4"/>
              </w:rPr>
            </w:pPr>
            <w:r>
              <w:rPr>
                <w:sz w:val="4"/>
                <w:szCs w:val="4"/>
              </w:rPr>
            </w:r>
          </w:p>
        </w:tc>
        <w:tc>
          <w:tcPr>
            <w:tcW w:w="1070" w:type="dxa"/>
            <w:gridSpan w:val="5"/>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745" w:type="dxa"/>
            <w:gridSpan w:val="5"/>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z w:val="15"/>
              </w:rPr>
            </w:pPr>
            <w:r>
              <w:rPr>
                <w:rFonts w:ascii="arial" w:hAnsi="arial"/>
                <w:color w:val="3E3935"/>
                <w:sz w:val="15"/>
              </w:rPr>
              <w:t>2/7/2023</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c>
          <w:tcPr>
            <w:tcW w:w="56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41.40</w:t>
            </w:r>
          </w:p>
        </w:tc>
        <w:tc>
          <w:tcPr>
            <w:tcW w:w="23"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5" w:type="dxa"/>
            <w:tcBorders>
              <w:bottom w:val="single" w:sz="6" w:space="0" w:color="0071CE"/>
            </w:tcBorders>
            <w:tcMar>
              <w:bottom w:w="28" w:type="dxa"/>
            </w:tcMar>
            <w:vAlign w:val="center"/>
          </w:tcPr>
          <w:p>
            <w:pPr>
              <w:pStyle w:val="TableContents"/>
              <w:bidi w:val="0"/>
              <w:spacing w:before="0" w:after="283"/>
              <w:jc w:val="left"/>
              <w:rPr/>
            </w:pPr>
            <w:r>
              <w:rPr/>
              <w:t> </w:t>
            </w:r>
          </w:p>
        </w:tc>
        <w:tc>
          <w:tcPr>
            <w:tcW w:w="9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415"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34</w:t>
            </w:r>
          </w:p>
        </w:tc>
        <w:tc>
          <w:tcPr>
            <w:tcW w:w="34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3" w:type="dxa"/>
            <w:tcBorders>
              <w:bottom w:val="single" w:sz="6" w:space="0" w:color="0071CE"/>
            </w:tcBorders>
            <w:tcMar>
              <w:bottom w:w="28" w:type="dxa"/>
            </w:tcMar>
            <w:vAlign w:val="center"/>
          </w:tcPr>
          <w:p>
            <w:pPr>
              <w:pStyle w:val="TableContents"/>
              <w:bidi w:val="0"/>
              <w:spacing w:before="0" w:after="283"/>
              <w:jc w:val="left"/>
              <w:rPr/>
            </w:pPr>
            <w:r>
              <w:rPr/>
              <w:t> </w:t>
            </w:r>
          </w:p>
        </w:tc>
        <w:tc>
          <w:tcPr>
            <w:tcW w:w="103"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76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4.15</w:t>
            </w:r>
          </w:p>
        </w:tc>
        <w:tc>
          <w:tcPr>
            <w:tcW w:w="374"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8" w:type="dxa"/>
            <w:tcBorders>
              <w:bottom w:val="single" w:sz="6" w:space="0" w:color="0071CE"/>
            </w:tcBorders>
            <w:tcMar>
              <w:bottom w:w="28" w:type="dxa"/>
            </w:tcMar>
            <w:vAlign w:val="center"/>
          </w:tcPr>
          <w:p>
            <w:pPr>
              <w:pStyle w:val="TableContents"/>
              <w:bidi w:val="0"/>
              <w:spacing w:before="0" w:after="283"/>
              <w:jc w:val="left"/>
              <w:rPr/>
            </w:pPr>
            <w:r>
              <w:rPr/>
              <w:t> </w:t>
            </w:r>
          </w:p>
        </w:tc>
        <w:tc>
          <w:tcPr>
            <w:tcW w:w="183"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c>
          <w:tcPr>
            <w:tcW w:w="733"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53.12</w:t>
            </w:r>
          </w:p>
        </w:tc>
        <w:tc>
          <w:tcPr>
            <w:tcW w:w="31"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 w:type="dxa"/>
            <w:tcBorders>
              <w:bottom w:val="single" w:sz="6" w:space="0" w:color="0071CE"/>
            </w:tcBorders>
            <w:tcMar>
              <w:bottom w:w="28" w:type="dxa"/>
            </w:tcMar>
            <w:vAlign w:val="center"/>
          </w:tcPr>
          <w:p>
            <w:pPr>
              <w:pStyle w:val="TableContents"/>
              <w:bidi w:val="0"/>
              <w:spacing w:before="0" w:after="283"/>
              <w:jc w:val="left"/>
              <w:rPr/>
            </w:pPr>
            <w:r>
              <w:rPr/>
              <w:t> </w:t>
            </w:r>
          </w:p>
        </w:tc>
        <w:tc>
          <w:tcPr>
            <w:tcW w:w="107"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00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128.3</w:t>
            </w:r>
          </w:p>
        </w:tc>
        <w:tc>
          <w:tcPr>
            <w:tcW w:w="411"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color w:val="3E3935"/>
              </w:rPr>
            </w:pPr>
            <w:r>
              <w:rPr>
                <w:color w:val="3E3935"/>
              </w:rPr>
              <w:t> </w:t>
            </w:r>
          </w:p>
        </w:tc>
        <w:tc>
          <w:tcPr>
            <w:tcW w:w="1012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There is no dividend yield, as dividends are assumed to be reinvested for the TSR calculation. The maximum award for PSUs for the 2023–2025 performance period is 200% of PSUs granted. If the maximum level of performance is achieved, the grant date fair values for the 2023 PSUs would be $29,250,000 (Ms. Barra), $12,375,000 (Mr. Jacobson), $20,943,750 (Mr. Reuss), and $9,796,800 (Mr. Glidden). Upon his resignation, Mr. Abbott forfeited the new hire RSU award in its entirety.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color w:val="3E3935"/>
              </w:rPr>
            </w:pPr>
            <w:r>
              <w:rPr>
                <w:color w:val="3E3935"/>
              </w:rPr>
              <w:t>(4)</w:t>
            </w:r>
          </w:p>
        </w:tc>
        <w:tc>
          <w:tcPr>
            <w:tcW w:w="9938"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Option Awards displays the grant date fair value of stock options issued under the LTIP, computed in accordance with FASB ASC Topic 718 using a Black-Scholes valuation. The assumptions used for the Black-Scholes valuation of the stock options are summarized below: </w:t>
            </w:r>
          </w:p>
        </w:tc>
      </w:tr>
    </w:tbl>
    <w:p>
      <w:pPr>
        <w:pStyle w:val="TextBody"/>
        <w:bidi w:val="0"/>
        <w:spacing w:before="0" w:after="0"/>
        <w:jc w:val="left"/>
        <w:rPr/>
      </w:pPr>
      <w:r>
        <w:rPr/>
        <w:t> </w:t>
      </w:r>
    </w:p>
    <w:tbl>
      <w:tblPr>
        <w:tblW w:w="7991" w:type="dxa"/>
        <w:jc w:val="left"/>
        <w:tblInd w:w="0" w:type="dxa"/>
        <w:tblLayout w:type="fixed"/>
        <w:tblCellMar>
          <w:top w:w="0" w:type="dxa"/>
          <w:left w:w="0" w:type="dxa"/>
          <w:bottom w:w="0" w:type="dxa"/>
          <w:right w:w="0" w:type="dxa"/>
        </w:tblCellMar>
      </w:tblPr>
      <w:tblGrid>
        <w:gridCol w:w="815"/>
        <w:gridCol w:w="120"/>
        <w:gridCol w:w="73"/>
        <w:gridCol w:w="73"/>
        <w:gridCol w:w="539"/>
        <w:gridCol w:w="265"/>
        <w:gridCol w:w="120"/>
        <w:gridCol w:w="95"/>
        <w:gridCol w:w="95"/>
        <w:gridCol w:w="415"/>
        <w:gridCol w:w="345"/>
        <w:gridCol w:w="120"/>
        <w:gridCol w:w="140"/>
        <w:gridCol w:w="140"/>
        <w:gridCol w:w="1033"/>
        <w:gridCol w:w="505"/>
        <w:gridCol w:w="120"/>
        <w:gridCol w:w="87"/>
        <w:gridCol w:w="87"/>
        <w:gridCol w:w="1459"/>
        <w:gridCol w:w="35"/>
        <w:gridCol w:w="120"/>
        <w:gridCol w:w="89"/>
        <w:gridCol w:w="208"/>
        <w:gridCol w:w="835"/>
        <w:gridCol w:w="58"/>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5"/>
              </w:rPr>
            </w:pPr>
            <w:r>
              <w:rPr>
                <w:rFonts w:ascii="arial" w:hAnsi="arial"/>
                <w:b/>
                <w:color w:val="3E3935"/>
                <w:sz w:val="15"/>
              </w:rPr>
              <w:t>Grant Date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5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Dividend</w:t>
              <w:br/>
              <w:t>Yield</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5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Implied</w:t>
              <w:br/>
              <w:t>Volatility</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818"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Risk-Free</w:t>
              <w:br/>
              <w:t> Interest Rate 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68"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Expected</w:t>
              <w:br/>
              <w:t> Option Life 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9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Grant Date</w:t>
              <w:br/>
              <w:t>Fair Value</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070" w:type="dxa"/>
            <w:gridSpan w:val="5"/>
            <w:tcBorders/>
            <w:vAlign w:val="center"/>
          </w:tcPr>
          <w:p>
            <w:pPr>
              <w:pStyle w:val="TableContents"/>
              <w:bidi w:val="0"/>
              <w:spacing w:before="0" w:after="283"/>
              <w:jc w:val="left"/>
              <w:rPr>
                <w:sz w:val="4"/>
                <w:szCs w:val="4"/>
              </w:rPr>
            </w:pPr>
            <w:r>
              <w:rPr>
                <w:sz w:val="4"/>
                <w:szCs w:val="4"/>
              </w:rPr>
            </w:r>
          </w:p>
        </w:tc>
        <w:tc>
          <w:tcPr>
            <w:tcW w:w="1070" w:type="dxa"/>
            <w:gridSpan w:val="5"/>
            <w:tcBorders/>
            <w:vAlign w:val="center"/>
          </w:tcPr>
          <w:p>
            <w:pPr>
              <w:pStyle w:val="TableContents"/>
              <w:bidi w:val="0"/>
              <w:spacing w:before="0" w:after="283"/>
              <w:jc w:val="left"/>
              <w:rPr>
                <w:sz w:val="4"/>
                <w:szCs w:val="4"/>
              </w:rPr>
            </w:pPr>
            <w:r>
              <w:rPr>
                <w:sz w:val="4"/>
                <w:szCs w:val="4"/>
              </w:rPr>
            </w:r>
          </w:p>
        </w:tc>
        <w:tc>
          <w:tcPr>
            <w:tcW w:w="1938" w:type="dxa"/>
            <w:gridSpan w:val="5"/>
            <w:tcBorders/>
            <w:vAlign w:val="center"/>
          </w:tcPr>
          <w:p>
            <w:pPr>
              <w:pStyle w:val="TableContents"/>
              <w:bidi w:val="0"/>
              <w:spacing w:before="0" w:after="283"/>
              <w:jc w:val="left"/>
              <w:rPr>
                <w:sz w:val="4"/>
                <w:szCs w:val="4"/>
              </w:rPr>
            </w:pPr>
            <w:r>
              <w:rPr>
                <w:sz w:val="4"/>
                <w:szCs w:val="4"/>
              </w:rPr>
            </w:r>
          </w:p>
        </w:tc>
        <w:tc>
          <w:tcPr>
            <w:tcW w:w="1788" w:type="dxa"/>
            <w:gridSpan w:val="5"/>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z w:val="15"/>
              </w:rPr>
            </w:pPr>
            <w:r>
              <w:rPr>
                <w:rFonts w:ascii="arial" w:hAnsi="arial"/>
                <w:color w:val="3E3935"/>
                <w:sz w:val="15"/>
              </w:rPr>
              <w:t>2/7/2023</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3" w:type="dxa"/>
            <w:tcBorders>
              <w:bottom w:val="single" w:sz="6" w:space="0" w:color="0071CE"/>
            </w:tcBorders>
            <w:tcMar>
              <w:bottom w:w="28" w:type="dxa"/>
            </w:tcMar>
            <w:vAlign w:val="center"/>
          </w:tcPr>
          <w:p>
            <w:pPr>
              <w:pStyle w:val="TableContents"/>
              <w:bidi w:val="0"/>
              <w:spacing w:before="0" w:after="283"/>
              <w:jc w:val="left"/>
              <w:rPr/>
            </w:pPr>
            <w:r>
              <w:rPr/>
              <w:t> </w:t>
            </w:r>
          </w:p>
        </w:tc>
        <w:tc>
          <w:tcPr>
            <w:tcW w:w="73"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539"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1.90</w:t>
            </w:r>
          </w:p>
        </w:tc>
        <w:tc>
          <w:tcPr>
            <w:tcW w:w="26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5" w:type="dxa"/>
            <w:tcBorders>
              <w:bottom w:val="single" w:sz="6" w:space="0" w:color="0071CE"/>
            </w:tcBorders>
            <w:tcMar>
              <w:bottom w:w="28" w:type="dxa"/>
            </w:tcMar>
            <w:vAlign w:val="center"/>
          </w:tcPr>
          <w:p>
            <w:pPr>
              <w:pStyle w:val="TableContents"/>
              <w:bidi w:val="0"/>
              <w:spacing w:before="0" w:after="283"/>
              <w:jc w:val="left"/>
              <w:rPr/>
            </w:pPr>
            <w:r>
              <w:rPr/>
              <w:t> </w:t>
            </w:r>
          </w:p>
        </w:tc>
        <w:tc>
          <w:tcPr>
            <w:tcW w:w="9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415"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34</w:t>
            </w:r>
          </w:p>
        </w:tc>
        <w:tc>
          <w:tcPr>
            <w:tcW w:w="34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40" w:type="dxa"/>
            <w:tcBorders>
              <w:bottom w:val="single" w:sz="6" w:space="0" w:color="0071CE"/>
            </w:tcBorders>
            <w:tcMar>
              <w:bottom w:w="28" w:type="dxa"/>
            </w:tcMar>
            <w:vAlign w:val="center"/>
          </w:tcPr>
          <w:p>
            <w:pPr>
              <w:pStyle w:val="TableContents"/>
              <w:bidi w:val="0"/>
              <w:spacing w:before="0" w:after="283"/>
              <w:jc w:val="left"/>
              <w:rPr/>
            </w:pPr>
            <w:r>
              <w:rPr/>
              <w:t> </w:t>
            </w:r>
          </w:p>
        </w:tc>
        <w:tc>
          <w:tcPr>
            <w:tcW w:w="14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033"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3.70</w:t>
            </w:r>
          </w:p>
        </w:tc>
        <w:tc>
          <w:tcPr>
            <w:tcW w:w="50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7" w:type="dxa"/>
            <w:tcBorders>
              <w:bottom w:val="single" w:sz="6" w:space="0" w:color="0071CE"/>
            </w:tcBorders>
            <w:tcMar>
              <w:bottom w:w="28" w:type="dxa"/>
            </w:tcMar>
            <w:vAlign w:val="center"/>
          </w:tcPr>
          <w:p>
            <w:pPr>
              <w:pStyle w:val="TableContents"/>
              <w:bidi w:val="0"/>
              <w:spacing w:before="0" w:after="283"/>
              <w:jc w:val="left"/>
              <w:rPr/>
            </w:pPr>
            <w:r>
              <w:rPr/>
              <w:t> </w:t>
            </w:r>
          </w:p>
        </w:tc>
        <w:tc>
          <w:tcPr>
            <w:tcW w:w="87"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459"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6.00 years</w:t>
            </w:r>
          </w:p>
        </w:tc>
        <w:tc>
          <w:tcPr>
            <w:tcW w:w="35"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9" w:type="dxa"/>
            <w:tcBorders>
              <w:bottom w:val="single" w:sz="6" w:space="0" w:color="0071CE"/>
            </w:tcBorders>
            <w:tcMar>
              <w:bottom w:w="28" w:type="dxa"/>
            </w:tcMar>
            <w:vAlign w:val="center"/>
          </w:tcPr>
          <w:p>
            <w:pPr>
              <w:pStyle w:val="TableContents"/>
              <w:bidi w:val="0"/>
              <w:spacing w:before="0" w:after="283"/>
              <w:jc w:val="left"/>
              <w:rPr/>
            </w:pPr>
            <w:r>
              <w:rPr/>
              <w:t> </w:t>
            </w:r>
          </w:p>
        </w:tc>
        <w:tc>
          <w:tcPr>
            <w:tcW w:w="208"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w:t>
            </w:r>
          </w:p>
        </w:tc>
        <w:tc>
          <w:tcPr>
            <w:tcW w:w="835"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13.27</w:t>
            </w:r>
          </w:p>
        </w:tc>
        <w:tc>
          <w:tcPr>
            <w:tcW w:w="58"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color w:val="3E3935"/>
              </w:rPr>
            </w:pPr>
            <w:r>
              <w:rPr>
                <w:color w:val="3E3935"/>
              </w:rPr>
              <w:t>(5)</w:t>
            </w:r>
          </w:p>
        </w:tc>
        <w:tc>
          <w:tcPr>
            <w:tcW w:w="994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All NEOs were eligible for a payment under the STIP for 2023 performance based on the Company’s achievement of annual performance goals and individual performance. Individual performance decisions for each NEO are determined by the Compensation Committee; results are discussed beginning on page 57.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3E3935"/>
              </w:rPr>
            </w:pPr>
            <w:r>
              <w:rPr>
                <w:color w:val="3E3935"/>
              </w:rPr>
              <w:t>(6)</w:t>
            </w:r>
          </w:p>
        </w:tc>
        <w:tc>
          <w:tcPr>
            <w:tcW w:w="9961"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amounts represent the actuarial change in the present value of the NEO’s accrued benefit for 2023 attributed to year-over-year variances in applicable discount rates, lump sum interest rates, mortality rates, and employer contributions to tax-qualified and non-tax-qualified plans, as described in “Pension Benefits” on page 70. The Company does not credit interest at above-market rates to any deferred retirement accounts, and no interest amounts are included in these totals. In 2023, the actuarial present value decreased in the amount of $51,638 (Ms. Barra). Messrs. Jacobson, Abbott, and Glidden are not eligible to participate in DB pension plans based on their date of service. </w:t>
            </w:r>
          </w:p>
        </w:tc>
      </w:tr>
    </w:tbl>
    <w:tbl>
      <w:tblPr>
        <w:tblW w:w="6145" w:type="dxa"/>
        <w:jc w:val="left"/>
        <w:tblInd w:w="0" w:type="dxa"/>
        <w:tblLayout w:type="fixed"/>
        <w:tblCellMar>
          <w:top w:w="0" w:type="dxa"/>
          <w:left w:w="0" w:type="dxa"/>
          <w:bottom w:w="0" w:type="dxa"/>
          <w:right w:w="0" w:type="dxa"/>
        </w:tblCellMar>
      </w:tblPr>
      <w:tblGrid>
        <w:gridCol w:w="305"/>
        <w:gridCol w:w="5840"/>
      </w:tblGrid>
      <w:tr>
        <w:trPr/>
        <w:tc>
          <w:tcPr>
            <w:tcW w:w="305" w:type="dxa"/>
            <w:tcBorders/>
            <w:vAlign w:val="center"/>
          </w:tcPr>
          <w:p>
            <w:pPr>
              <w:pStyle w:val="TableContents"/>
              <w:bidi w:val="0"/>
              <w:spacing w:before="0" w:after="283"/>
              <w:jc w:val="left"/>
              <w:rPr>
                <w:color w:val="3E3935"/>
              </w:rPr>
            </w:pPr>
            <w:r>
              <w:rPr>
                <w:color w:val="3E3935"/>
              </w:rPr>
              <w:t>(7)</w:t>
            </w:r>
          </w:p>
        </w:tc>
        <w:tc>
          <w:tcPr>
            <w:tcW w:w="584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amounts included as All Other Compensation are described in the table below. </w:t>
            </w:r>
          </w:p>
        </w:tc>
      </w:tr>
    </w:tbl>
    <w:p>
      <w:pPr>
        <w:pStyle w:val="TextBody"/>
        <w:bidi w:val="0"/>
        <w:spacing w:before="0" w:after="0"/>
        <w:jc w:val="left"/>
        <w:rPr/>
      </w:pPr>
      <w:r>
        <w:rPr/>
        <w:t> </w:t>
      </w:r>
    </w:p>
    <w:tbl>
      <w:tblPr>
        <w:tblW w:w="5483" w:type="dxa"/>
        <w:jc w:val="left"/>
        <w:tblInd w:w="0" w:type="dxa"/>
        <w:tblLayout w:type="fixed"/>
        <w:tblCellMar>
          <w:top w:w="0" w:type="dxa"/>
          <w:left w:w="0" w:type="dxa"/>
          <w:bottom w:w="0" w:type="dxa"/>
          <w:right w:w="0" w:type="dxa"/>
        </w:tblCellMar>
      </w:tblPr>
      <w:tblGrid>
        <w:gridCol w:w="275"/>
        <w:gridCol w:w="60"/>
        <w:gridCol w:w="192"/>
        <w:gridCol w:w="60"/>
        <w:gridCol w:w="4655"/>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66</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46"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75" descr=""/>
                          <pic:cNvPicPr>
                            <a:picLocks noChangeAspect="1" noChangeArrowheads="1"/>
                          </pic:cNvPicPr>
                        </pic:nvPicPr>
                        <pic:blipFill>
                          <a:blip r:embed="rId329"/>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center"/>
              <w:rPr>
                <w:b/>
                <w:color w:val="3E3935"/>
              </w:rPr>
            </w:pPr>
            <w:r>
              <w:rPr>
                <w:b/>
                <w:color w:val="3E3935"/>
              </w:rPr>
              <w:t xml:space="preserve">EXECUTIVE COMPENSATION TABLES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All Other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0"/>
        <w:gridCol w:w="120"/>
        <w:gridCol w:w="84"/>
        <w:gridCol w:w="1121"/>
        <w:gridCol w:w="60"/>
        <w:gridCol w:w="120"/>
        <w:gridCol w:w="102"/>
        <w:gridCol w:w="1373"/>
        <w:gridCol w:w="60"/>
        <w:gridCol w:w="120"/>
        <w:gridCol w:w="83"/>
        <w:gridCol w:w="1107"/>
        <w:gridCol w:w="60"/>
        <w:gridCol w:w="120"/>
        <w:gridCol w:w="87"/>
        <w:gridCol w:w="998"/>
        <w:gridCol w:w="60"/>
        <w:gridCol w:w="120"/>
        <w:gridCol w:w="94"/>
        <w:gridCol w:w="1261"/>
        <w:gridCol w:w="75"/>
      </w:tblGrid>
      <w:tr>
        <w:trPr/>
        <w:tc>
          <w:tcPr>
            <w:tcW w:w="2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8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M.T. Barra</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47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P.A. Jacobson</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M.L. Reuss</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8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M. Abbott</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5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C.B. Glidden</w:t>
              <w:br/>
              <w: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r>
      <w:tr>
        <w:trPr/>
        <w:tc>
          <w:tcPr>
            <w:tcW w:w="298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Perquisites and Other Personal Benefits(1)</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121" w:type="dxa"/>
            <w:tcBorders/>
            <w:vAlign w:val="center"/>
          </w:tcPr>
          <w:p>
            <w:pPr>
              <w:pStyle w:val="TableContents"/>
              <w:bidi w:val="0"/>
              <w:spacing w:before="0" w:after="283"/>
              <w:jc w:val="right"/>
              <w:rPr>
                <w:color w:val="3E3935"/>
              </w:rPr>
            </w:pPr>
            <w:r>
              <w:rPr>
                <w:color w:val="3E3935"/>
              </w:rPr>
              <w:t>389,005</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color w:val="3E3935"/>
              </w:rPr>
            </w:pPr>
            <w:r>
              <w:rPr>
                <w:color w:val="3E3935"/>
              </w:rPr>
              <w:t> </w:t>
            </w:r>
          </w:p>
        </w:tc>
        <w:tc>
          <w:tcPr>
            <w:tcW w:w="1373" w:type="dxa"/>
            <w:tcBorders/>
            <w:vAlign w:val="center"/>
          </w:tcPr>
          <w:p>
            <w:pPr>
              <w:pStyle w:val="TableContents"/>
              <w:bidi w:val="0"/>
              <w:spacing w:before="0" w:after="283"/>
              <w:jc w:val="right"/>
              <w:rPr>
                <w:color w:val="3E3935"/>
              </w:rPr>
            </w:pPr>
            <w:r>
              <w:rPr>
                <w:color w:val="3E3935"/>
              </w:rPr>
              <w:t>27,091</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214,418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3E3935"/>
              </w:rPr>
            </w:pPr>
            <w:r>
              <w:rPr>
                <w:color w:val="3E3935"/>
              </w:rPr>
              <w:t> </w:t>
            </w:r>
          </w:p>
        </w:tc>
        <w:tc>
          <w:tcPr>
            <w:tcW w:w="998" w:type="dxa"/>
            <w:tcBorders/>
            <w:vAlign w:val="center"/>
          </w:tcPr>
          <w:p>
            <w:pPr>
              <w:pStyle w:val="TableContents"/>
              <w:bidi w:val="0"/>
              <w:spacing w:before="0" w:after="283"/>
              <w:jc w:val="right"/>
              <w:rPr>
                <w:color w:val="3E3935"/>
              </w:rPr>
            </w:pPr>
            <w:r>
              <w:rPr>
                <w:color w:val="3E3935"/>
              </w:rPr>
              <w:t>11,710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color w:val="3E3935"/>
              </w:rPr>
            </w:pPr>
            <w:r>
              <w:rPr>
                <w:color w:val="3E3935"/>
              </w:rPr>
              <w:t> </w:t>
            </w:r>
          </w:p>
        </w:tc>
        <w:tc>
          <w:tcPr>
            <w:tcW w:w="1261" w:type="dxa"/>
            <w:tcBorders/>
            <w:vAlign w:val="center"/>
          </w:tcPr>
          <w:p>
            <w:pPr>
              <w:pStyle w:val="TableContents"/>
              <w:bidi w:val="0"/>
              <w:spacing w:before="0" w:after="283"/>
              <w:jc w:val="right"/>
              <w:rPr>
                <w:color w:val="3E3935"/>
              </w:rPr>
            </w:pPr>
            <w:r>
              <w:rPr>
                <w:color w:val="3E3935"/>
              </w:rPr>
              <w:t>62,575</w:t>
            </w:r>
          </w:p>
        </w:tc>
        <w:tc>
          <w:tcPr>
            <w:tcW w:w="75" w:type="dxa"/>
            <w:tcBorders/>
            <w:vAlign w:val="center"/>
          </w:tcPr>
          <w:p>
            <w:pPr>
              <w:pStyle w:val="TableContents"/>
              <w:bidi w:val="0"/>
              <w:spacing w:before="0" w:after="283"/>
              <w:jc w:val="left"/>
              <w:rPr>
                <w:color w:val="3E3935"/>
              </w:rPr>
            </w:pPr>
            <w:r>
              <w:rPr>
                <w:color w:val="3E3935"/>
              </w:rPr>
              <w:t> </w:t>
            </w:r>
          </w:p>
        </w:tc>
      </w:tr>
      <w:tr>
        <w:trPr/>
        <w:tc>
          <w:tcPr>
            <w:tcW w:w="2980" w:type="dxa"/>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655" w:type="dxa"/>
            <w:gridSpan w:val="4"/>
            <w:tcBorders/>
            <w:shd w:fill="CCF2F8" w:val="clear"/>
            <w:vAlign w:val="center"/>
          </w:tcPr>
          <w:p>
            <w:pPr>
              <w:pStyle w:val="TableContents"/>
              <w:bidi w:val="0"/>
              <w:spacing w:before="0" w:after="283"/>
              <w:jc w:val="left"/>
              <w:rPr>
                <w:sz w:val="4"/>
                <w:szCs w:val="4"/>
              </w:rPr>
            </w:pPr>
            <w:r>
              <w:rPr>
                <w:sz w:val="4"/>
                <w:szCs w:val="4"/>
              </w:rPr>
            </w:r>
          </w:p>
        </w:tc>
        <w:tc>
          <w:tcPr>
            <w:tcW w:w="1370" w:type="dxa"/>
            <w:gridSpan w:val="4"/>
            <w:tcBorders/>
            <w:shd w:fill="CCF2F8" w:val="clear"/>
            <w:vAlign w:val="center"/>
          </w:tcPr>
          <w:p>
            <w:pPr>
              <w:pStyle w:val="TableContents"/>
              <w:bidi w:val="0"/>
              <w:spacing w:before="0" w:after="283"/>
              <w:jc w:val="left"/>
              <w:rPr>
                <w:sz w:val="4"/>
                <w:szCs w:val="4"/>
              </w:rPr>
            </w:pPr>
            <w:r>
              <w:rPr>
                <w:sz w:val="4"/>
                <w:szCs w:val="4"/>
              </w:rPr>
            </w:r>
          </w:p>
        </w:tc>
        <w:tc>
          <w:tcPr>
            <w:tcW w:w="1265" w:type="dxa"/>
            <w:gridSpan w:val="4"/>
            <w:tcBorders/>
            <w:shd w:fill="CCF2F8" w:val="clear"/>
            <w:vAlign w:val="center"/>
          </w:tcPr>
          <w:p>
            <w:pPr>
              <w:pStyle w:val="TableContents"/>
              <w:bidi w:val="0"/>
              <w:spacing w:before="0" w:after="283"/>
              <w:jc w:val="left"/>
              <w:rPr>
                <w:sz w:val="4"/>
                <w:szCs w:val="4"/>
              </w:rPr>
            </w:pPr>
            <w:r>
              <w:rPr>
                <w:sz w:val="4"/>
                <w:szCs w:val="4"/>
              </w:rPr>
            </w:r>
          </w:p>
        </w:tc>
        <w:tc>
          <w:tcPr>
            <w:tcW w:w="155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98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Employer Contributions to Savings Plans(2)</w:t>
            </w:r>
          </w:p>
        </w:tc>
        <w:tc>
          <w:tcPr>
            <w:tcW w:w="12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121" w:type="dxa"/>
            <w:tcBorders/>
            <w:shd w:fill="CCF2F8" w:val="clear"/>
            <w:vAlign w:val="center"/>
          </w:tcPr>
          <w:p>
            <w:pPr>
              <w:pStyle w:val="TableContents"/>
              <w:bidi w:val="0"/>
              <w:spacing w:before="0" w:after="283"/>
              <w:jc w:val="right"/>
              <w:rPr>
                <w:color w:val="3E3935"/>
              </w:rPr>
            </w:pPr>
            <w:r>
              <w:rPr>
                <w:color w:val="3E3935"/>
              </w:rPr>
              <w:t>585,480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02" w:type="dxa"/>
            <w:tcBorders/>
            <w:shd w:fill="CCF2F8" w:val="clear"/>
            <w:vAlign w:val="center"/>
          </w:tcPr>
          <w:p>
            <w:pPr>
              <w:pStyle w:val="TableContents"/>
              <w:bidi w:val="0"/>
              <w:spacing w:before="0" w:after="283"/>
              <w:jc w:val="left"/>
              <w:rPr>
                <w:color w:val="3E3935"/>
              </w:rPr>
            </w:pPr>
            <w:r>
              <w:rPr>
                <w:color w:val="3E3935"/>
              </w:rPr>
              <w:t> </w:t>
            </w:r>
          </w:p>
        </w:tc>
        <w:tc>
          <w:tcPr>
            <w:tcW w:w="1373" w:type="dxa"/>
            <w:tcBorders/>
            <w:shd w:fill="CCF2F8" w:val="clear"/>
            <w:vAlign w:val="center"/>
          </w:tcPr>
          <w:p>
            <w:pPr>
              <w:pStyle w:val="TableContents"/>
              <w:bidi w:val="0"/>
              <w:spacing w:before="0" w:after="283"/>
              <w:jc w:val="right"/>
              <w:rPr>
                <w:color w:val="3E3935"/>
              </w:rPr>
            </w:pPr>
            <w:r>
              <w:rPr>
                <w:color w:val="3E3935"/>
              </w:rPr>
              <w:t>154,500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3"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290,928</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7" w:type="dxa"/>
            <w:tcBorders/>
            <w:shd w:fill="CCF2F8" w:val="clear"/>
            <w:vAlign w:val="center"/>
          </w:tcPr>
          <w:p>
            <w:pPr>
              <w:pStyle w:val="TableContents"/>
              <w:bidi w:val="0"/>
              <w:spacing w:before="0" w:after="283"/>
              <w:jc w:val="left"/>
              <w:rPr>
                <w:color w:val="3E3935"/>
              </w:rPr>
            </w:pPr>
            <w:r>
              <w:rPr>
                <w:color w:val="3E3935"/>
              </w:rPr>
              <w:t> </w:t>
            </w:r>
          </w:p>
        </w:tc>
        <w:tc>
          <w:tcPr>
            <w:tcW w:w="998" w:type="dxa"/>
            <w:tcBorders/>
            <w:shd w:fill="CCF2F8" w:val="clear"/>
            <w:vAlign w:val="center"/>
          </w:tcPr>
          <w:p>
            <w:pPr>
              <w:pStyle w:val="TableContents"/>
              <w:bidi w:val="0"/>
              <w:spacing w:before="0" w:after="283"/>
              <w:jc w:val="right"/>
              <w:rPr>
                <w:color w:val="3E3935"/>
              </w:rPr>
            </w:pPr>
            <w:r>
              <w:rPr>
                <w:color w:val="3E3935"/>
              </w:rPr>
              <w:t>35,555</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94" w:type="dxa"/>
            <w:tcBorders/>
            <w:shd w:fill="CCF2F8" w:val="clear"/>
            <w:vAlign w:val="center"/>
          </w:tcPr>
          <w:p>
            <w:pPr>
              <w:pStyle w:val="TableContents"/>
              <w:bidi w:val="0"/>
              <w:spacing w:before="0" w:after="283"/>
              <w:jc w:val="left"/>
              <w:rPr>
                <w:color w:val="3E3935"/>
              </w:rPr>
            </w:pPr>
            <w:r>
              <w:rPr>
                <w:color w:val="3E3935"/>
              </w:rPr>
              <w:t> </w:t>
            </w:r>
          </w:p>
        </w:tc>
        <w:tc>
          <w:tcPr>
            <w:tcW w:w="1261" w:type="dxa"/>
            <w:tcBorders/>
            <w:shd w:fill="CCF2F8" w:val="clear"/>
            <w:vAlign w:val="center"/>
          </w:tcPr>
          <w:p>
            <w:pPr>
              <w:pStyle w:val="TableContents"/>
              <w:bidi w:val="0"/>
              <w:spacing w:before="0" w:after="283"/>
              <w:jc w:val="right"/>
              <w:rPr>
                <w:color w:val="3E3935"/>
              </w:rPr>
            </w:pPr>
            <w:r>
              <w:rPr>
                <w:color w:val="3E3935"/>
              </w:rPr>
              <w:t>137,380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298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r>
      <w:tr>
        <w:trPr/>
        <w:tc>
          <w:tcPr>
            <w:tcW w:w="298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Life and Other Insurance Benefits(3)</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121" w:type="dxa"/>
            <w:tcBorders/>
            <w:vAlign w:val="center"/>
          </w:tcPr>
          <w:p>
            <w:pPr>
              <w:pStyle w:val="TableContents"/>
              <w:bidi w:val="0"/>
              <w:spacing w:before="0" w:after="283"/>
              <w:jc w:val="right"/>
              <w:rPr>
                <w:color w:val="3E3935"/>
              </w:rPr>
            </w:pPr>
            <w:r>
              <w:rPr>
                <w:color w:val="3E3935"/>
              </w:rPr>
              <w:t>22,907</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color w:val="3E3935"/>
              </w:rPr>
            </w:pPr>
            <w:r>
              <w:rPr>
                <w:color w:val="3E3935"/>
              </w:rPr>
              <w:t> </w:t>
            </w:r>
          </w:p>
        </w:tc>
        <w:tc>
          <w:tcPr>
            <w:tcW w:w="1373" w:type="dxa"/>
            <w:tcBorders/>
            <w:vAlign w:val="center"/>
          </w:tcPr>
          <w:p>
            <w:pPr>
              <w:pStyle w:val="TableContents"/>
              <w:bidi w:val="0"/>
              <w:spacing w:before="0" w:after="283"/>
              <w:jc w:val="right"/>
              <w:rPr>
                <w:color w:val="3E3935"/>
              </w:rPr>
            </w:pPr>
            <w:r>
              <w:rPr>
                <w:color w:val="3E3935"/>
              </w:rPr>
              <w:t>4,830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14,572</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3E3935"/>
              </w:rPr>
            </w:pPr>
            <w:r>
              <w:rPr>
                <w:color w:val="3E3935"/>
              </w:rPr>
              <w:t> </w:t>
            </w:r>
          </w:p>
        </w:tc>
        <w:tc>
          <w:tcPr>
            <w:tcW w:w="998" w:type="dxa"/>
            <w:tcBorders/>
            <w:vAlign w:val="center"/>
          </w:tcPr>
          <w:p>
            <w:pPr>
              <w:pStyle w:val="TableContents"/>
              <w:bidi w:val="0"/>
              <w:spacing w:before="0" w:after="283"/>
              <w:jc w:val="right"/>
              <w:rPr>
                <w:color w:val="3E3935"/>
              </w:rPr>
            </w:pPr>
            <w:r>
              <w:rPr>
                <w:color w:val="3E3935"/>
              </w:rPr>
              <w:t>1,932</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color w:val="3E3935"/>
              </w:rPr>
            </w:pPr>
            <w:r>
              <w:rPr>
                <w:color w:val="3E3935"/>
              </w:rPr>
              <w:t> </w:t>
            </w:r>
          </w:p>
        </w:tc>
        <w:tc>
          <w:tcPr>
            <w:tcW w:w="1261" w:type="dxa"/>
            <w:tcBorders/>
            <w:vAlign w:val="center"/>
          </w:tcPr>
          <w:p>
            <w:pPr>
              <w:pStyle w:val="TableContents"/>
              <w:bidi w:val="0"/>
              <w:spacing w:before="0" w:after="283"/>
              <w:jc w:val="right"/>
              <w:rPr>
                <w:color w:val="3E3935"/>
              </w:rPr>
            </w:pPr>
            <w:r>
              <w:rPr>
                <w:color w:val="3E3935"/>
              </w:rPr>
              <w:t>21,719</w:t>
            </w:r>
          </w:p>
        </w:tc>
        <w:tc>
          <w:tcPr>
            <w:tcW w:w="75" w:type="dxa"/>
            <w:tcBorders/>
            <w:vAlign w:val="center"/>
          </w:tcPr>
          <w:p>
            <w:pPr>
              <w:pStyle w:val="TableContents"/>
              <w:bidi w:val="0"/>
              <w:spacing w:before="0" w:after="283"/>
              <w:jc w:val="left"/>
              <w:rPr>
                <w:color w:val="3E3935"/>
              </w:rPr>
            </w:pPr>
            <w:r>
              <w:rPr>
                <w:color w:val="3E3935"/>
              </w:rPr>
              <w:t> </w:t>
            </w:r>
          </w:p>
        </w:tc>
      </w:tr>
      <w:tr>
        <w:trPr/>
        <w:tc>
          <w:tcPr>
            <w:tcW w:w="2980" w:type="dxa"/>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655" w:type="dxa"/>
            <w:gridSpan w:val="4"/>
            <w:tcBorders/>
            <w:shd w:fill="CCF2F8" w:val="clear"/>
            <w:vAlign w:val="center"/>
          </w:tcPr>
          <w:p>
            <w:pPr>
              <w:pStyle w:val="TableContents"/>
              <w:bidi w:val="0"/>
              <w:spacing w:before="0" w:after="283"/>
              <w:jc w:val="left"/>
              <w:rPr>
                <w:sz w:val="4"/>
                <w:szCs w:val="4"/>
              </w:rPr>
            </w:pPr>
            <w:r>
              <w:rPr>
                <w:sz w:val="4"/>
                <w:szCs w:val="4"/>
              </w:rPr>
            </w:r>
          </w:p>
        </w:tc>
        <w:tc>
          <w:tcPr>
            <w:tcW w:w="1370" w:type="dxa"/>
            <w:gridSpan w:val="4"/>
            <w:tcBorders/>
            <w:shd w:fill="CCF2F8" w:val="clear"/>
            <w:vAlign w:val="center"/>
          </w:tcPr>
          <w:p>
            <w:pPr>
              <w:pStyle w:val="TableContents"/>
              <w:bidi w:val="0"/>
              <w:spacing w:before="0" w:after="283"/>
              <w:jc w:val="left"/>
              <w:rPr>
                <w:sz w:val="4"/>
                <w:szCs w:val="4"/>
              </w:rPr>
            </w:pPr>
            <w:r>
              <w:rPr>
                <w:sz w:val="4"/>
                <w:szCs w:val="4"/>
              </w:rPr>
            </w:r>
          </w:p>
        </w:tc>
        <w:tc>
          <w:tcPr>
            <w:tcW w:w="1265" w:type="dxa"/>
            <w:gridSpan w:val="4"/>
            <w:tcBorders/>
            <w:shd w:fill="CCF2F8" w:val="clear"/>
            <w:vAlign w:val="center"/>
          </w:tcPr>
          <w:p>
            <w:pPr>
              <w:pStyle w:val="TableContents"/>
              <w:bidi w:val="0"/>
              <w:spacing w:before="0" w:after="283"/>
              <w:jc w:val="left"/>
              <w:rPr>
                <w:sz w:val="4"/>
                <w:szCs w:val="4"/>
              </w:rPr>
            </w:pPr>
            <w:r>
              <w:rPr>
                <w:sz w:val="4"/>
                <w:szCs w:val="4"/>
              </w:rPr>
            </w:r>
          </w:p>
        </w:tc>
        <w:tc>
          <w:tcPr>
            <w:tcW w:w="155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98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Other(4)</w:t>
            </w:r>
          </w:p>
        </w:tc>
        <w:tc>
          <w:tcPr>
            <w:tcW w:w="12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121"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02" w:type="dxa"/>
            <w:tcBorders/>
            <w:shd w:fill="CCF2F8" w:val="clear"/>
            <w:vAlign w:val="center"/>
          </w:tcPr>
          <w:p>
            <w:pPr>
              <w:pStyle w:val="TableContents"/>
              <w:bidi w:val="0"/>
              <w:spacing w:before="0" w:after="283"/>
              <w:jc w:val="left"/>
              <w:rPr>
                <w:color w:val="3E3935"/>
              </w:rPr>
            </w:pPr>
            <w:r>
              <w:rPr>
                <w:color w:val="3E3935"/>
              </w:rPr>
              <w:t> </w:t>
            </w:r>
          </w:p>
        </w:tc>
        <w:tc>
          <w:tcPr>
            <w:tcW w:w="1373"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3"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2,250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7" w:type="dxa"/>
            <w:tcBorders/>
            <w:shd w:fill="CCF2F8" w:val="clear"/>
            <w:vAlign w:val="center"/>
          </w:tcPr>
          <w:p>
            <w:pPr>
              <w:pStyle w:val="TableContents"/>
              <w:bidi w:val="0"/>
              <w:spacing w:before="0" w:after="283"/>
              <w:jc w:val="left"/>
              <w:rPr>
                <w:color w:val="3E3935"/>
              </w:rPr>
            </w:pPr>
            <w:r>
              <w:rPr>
                <w:color w:val="3E3935"/>
              </w:rPr>
              <w:t> </w:t>
            </w:r>
          </w:p>
        </w:tc>
        <w:tc>
          <w:tcPr>
            <w:tcW w:w="998"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94" w:type="dxa"/>
            <w:tcBorders/>
            <w:shd w:fill="CCF2F8" w:val="clear"/>
            <w:vAlign w:val="center"/>
          </w:tcPr>
          <w:p>
            <w:pPr>
              <w:pStyle w:val="TableContents"/>
              <w:bidi w:val="0"/>
              <w:spacing w:before="0" w:after="283"/>
              <w:jc w:val="left"/>
              <w:rPr>
                <w:color w:val="3E3935"/>
              </w:rPr>
            </w:pPr>
            <w:r>
              <w:rPr>
                <w:color w:val="3E3935"/>
              </w:rPr>
              <w:t> </w:t>
            </w:r>
          </w:p>
        </w:tc>
        <w:tc>
          <w:tcPr>
            <w:tcW w:w="1261" w:type="dxa"/>
            <w:tcBorders/>
            <w:shd w:fill="CCF2F8" w:val="clear"/>
            <w:vAlign w:val="center"/>
          </w:tcPr>
          <w:p>
            <w:pPr>
              <w:pStyle w:val="TableContents"/>
              <w:bidi w:val="0"/>
              <w:spacing w:before="0" w:after="283"/>
              <w:jc w:val="right"/>
              <w:rPr>
                <w:color w:val="3E3935"/>
              </w:rPr>
            </w:pPr>
            <w:r>
              <w:rPr>
                <w:color w:val="3E3935"/>
              </w:rPr>
              <w:t>—</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298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r>
      <w:tr>
        <w:trPr/>
        <w:tc>
          <w:tcPr>
            <w:tcW w:w="298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4"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121"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997,392</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2"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373"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186,421</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3"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107"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522,168</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7"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998"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49,197</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4"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61"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221,674</w:t>
            </w:r>
          </w:p>
        </w:tc>
        <w:tc>
          <w:tcPr>
            <w:tcW w:w="7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305"/>
        <w:gridCol w:w="6980"/>
      </w:tblGrid>
      <w:tr>
        <w:trPr/>
        <w:tc>
          <w:tcPr>
            <w:tcW w:w="305" w:type="dxa"/>
            <w:tcBorders/>
            <w:vAlign w:val="center"/>
          </w:tcPr>
          <w:p>
            <w:pPr>
              <w:pStyle w:val="TableContents"/>
              <w:bidi w:val="0"/>
              <w:spacing w:before="0" w:after="283"/>
              <w:jc w:val="left"/>
              <w:rPr>
                <w:color w:val="3E3935"/>
              </w:rPr>
            </w:pPr>
            <w:r>
              <w:rPr>
                <w:color w:val="3E3935"/>
              </w:rPr>
              <w:t>(1)</w:t>
            </w:r>
          </w:p>
        </w:tc>
        <w:tc>
          <w:tcPr>
            <w:tcW w:w="698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amounts included as Perquisites and Other Personal Benefits are described in the table below. </w:t>
            </w:r>
          </w:p>
        </w:tc>
      </w:tr>
    </w:tbl>
    <w:tbl>
      <w:tblPr>
        <w:tblW w:w="8125" w:type="dxa"/>
        <w:jc w:val="left"/>
        <w:tblInd w:w="0" w:type="dxa"/>
        <w:tblLayout w:type="fixed"/>
        <w:tblCellMar>
          <w:top w:w="0" w:type="dxa"/>
          <w:left w:w="0" w:type="dxa"/>
          <w:bottom w:w="0" w:type="dxa"/>
          <w:right w:w="0" w:type="dxa"/>
        </w:tblCellMar>
      </w:tblPr>
      <w:tblGrid>
        <w:gridCol w:w="305"/>
        <w:gridCol w:w="7820"/>
      </w:tblGrid>
      <w:tr>
        <w:trPr/>
        <w:tc>
          <w:tcPr>
            <w:tcW w:w="305" w:type="dxa"/>
            <w:tcBorders/>
            <w:vAlign w:val="center"/>
          </w:tcPr>
          <w:p>
            <w:pPr>
              <w:pStyle w:val="TableContents"/>
              <w:bidi w:val="0"/>
              <w:spacing w:before="0" w:after="283"/>
              <w:jc w:val="left"/>
              <w:rPr>
                <w:color w:val="3E3935"/>
              </w:rPr>
            </w:pPr>
            <w:r>
              <w:rPr>
                <w:color w:val="3E3935"/>
              </w:rPr>
              <w:t>(2)</w:t>
            </w:r>
          </w:p>
        </w:tc>
        <w:tc>
          <w:tcPr>
            <w:tcW w:w="782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Includes employer contributions to tax-qualified and non-tax-qualified savings and retirement plans during 2023.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color w:val="3E3935"/>
              </w:rPr>
            </w:pPr>
            <w:r>
              <w:rPr>
                <w:color w:val="3E3935"/>
              </w:rPr>
              <w:t>(3)</w:t>
            </w:r>
          </w:p>
        </w:tc>
        <w:tc>
          <w:tcPr>
            <w:tcW w:w="9946"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Includes premiums paid by the Company for Group Variable Universal Life insurance for executives. For Ms. Barra, the amount also includes premiums paid by the Company for providing personal accident insurance for members of the Board. NEOs are responsible for any ordinary income taxes resulting from the cost of Company-paid premiums. </w:t>
            </w:r>
          </w:p>
        </w:tc>
      </w:tr>
    </w:tbl>
    <w:tbl>
      <w:tblPr>
        <w:tblW w:w="4405" w:type="dxa"/>
        <w:jc w:val="left"/>
        <w:tblInd w:w="0" w:type="dxa"/>
        <w:tblLayout w:type="fixed"/>
        <w:tblCellMar>
          <w:top w:w="0" w:type="dxa"/>
          <w:left w:w="0" w:type="dxa"/>
          <w:bottom w:w="0" w:type="dxa"/>
          <w:right w:w="0" w:type="dxa"/>
        </w:tblCellMar>
      </w:tblPr>
      <w:tblGrid>
        <w:gridCol w:w="305"/>
        <w:gridCol w:w="4100"/>
      </w:tblGrid>
      <w:tr>
        <w:trPr/>
        <w:tc>
          <w:tcPr>
            <w:tcW w:w="305" w:type="dxa"/>
            <w:tcBorders/>
            <w:vAlign w:val="center"/>
          </w:tcPr>
          <w:p>
            <w:pPr>
              <w:pStyle w:val="TableContents"/>
              <w:bidi w:val="0"/>
              <w:spacing w:before="0" w:after="283"/>
              <w:jc w:val="left"/>
              <w:rPr>
                <w:color w:val="3E3935"/>
              </w:rPr>
            </w:pPr>
            <w:r>
              <w:rPr>
                <w:color w:val="3E3935"/>
              </w:rPr>
              <w:t>(4)</w:t>
            </w:r>
          </w:p>
        </w:tc>
        <w:tc>
          <w:tcPr>
            <w:tcW w:w="410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Reflects patent awards granted to Mr. Reuss during 2023. </w:t>
            </w:r>
          </w:p>
        </w:tc>
      </w:tr>
    </w:tbl>
    <w:p>
      <w:pPr>
        <w:pStyle w:val="TextBody"/>
        <w:bidi w:val="0"/>
        <w:spacing w:before="360" w:after="0"/>
        <w:jc w:val="left"/>
        <w:rPr>
          <w:rFonts w:ascii="arial" w:hAnsi="arial"/>
          <w:b/>
          <w:color w:val="3E3935"/>
          <w:sz w:val="26"/>
        </w:rPr>
      </w:pPr>
      <w:r>
        <w:rPr>
          <w:rFonts w:ascii="arial" w:hAnsi="arial"/>
          <w:b/>
          <w:color w:val="3E3935"/>
          <w:sz w:val="26"/>
        </w:rPr>
        <w:t xml:space="preserve">Perquisites and Other Personal Benefits </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2285"/>
        <w:gridCol w:w="120"/>
        <w:gridCol w:w="84"/>
        <w:gridCol w:w="1121"/>
        <w:gridCol w:w="60"/>
        <w:gridCol w:w="120"/>
        <w:gridCol w:w="119"/>
        <w:gridCol w:w="1356"/>
        <w:gridCol w:w="60"/>
        <w:gridCol w:w="120"/>
        <w:gridCol w:w="83"/>
        <w:gridCol w:w="1107"/>
        <w:gridCol w:w="60"/>
        <w:gridCol w:w="120"/>
        <w:gridCol w:w="87"/>
        <w:gridCol w:w="998"/>
        <w:gridCol w:w="60"/>
        <w:gridCol w:w="120"/>
        <w:gridCol w:w="109"/>
        <w:gridCol w:w="1246"/>
        <w:gridCol w:w="7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M.T. Barra</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47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P.A. Jacobson</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M.L. Reuss</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8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M. Abbott</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5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C.B. Glidden</w:t>
              <w:br/>
              <w:t>($)</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Personal Travel(1)</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121" w:type="dxa"/>
            <w:tcBorders/>
            <w:vAlign w:val="center"/>
          </w:tcPr>
          <w:p>
            <w:pPr>
              <w:pStyle w:val="TableContents"/>
              <w:bidi w:val="0"/>
              <w:spacing w:before="0" w:after="283"/>
              <w:jc w:val="right"/>
              <w:rPr>
                <w:color w:val="3E3935"/>
              </w:rPr>
            </w:pPr>
            <w:r>
              <w:rPr>
                <w:color w:val="3E3935"/>
              </w:rPr>
              <w:t>263,694</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3E3935"/>
              </w:rPr>
            </w:pPr>
            <w:r>
              <w:rPr>
                <w:color w:val="3E3935"/>
              </w:rPr>
              <w:t> </w:t>
            </w:r>
          </w:p>
        </w:tc>
        <w:tc>
          <w:tcPr>
            <w:tcW w:w="1356"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74,999</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3E3935"/>
              </w:rPr>
            </w:pPr>
            <w:r>
              <w:rPr>
                <w:color w:val="3E3935"/>
              </w:rPr>
              <w:t> </w:t>
            </w:r>
          </w:p>
        </w:tc>
        <w:tc>
          <w:tcPr>
            <w:tcW w:w="998"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color w:val="3E3935"/>
              </w:rPr>
            </w:pPr>
            <w:r>
              <w:rPr>
                <w:color w:val="3E3935"/>
              </w:rPr>
              <w:t> </w:t>
            </w:r>
          </w:p>
        </w:tc>
        <w:tc>
          <w:tcPr>
            <w:tcW w:w="1246" w:type="dxa"/>
            <w:tcBorders/>
            <w:vAlign w:val="center"/>
          </w:tcPr>
          <w:p>
            <w:pPr>
              <w:pStyle w:val="TableContents"/>
              <w:bidi w:val="0"/>
              <w:spacing w:before="0" w:after="283"/>
              <w:jc w:val="right"/>
              <w:rPr>
                <w:color w:val="3E3935"/>
              </w:rPr>
            </w:pPr>
            <w:r>
              <w:rPr>
                <w:color w:val="3E3935"/>
              </w:rPr>
              <w:t>15,951</w:t>
            </w:r>
          </w:p>
        </w:tc>
        <w:tc>
          <w:tcPr>
            <w:tcW w:w="75" w:type="dxa"/>
            <w:tcBorders/>
            <w:vAlign w:val="center"/>
          </w:tcPr>
          <w:p>
            <w:pPr>
              <w:pStyle w:val="TableContents"/>
              <w:bidi w:val="0"/>
              <w:spacing w:before="0" w:after="283"/>
              <w:jc w:val="left"/>
              <w:rPr>
                <w:color w:val="3E3935"/>
              </w:rPr>
            </w:pPr>
            <w:r>
              <w:rPr>
                <w:color w:val="3E3935"/>
              </w:rPr>
              <w:t> </w:t>
            </w:r>
          </w:p>
        </w:tc>
      </w:tr>
      <w:tr>
        <w:trPr/>
        <w:tc>
          <w:tcPr>
            <w:tcW w:w="2285" w:type="dxa"/>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655" w:type="dxa"/>
            <w:gridSpan w:val="4"/>
            <w:tcBorders/>
            <w:shd w:fill="CCF2F8" w:val="clear"/>
            <w:vAlign w:val="center"/>
          </w:tcPr>
          <w:p>
            <w:pPr>
              <w:pStyle w:val="TableContents"/>
              <w:bidi w:val="0"/>
              <w:spacing w:before="0" w:after="283"/>
              <w:jc w:val="left"/>
              <w:rPr>
                <w:sz w:val="4"/>
                <w:szCs w:val="4"/>
              </w:rPr>
            </w:pPr>
            <w:r>
              <w:rPr>
                <w:sz w:val="4"/>
                <w:szCs w:val="4"/>
              </w:rPr>
            </w:r>
          </w:p>
        </w:tc>
        <w:tc>
          <w:tcPr>
            <w:tcW w:w="1370" w:type="dxa"/>
            <w:gridSpan w:val="4"/>
            <w:tcBorders/>
            <w:shd w:fill="CCF2F8" w:val="clear"/>
            <w:vAlign w:val="center"/>
          </w:tcPr>
          <w:p>
            <w:pPr>
              <w:pStyle w:val="TableContents"/>
              <w:bidi w:val="0"/>
              <w:spacing w:before="0" w:after="283"/>
              <w:jc w:val="left"/>
              <w:rPr>
                <w:sz w:val="4"/>
                <w:szCs w:val="4"/>
              </w:rPr>
            </w:pPr>
            <w:r>
              <w:rPr>
                <w:sz w:val="4"/>
                <w:szCs w:val="4"/>
              </w:rPr>
            </w:r>
          </w:p>
        </w:tc>
        <w:tc>
          <w:tcPr>
            <w:tcW w:w="1265" w:type="dxa"/>
            <w:gridSpan w:val="4"/>
            <w:tcBorders/>
            <w:shd w:fill="CCF2F8" w:val="clear"/>
            <w:vAlign w:val="center"/>
          </w:tcPr>
          <w:p>
            <w:pPr>
              <w:pStyle w:val="TableContents"/>
              <w:bidi w:val="0"/>
              <w:spacing w:before="0" w:after="283"/>
              <w:jc w:val="left"/>
              <w:rPr>
                <w:sz w:val="4"/>
                <w:szCs w:val="4"/>
              </w:rPr>
            </w:pPr>
            <w:r>
              <w:rPr>
                <w:sz w:val="4"/>
                <w:szCs w:val="4"/>
              </w:rPr>
            </w:r>
          </w:p>
        </w:tc>
        <w:tc>
          <w:tcPr>
            <w:tcW w:w="155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28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Security(2)</w:t>
            </w:r>
          </w:p>
        </w:tc>
        <w:tc>
          <w:tcPr>
            <w:tcW w:w="12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121" w:type="dxa"/>
            <w:tcBorders/>
            <w:shd w:fill="CCF2F8" w:val="clear"/>
            <w:vAlign w:val="center"/>
          </w:tcPr>
          <w:p>
            <w:pPr>
              <w:pStyle w:val="TableContents"/>
              <w:bidi w:val="0"/>
              <w:spacing w:before="0" w:after="283"/>
              <w:jc w:val="right"/>
              <w:rPr>
                <w:color w:val="3E3935"/>
              </w:rPr>
            </w:pPr>
            <w:r>
              <w:rPr>
                <w:color w:val="3E3935"/>
              </w:rPr>
              <w:t>96,101</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19" w:type="dxa"/>
            <w:tcBorders/>
            <w:shd w:fill="CCF2F8" w:val="clear"/>
            <w:vAlign w:val="center"/>
          </w:tcPr>
          <w:p>
            <w:pPr>
              <w:pStyle w:val="TableContents"/>
              <w:bidi w:val="0"/>
              <w:spacing w:before="0" w:after="283"/>
              <w:jc w:val="left"/>
              <w:rPr>
                <w:color w:val="3E3935"/>
              </w:rPr>
            </w:pPr>
            <w:r>
              <w:rPr>
                <w:color w:val="3E3935"/>
              </w:rPr>
              <w:t> </w:t>
            </w:r>
          </w:p>
        </w:tc>
        <w:tc>
          <w:tcPr>
            <w:tcW w:w="1356"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3"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108,928</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7" w:type="dxa"/>
            <w:tcBorders/>
            <w:shd w:fill="CCF2F8" w:val="clear"/>
            <w:vAlign w:val="center"/>
          </w:tcPr>
          <w:p>
            <w:pPr>
              <w:pStyle w:val="TableContents"/>
              <w:bidi w:val="0"/>
              <w:spacing w:before="0" w:after="283"/>
              <w:jc w:val="left"/>
              <w:rPr>
                <w:color w:val="3E3935"/>
              </w:rPr>
            </w:pPr>
            <w:r>
              <w:rPr>
                <w:color w:val="3E3935"/>
              </w:rPr>
              <w:t> </w:t>
            </w:r>
          </w:p>
        </w:tc>
        <w:tc>
          <w:tcPr>
            <w:tcW w:w="998"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09" w:type="dxa"/>
            <w:tcBorders/>
            <w:shd w:fill="CCF2F8" w:val="clear"/>
            <w:vAlign w:val="center"/>
          </w:tcPr>
          <w:p>
            <w:pPr>
              <w:pStyle w:val="TableContents"/>
              <w:bidi w:val="0"/>
              <w:spacing w:before="0" w:after="283"/>
              <w:jc w:val="left"/>
              <w:rPr>
                <w:color w:val="3E3935"/>
              </w:rPr>
            </w:pPr>
            <w:r>
              <w:rPr>
                <w:color w:val="3E3935"/>
              </w:rPr>
              <w:t> </w:t>
            </w:r>
          </w:p>
        </w:tc>
        <w:tc>
          <w:tcPr>
            <w:tcW w:w="1246" w:type="dxa"/>
            <w:tcBorders/>
            <w:shd w:fill="CCF2F8" w:val="clear"/>
            <w:vAlign w:val="center"/>
          </w:tcPr>
          <w:p>
            <w:pPr>
              <w:pStyle w:val="TableContents"/>
              <w:bidi w:val="0"/>
              <w:spacing w:before="0" w:after="283"/>
              <w:jc w:val="right"/>
              <w:rPr>
                <w:color w:val="3E3935"/>
              </w:rPr>
            </w:pPr>
            <w:r>
              <w:rPr>
                <w:color w:val="3E3935"/>
              </w:rPr>
              <w:t>—</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Company Vehicle Programs(3)</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121" w:type="dxa"/>
            <w:tcBorders/>
            <w:vAlign w:val="center"/>
          </w:tcPr>
          <w:p>
            <w:pPr>
              <w:pStyle w:val="TableContents"/>
              <w:bidi w:val="0"/>
              <w:spacing w:before="0" w:after="283"/>
              <w:jc w:val="right"/>
              <w:rPr>
                <w:color w:val="3E3935"/>
              </w:rPr>
            </w:pPr>
            <w:r>
              <w:rPr>
                <w:color w:val="3E3935"/>
              </w:rPr>
              <w:t>14,519</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3E3935"/>
              </w:rPr>
            </w:pPr>
            <w:r>
              <w:rPr>
                <w:color w:val="3E3935"/>
              </w:rPr>
              <w:t> </w:t>
            </w:r>
          </w:p>
        </w:tc>
        <w:tc>
          <w:tcPr>
            <w:tcW w:w="1356" w:type="dxa"/>
            <w:tcBorders/>
            <w:vAlign w:val="center"/>
          </w:tcPr>
          <w:p>
            <w:pPr>
              <w:pStyle w:val="TableContents"/>
              <w:bidi w:val="0"/>
              <w:spacing w:before="0" w:after="283"/>
              <w:jc w:val="right"/>
              <w:rPr>
                <w:color w:val="3E3935"/>
              </w:rPr>
            </w:pPr>
            <w:r>
              <w:rPr>
                <w:color w:val="3E3935"/>
              </w:rPr>
              <w:t>23,606</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20,131</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3E3935"/>
              </w:rPr>
            </w:pPr>
            <w:r>
              <w:rPr>
                <w:color w:val="3E3935"/>
              </w:rPr>
              <w:t> </w:t>
            </w:r>
          </w:p>
        </w:tc>
        <w:tc>
          <w:tcPr>
            <w:tcW w:w="998" w:type="dxa"/>
            <w:tcBorders/>
            <w:vAlign w:val="center"/>
          </w:tcPr>
          <w:p>
            <w:pPr>
              <w:pStyle w:val="TableContents"/>
              <w:bidi w:val="0"/>
              <w:spacing w:before="0" w:after="283"/>
              <w:jc w:val="right"/>
              <w:rPr>
                <w:color w:val="3E3935"/>
              </w:rPr>
            </w:pPr>
            <w:r>
              <w:rPr>
                <w:color w:val="3E3935"/>
              </w:rPr>
              <w:t>11,710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color w:val="3E3935"/>
              </w:rPr>
            </w:pPr>
            <w:r>
              <w:rPr>
                <w:color w:val="3E3935"/>
              </w:rPr>
              <w:t> </w:t>
            </w:r>
          </w:p>
        </w:tc>
        <w:tc>
          <w:tcPr>
            <w:tcW w:w="1246" w:type="dxa"/>
            <w:tcBorders/>
            <w:vAlign w:val="center"/>
          </w:tcPr>
          <w:p>
            <w:pPr>
              <w:pStyle w:val="TableContents"/>
              <w:bidi w:val="0"/>
              <w:spacing w:before="0" w:after="283"/>
              <w:jc w:val="right"/>
              <w:rPr>
                <w:color w:val="3E3935"/>
              </w:rPr>
            </w:pPr>
            <w:r>
              <w:rPr>
                <w:color w:val="3E3935"/>
              </w:rPr>
              <w:t>25,590</w:t>
            </w:r>
          </w:p>
        </w:tc>
        <w:tc>
          <w:tcPr>
            <w:tcW w:w="75" w:type="dxa"/>
            <w:tcBorders/>
            <w:vAlign w:val="center"/>
          </w:tcPr>
          <w:p>
            <w:pPr>
              <w:pStyle w:val="TableContents"/>
              <w:bidi w:val="0"/>
              <w:spacing w:before="0" w:after="283"/>
              <w:jc w:val="left"/>
              <w:rPr>
                <w:color w:val="3E3935"/>
              </w:rPr>
            </w:pPr>
            <w:r>
              <w:rPr>
                <w:color w:val="3E3935"/>
              </w:rPr>
              <w:t> </w:t>
            </w:r>
          </w:p>
        </w:tc>
      </w:tr>
      <w:tr>
        <w:trPr/>
        <w:tc>
          <w:tcPr>
            <w:tcW w:w="2285" w:type="dxa"/>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655" w:type="dxa"/>
            <w:gridSpan w:val="4"/>
            <w:tcBorders/>
            <w:shd w:fill="CCF2F8" w:val="clear"/>
            <w:vAlign w:val="center"/>
          </w:tcPr>
          <w:p>
            <w:pPr>
              <w:pStyle w:val="TableContents"/>
              <w:bidi w:val="0"/>
              <w:spacing w:before="0" w:after="283"/>
              <w:jc w:val="left"/>
              <w:rPr>
                <w:sz w:val="4"/>
                <w:szCs w:val="4"/>
              </w:rPr>
            </w:pPr>
            <w:r>
              <w:rPr>
                <w:sz w:val="4"/>
                <w:szCs w:val="4"/>
              </w:rPr>
            </w:r>
          </w:p>
        </w:tc>
        <w:tc>
          <w:tcPr>
            <w:tcW w:w="1370" w:type="dxa"/>
            <w:gridSpan w:val="4"/>
            <w:tcBorders/>
            <w:shd w:fill="CCF2F8" w:val="clear"/>
            <w:vAlign w:val="center"/>
          </w:tcPr>
          <w:p>
            <w:pPr>
              <w:pStyle w:val="TableContents"/>
              <w:bidi w:val="0"/>
              <w:spacing w:before="0" w:after="283"/>
              <w:jc w:val="left"/>
              <w:rPr>
                <w:sz w:val="4"/>
                <w:szCs w:val="4"/>
              </w:rPr>
            </w:pPr>
            <w:r>
              <w:rPr>
                <w:sz w:val="4"/>
                <w:szCs w:val="4"/>
              </w:rPr>
            </w:r>
          </w:p>
        </w:tc>
        <w:tc>
          <w:tcPr>
            <w:tcW w:w="1265" w:type="dxa"/>
            <w:gridSpan w:val="4"/>
            <w:tcBorders/>
            <w:shd w:fill="CCF2F8" w:val="clear"/>
            <w:vAlign w:val="center"/>
          </w:tcPr>
          <w:p>
            <w:pPr>
              <w:pStyle w:val="TableContents"/>
              <w:bidi w:val="0"/>
              <w:spacing w:before="0" w:after="283"/>
              <w:jc w:val="left"/>
              <w:rPr>
                <w:sz w:val="4"/>
                <w:szCs w:val="4"/>
              </w:rPr>
            </w:pPr>
            <w:r>
              <w:rPr>
                <w:sz w:val="4"/>
                <w:szCs w:val="4"/>
              </w:rPr>
            </w:r>
          </w:p>
        </w:tc>
        <w:tc>
          <w:tcPr>
            <w:tcW w:w="155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28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Executive Physical(4)</w:t>
            </w:r>
          </w:p>
        </w:tc>
        <w:tc>
          <w:tcPr>
            <w:tcW w:w="12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121" w:type="dxa"/>
            <w:tcBorders/>
            <w:shd w:fill="CCF2F8" w:val="clear"/>
            <w:vAlign w:val="center"/>
          </w:tcPr>
          <w:p>
            <w:pPr>
              <w:pStyle w:val="TableContents"/>
              <w:bidi w:val="0"/>
              <w:spacing w:before="0" w:after="283"/>
              <w:jc w:val="right"/>
              <w:rPr>
                <w:color w:val="3E3935"/>
              </w:rPr>
            </w:pPr>
            <w:r>
              <w:rPr>
                <w:color w:val="3E3935"/>
              </w:rPr>
              <w:t>4,331</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19" w:type="dxa"/>
            <w:tcBorders/>
            <w:shd w:fill="CCF2F8" w:val="clear"/>
            <w:vAlign w:val="center"/>
          </w:tcPr>
          <w:p>
            <w:pPr>
              <w:pStyle w:val="TableContents"/>
              <w:bidi w:val="0"/>
              <w:spacing w:before="0" w:after="283"/>
              <w:jc w:val="left"/>
              <w:rPr>
                <w:color w:val="3E3935"/>
              </w:rPr>
            </w:pPr>
            <w:r>
              <w:rPr>
                <w:color w:val="3E3935"/>
              </w:rPr>
              <w:t> </w:t>
            </w:r>
          </w:p>
        </w:tc>
        <w:tc>
          <w:tcPr>
            <w:tcW w:w="1356" w:type="dxa"/>
            <w:tcBorders/>
            <w:shd w:fill="CCF2F8" w:val="clear"/>
            <w:vAlign w:val="center"/>
          </w:tcPr>
          <w:p>
            <w:pPr>
              <w:pStyle w:val="TableContents"/>
              <w:bidi w:val="0"/>
              <w:spacing w:before="0" w:after="283"/>
              <w:jc w:val="right"/>
              <w:rPr>
                <w:color w:val="3E3935"/>
              </w:rPr>
            </w:pPr>
            <w:r>
              <w:rPr>
                <w:color w:val="3E3935"/>
              </w:rPr>
              <w:t>3,485</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3"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7" w:type="dxa"/>
            <w:tcBorders/>
            <w:shd w:fill="CCF2F8" w:val="clear"/>
            <w:vAlign w:val="center"/>
          </w:tcPr>
          <w:p>
            <w:pPr>
              <w:pStyle w:val="TableContents"/>
              <w:bidi w:val="0"/>
              <w:spacing w:before="0" w:after="283"/>
              <w:jc w:val="left"/>
              <w:rPr>
                <w:color w:val="3E3935"/>
              </w:rPr>
            </w:pPr>
            <w:r>
              <w:rPr>
                <w:color w:val="3E3935"/>
              </w:rPr>
              <w:t> </w:t>
            </w:r>
          </w:p>
        </w:tc>
        <w:tc>
          <w:tcPr>
            <w:tcW w:w="998"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09" w:type="dxa"/>
            <w:tcBorders/>
            <w:shd w:fill="CCF2F8" w:val="clear"/>
            <w:vAlign w:val="center"/>
          </w:tcPr>
          <w:p>
            <w:pPr>
              <w:pStyle w:val="TableContents"/>
              <w:bidi w:val="0"/>
              <w:spacing w:before="0" w:after="283"/>
              <w:jc w:val="left"/>
              <w:rPr>
                <w:color w:val="3E3935"/>
              </w:rPr>
            </w:pPr>
            <w:r>
              <w:rPr>
                <w:color w:val="3E3935"/>
              </w:rPr>
              <w:t> </w:t>
            </w:r>
          </w:p>
        </w:tc>
        <w:tc>
          <w:tcPr>
            <w:tcW w:w="1246" w:type="dxa"/>
            <w:tcBorders/>
            <w:shd w:fill="CCF2F8" w:val="clear"/>
            <w:vAlign w:val="center"/>
          </w:tcPr>
          <w:p>
            <w:pPr>
              <w:pStyle w:val="TableContents"/>
              <w:bidi w:val="0"/>
              <w:spacing w:before="0" w:after="283"/>
              <w:jc w:val="right"/>
              <w:rPr>
                <w:color w:val="3E3935"/>
              </w:rPr>
            </w:pPr>
            <w:r>
              <w:rPr>
                <w:color w:val="3E3935"/>
              </w:rPr>
              <w:t>10,674</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Financial Counseling(5)</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121" w:type="dxa"/>
            <w:tcBorders/>
            <w:vAlign w:val="center"/>
          </w:tcPr>
          <w:p>
            <w:pPr>
              <w:pStyle w:val="TableContents"/>
              <w:bidi w:val="0"/>
              <w:spacing w:before="0" w:after="283"/>
              <w:jc w:val="right"/>
              <w:rPr>
                <w:color w:val="3E3935"/>
              </w:rPr>
            </w:pPr>
            <w:r>
              <w:rPr>
                <w:color w:val="3E3935"/>
              </w:rPr>
              <w:t>10,360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3E3935"/>
              </w:rPr>
            </w:pPr>
            <w:r>
              <w:rPr>
                <w:color w:val="3E3935"/>
              </w:rPr>
              <w:t> </w:t>
            </w:r>
          </w:p>
        </w:tc>
        <w:tc>
          <w:tcPr>
            <w:tcW w:w="1356"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3E3935"/>
              </w:rPr>
            </w:pPr>
            <w:r>
              <w:rPr>
                <w:color w:val="3E3935"/>
              </w:rPr>
              <w:t> </w:t>
            </w:r>
          </w:p>
        </w:tc>
        <w:tc>
          <w:tcPr>
            <w:tcW w:w="1107" w:type="dxa"/>
            <w:tcBorders/>
            <w:vAlign w:val="center"/>
          </w:tcPr>
          <w:p>
            <w:pPr>
              <w:pStyle w:val="TableContents"/>
              <w:bidi w:val="0"/>
              <w:spacing w:before="0" w:after="283"/>
              <w:jc w:val="right"/>
              <w:rPr>
                <w:color w:val="3E3935"/>
              </w:rPr>
            </w:pPr>
            <w:r>
              <w:rPr>
                <w:color w:val="3E3935"/>
              </w:rPr>
              <w:t>10,360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3E3935"/>
              </w:rPr>
            </w:pPr>
            <w:r>
              <w:rPr>
                <w:color w:val="3E3935"/>
              </w:rPr>
              <w:t> </w:t>
            </w:r>
          </w:p>
        </w:tc>
        <w:tc>
          <w:tcPr>
            <w:tcW w:w="998"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color w:val="3E3935"/>
              </w:rPr>
            </w:pPr>
            <w:r>
              <w:rPr>
                <w:color w:val="3E3935"/>
              </w:rPr>
              <w:t> </w:t>
            </w:r>
          </w:p>
        </w:tc>
        <w:tc>
          <w:tcPr>
            <w:tcW w:w="1246" w:type="dxa"/>
            <w:tcBorders/>
            <w:vAlign w:val="center"/>
          </w:tcPr>
          <w:p>
            <w:pPr>
              <w:pStyle w:val="TableContents"/>
              <w:bidi w:val="0"/>
              <w:spacing w:before="0" w:after="283"/>
              <w:jc w:val="right"/>
              <w:rPr>
                <w:color w:val="3E3935"/>
              </w:rPr>
            </w:pPr>
            <w:r>
              <w:rPr>
                <w:color w:val="3E3935"/>
              </w:rPr>
              <w:t>10,360</w:t>
            </w:r>
          </w:p>
        </w:tc>
        <w:tc>
          <w:tcPr>
            <w:tcW w:w="75" w:type="dxa"/>
            <w:tcBorders/>
            <w:vAlign w:val="center"/>
          </w:tcPr>
          <w:p>
            <w:pPr>
              <w:pStyle w:val="TableContents"/>
              <w:bidi w:val="0"/>
              <w:spacing w:before="0" w:after="283"/>
              <w:jc w:val="left"/>
              <w:rPr>
                <w:color w:val="3E3935"/>
              </w:rPr>
            </w:pPr>
            <w:r>
              <w:rPr>
                <w:color w:val="3E3935"/>
              </w:rPr>
              <w:t> </w:t>
            </w:r>
          </w:p>
        </w:tc>
      </w:tr>
      <w:tr>
        <w:trPr/>
        <w:tc>
          <w:tcPr>
            <w:tcW w:w="2285" w:type="dxa"/>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655" w:type="dxa"/>
            <w:gridSpan w:val="4"/>
            <w:tcBorders/>
            <w:shd w:fill="CCF2F8" w:val="clear"/>
            <w:vAlign w:val="center"/>
          </w:tcPr>
          <w:p>
            <w:pPr>
              <w:pStyle w:val="TableContents"/>
              <w:bidi w:val="0"/>
              <w:spacing w:before="0" w:after="283"/>
              <w:jc w:val="left"/>
              <w:rPr>
                <w:sz w:val="4"/>
                <w:szCs w:val="4"/>
              </w:rPr>
            </w:pPr>
            <w:r>
              <w:rPr>
                <w:sz w:val="4"/>
                <w:szCs w:val="4"/>
              </w:rPr>
            </w:r>
          </w:p>
        </w:tc>
        <w:tc>
          <w:tcPr>
            <w:tcW w:w="1370" w:type="dxa"/>
            <w:gridSpan w:val="4"/>
            <w:tcBorders/>
            <w:shd w:fill="CCF2F8" w:val="clear"/>
            <w:vAlign w:val="center"/>
          </w:tcPr>
          <w:p>
            <w:pPr>
              <w:pStyle w:val="TableContents"/>
              <w:bidi w:val="0"/>
              <w:spacing w:before="0" w:after="283"/>
              <w:jc w:val="left"/>
              <w:rPr>
                <w:sz w:val="4"/>
                <w:szCs w:val="4"/>
              </w:rPr>
            </w:pPr>
            <w:r>
              <w:rPr>
                <w:sz w:val="4"/>
                <w:szCs w:val="4"/>
              </w:rPr>
            </w:r>
          </w:p>
        </w:tc>
        <w:tc>
          <w:tcPr>
            <w:tcW w:w="1265" w:type="dxa"/>
            <w:gridSpan w:val="4"/>
            <w:tcBorders/>
            <w:shd w:fill="CCF2F8" w:val="clear"/>
            <w:vAlign w:val="center"/>
          </w:tcPr>
          <w:p>
            <w:pPr>
              <w:pStyle w:val="TableContents"/>
              <w:bidi w:val="0"/>
              <w:spacing w:before="0" w:after="283"/>
              <w:jc w:val="left"/>
              <w:rPr>
                <w:sz w:val="4"/>
                <w:szCs w:val="4"/>
              </w:rPr>
            </w:pPr>
            <w:r>
              <w:rPr>
                <w:sz w:val="4"/>
                <w:szCs w:val="4"/>
              </w:rPr>
            </w:r>
          </w:p>
        </w:tc>
        <w:tc>
          <w:tcPr>
            <w:tcW w:w="155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28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Other(6)</w:t>
            </w:r>
          </w:p>
        </w:tc>
        <w:tc>
          <w:tcPr>
            <w:tcW w:w="12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121"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19" w:type="dxa"/>
            <w:tcBorders/>
            <w:shd w:fill="CCF2F8" w:val="clear"/>
            <w:vAlign w:val="center"/>
          </w:tcPr>
          <w:p>
            <w:pPr>
              <w:pStyle w:val="TableContents"/>
              <w:bidi w:val="0"/>
              <w:spacing w:before="0" w:after="283"/>
              <w:jc w:val="left"/>
              <w:rPr>
                <w:color w:val="3E3935"/>
              </w:rPr>
            </w:pPr>
            <w:r>
              <w:rPr>
                <w:color w:val="3E3935"/>
              </w:rPr>
              <w:t> </w:t>
            </w:r>
          </w:p>
        </w:tc>
        <w:tc>
          <w:tcPr>
            <w:tcW w:w="1356"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3" w:type="dxa"/>
            <w:tcBorders/>
            <w:shd w:fill="CCF2F8" w:val="clear"/>
            <w:vAlign w:val="center"/>
          </w:tcPr>
          <w:p>
            <w:pPr>
              <w:pStyle w:val="TableContents"/>
              <w:bidi w:val="0"/>
              <w:spacing w:before="0" w:after="283"/>
              <w:jc w:val="left"/>
              <w:rPr>
                <w:color w:val="3E3935"/>
              </w:rPr>
            </w:pPr>
            <w:r>
              <w:rPr>
                <w:color w:val="3E3935"/>
              </w:rPr>
              <w:t> </w:t>
            </w:r>
          </w:p>
        </w:tc>
        <w:tc>
          <w:tcPr>
            <w:tcW w:w="1107"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87" w:type="dxa"/>
            <w:tcBorders/>
            <w:shd w:fill="CCF2F8" w:val="clear"/>
            <w:vAlign w:val="center"/>
          </w:tcPr>
          <w:p>
            <w:pPr>
              <w:pStyle w:val="TableContents"/>
              <w:bidi w:val="0"/>
              <w:spacing w:before="0" w:after="283"/>
              <w:jc w:val="left"/>
              <w:rPr>
                <w:color w:val="3E3935"/>
              </w:rPr>
            </w:pPr>
            <w:r>
              <w:rPr>
                <w:color w:val="3E3935"/>
              </w:rPr>
              <w:t> </w:t>
            </w:r>
          </w:p>
        </w:tc>
        <w:tc>
          <w:tcPr>
            <w:tcW w:w="998"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09" w:type="dxa"/>
            <w:tcBorders/>
            <w:shd w:fill="CCF2F8" w:val="clear"/>
            <w:vAlign w:val="center"/>
          </w:tcPr>
          <w:p>
            <w:pPr>
              <w:pStyle w:val="TableContents"/>
              <w:bidi w:val="0"/>
              <w:spacing w:before="0" w:after="283"/>
              <w:jc w:val="left"/>
              <w:rPr>
                <w:color w:val="3E3935"/>
              </w:rPr>
            </w:pPr>
            <w:r>
              <w:rPr>
                <w:color w:val="3E3935"/>
              </w:rPr>
              <w:t> </w:t>
            </w:r>
          </w:p>
        </w:tc>
        <w:tc>
          <w:tcPr>
            <w:tcW w:w="1246" w:type="dxa"/>
            <w:tcBorders/>
            <w:shd w:fill="CCF2F8" w:val="clear"/>
            <w:vAlign w:val="center"/>
          </w:tcPr>
          <w:p>
            <w:pPr>
              <w:pStyle w:val="TableContents"/>
              <w:bidi w:val="0"/>
              <w:spacing w:before="0" w:after="283"/>
              <w:jc w:val="right"/>
              <w:rPr>
                <w:color w:val="3E3935"/>
              </w:rPr>
            </w:pPr>
            <w:r>
              <w:rPr>
                <w:color w:val="3E3935"/>
              </w:rPr>
              <w:t>—</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TOTAL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4"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121"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389,005</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9"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356"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27,091</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3"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107"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214,418</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7"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998"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11,710</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9"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46"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62,575</w:t>
            </w:r>
          </w:p>
        </w:tc>
        <w:tc>
          <w:tcPr>
            <w:tcW w:w="7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olor w:val="3E3935"/>
              </w:rPr>
            </w:pPr>
            <w:r>
              <w:rPr>
                <w:color w:val="3E3935"/>
              </w:rPr>
              <w:t>(1)</w:t>
            </w:r>
          </w:p>
        </w:tc>
        <w:tc>
          <w:tcPr>
            <w:tcW w:w="9956"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Personal travel, pursuant to Company policy as discussed on page 52, includes incremental costs (fuel, flight crew expenses, landing fees, ground transportation fees, and other miscellaneous variable expenses) associated with aircraft use. Ms. Barra and Mr. Reuss serve on outside boards, which we view as directly and integrally related to their roles and professional development. The cost of travel to outside boards was $102,784 (Ms. Barra) and $25,570 (Mr. Reuss), and is excluded from the amount above.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color w:val="3E3935"/>
              </w:rPr>
            </w:pPr>
            <w:r>
              <w:rPr>
                <w:color w:val="3E3935"/>
              </w:rPr>
              <w:t>(2)</w:t>
            </w:r>
          </w:p>
        </w:tc>
        <w:tc>
          <w:tcPr>
            <w:tcW w:w="9954"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Includes the incremental cost of providing security services and residential security system monitoring for Ms. Barra and Mr. Reuss as recommended by an independent third-party security consultant or our security team. For security personnel employed by the Company, the cost is the actual incremental cost of expenses incurred by the security personnel. Total salary, wages, and benefits are not allocated as the Company already incurs these costs for business purposes.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3E3935"/>
              </w:rPr>
            </w:pPr>
            <w:r>
              <w:rPr>
                <w:color w:val="3E3935"/>
              </w:rPr>
              <w:t>(3)</w:t>
            </w:r>
          </w:p>
        </w:tc>
        <w:tc>
          <w:tcPr>
            <w:tcW w:w="9958"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Includes the cost of providing cars, drivers, and the estimated annual lease value of Company vehicles, inclusive of fuel and insurance, driven by NEOs. The annual lease value is included because it is more reflective of the 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 </w:t>
            </w:r>
          </w:p>
        </w:tc>
      </w:tr>
    </w:tbl>
    <w:tbl>
      <w:tblPr>
        <w:tblW w:w="7525" w:type="dxa"/>
        <w:jc w:val="left"/>
        <w:tblInd w:w="0" w:type="dxa"/>
        <w:tblLayout w:type="fixed"/>
        <w:tblCellMar>
          <w:top w:w="0" w:type="dxa"/>
          <w:left w:w="0" w:type="dxa"/>
          <w:bottom w:w="0" w:type="dxa"/>
          <w:right w:w="0" w:type="dxa"/>
        </w:tblCellMar>
      </w:tblPr>
      <w:tblGrid>
        <w:gridCol w:w="305"/>
        <w:gridCol w:w="7220"/>
      </w:tblGrid>
      <w:tr>
        <w:trPr/>
        <w:tc>
          <w:tcPr>
            <w:tcW w:w="305" w:type="dxa"/>
            <w:tcBorders/>
            <w:vAlign w:val="center"/>
          </w:tcPr>
          <w:p>
            <w:pPr>
              <w:pStyle w:val="TableContents"/>
              <w:bidi w:val="0"/>
              <w:spacing w:before="0" w:after="283"/>
              <w:jc w:val="left"/>
              <w:rPr>
                <w:color w:val="3E3935"/>
              </w:rPr>
            </w:pPr>
            <w:r>
              <w:rPr>
                <w:color w:val="3E3935"/>
              </w:rPr>
              <w:t>(4)</w:t>
            </w:r>
          </w:p>
        </w:tc>
        <w:tc>
          <w:tcPr>
            <w:tcW w:w="722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Reflects costs associated with executive physicals with an approved provider as discussed on page 52. </w:t>
            </w:r>
          </w:p>
        </w:tc>
      </w:tr>
    </w:tbl>
    <w:tbl>
      <w:tblPr>
        <w:tblW w:w="7795" w:type="dxa"/>
        <w:jc w:val="left"/>
        <w:tblInd w:w="0" w:type="dxa"/>
        <w:tblLayout w:type="fixed"/>
        <w:tblCellMar>
          <w:top w:w="0" w:type="dxa"/>
          <w:left w:w="0" w:type="dxa"/>
          <w:bottom w:w="0" w:type="dxa"/>
          <w:right w:w="0" w:type="dxa"/>
        </w:tblCellMar>
      </w:tblPr>
      <w:tblGrid>
        <w:gridCol w:w="305"/>
        <w:gridCol w:w="7490"/>
      </w:tblGrid>
      <w:tr>
        <w:trPr/>
        <w:tc>
          <w:tcPr>
            <w:tcW w:w="305" w:type="dxa"/>
            <w:tcBorders/>
            <w:vAlign w:val="center"/>
          </w:tcPr>
          <w:p>
            <w:pPr>
              <w:pStyle w:val="TableContents"/>
              <w:bidi w:val="0"/>
              <w:spacing w:before="0" w:after="283"/>
              <w:jc w:val="left"/>
              <w:rPr>
                <w:color w:val="3E3935"/>
              </w:rPr>
            </w:pPr>
            <w:r>
              <w:rPr>
                <w:color w:val="3E3935"/>
              </w:rPr>
              <w:t>(5)</w:t>
            </w:r>
          </w:p>
        </w:tc>
        <w:tc>
          <w:tcPr>
            <w:tcW w:w="74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Reflects costs associated with financial counseling and estate planning services with an approved provider.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color w:val="3E3935"/>
              </w:rPr>
            </w:pPr>
            <w:r>
              <w:rPr>
                <w:color w:val="3E3935"/>
              </w:rPr>
              <w:t>(6)</w:t>
            </w:r>
          </w:p>
        </w:tc>
        <w:tc>
          <w:tcPr>
            <w:tcW w:w="9954"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Occasionally, unused tickets from sponsorship agreements are made available for personal use. Tickets are included in sponsorship agreements and typically result in no incremental costs to the Company. In 2023, there were no incremental costs associated with the personal use of tickets to GM-sponsored events. Occasionally, limited souvenirs may be included as part of a sponsorship agreement and no incremental costs are incurred by the Company. </w:t>
            </w:r>
          </w:p>
        </w:tc>
      </w:tr>
    </w:tbl>
    <w:p>
      <w:pPr>
        <w:pStyle w:val="TextBody"/>
        <w:bidi w:val="0"/>
        <w:spacing w:before="0" w:after="0"/>
        <w:jc w:val="left"/>
        <w:rPr/>
      </w:pPr>
      <w:r>
        <w:rPr/>
        <w:t> </w:t>
      </w:r>
    </w:p>
    <w:tbl>
      <w:tblPr>
        <w:tblW w:w="7606" w:type="dxa"/>
        <w:jc w:val="left"/>
        <w:tblInd w:w="0" w:type="dxa"/>
        <w:tblLayout w:type="fixed"/>
        <w:tblCellMar>
          <w:top w:w="0" w:type="dxa"/>
          <w:left w:w="0" w:type="dxa"/>
          <w:bottom w:w="0" w:type="dxa"/>
          <w:right w:w="0" w:type="dxa"/>
        </w:tblCellMar>
      </w:tblPr>
      <w:tblGrid>
        <w:gridCol w:w="38"/>
        <w:gridCol w:w="60"/>
        <w:gridCol w:w="23"/>
        <w:gridCol w:w="60"/>
        <w:gridCol w:w="459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center"/>
              <w:rPr>
                <w:b/>
                <w:color w:val="3E3935"/>
              </w:rPr>
            </w:pPr>
            <w:r>
              <w:rPr>
                <w:b/>
                <w:color w:val="3E3935"/>
              </w:rPr>
              <w:t>EXECUTIVE COMPENSATION TABLES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67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34" w:name="toc648661_32"/>
      <w:bookmarkEnd w:id="34"/>
      <w:r>
        <w:rPr>
          <w:rFonts w:ascii="arial" w:hAnsi="arial"/>
          <w:b/>
          <w:color w:val="0071CE"/>
          <w:sz w:val="28"/>
        </w:rPr>
        <w:t xml:space="preserve">Grants of Plan-Based Awards </w:t>
      </w:r>
    </w:p>
    <w:p>
      <w:pPr>
        <w:pStyle w:val="TextBody"/>
        <w:bidi w:val="0"/>
        <w:spacing w:before="240" w:after="0"/>
        <w:jc w:val="both"/>
        <w:rPr>
          <w:rFonts w:ascii="arial" w:hAnsi="arial"/>
          <w:color w:val="3E3935"/>
          <w:sz w:val="18"/>
        </w:rPr>
      </w:pPr>
      <w:r>
        <w:rPr>
          <w:rFonts w:ascii="arial" w:hAnsi="arial"/>
          <w:color w:val="3E3935"/>
          <w:sz w:val="18"/>
        </w:rPr>
        <w:t xml:space="preserve">STIP awards for the 2023 performance year were made under the terms of the General Motors Company 2017 Short-Term Incentive Plan. Equity awards granted to each NEO were made under the terms of the General Motors Company 2020 Long-Term Incentive Plan. PSUs vest and deliver at the end of the performance period and can be earned at a level between 0 and 200 percent of target. PSUs are based on the achievement of performance conditions relating to EBIT-adjusted Margin, Relative TSR, and EV Measures over a three-year performance period from January 1, 2023, to December 31, 2025. Stock options vest ratably over a three-year period. The RSUs granted to Mr. Abbott on July 3, 2023, will vest in fifty percent tranches on July 3, 2024, and July 3, 2025. The RSUs granted to Mr. Glidden on December 13, 2023, will vest in full on December 13, 2025. </w:t>
      </w:r>
    </w:p>
    <w:p>
      <w:pPr>
        <w:pStyle w:val="TextBody"/>
        <w:bidi w:val="0"/>
        <w:spacing w:before="0" w:after="0"/>
        <w:jc w:val="left"/>
        <w:rPr/>
      </w:pPr>
      <w:r>
        <w:rPr/>
        <w:t> </w:t>
      </w:r>
    </w:p>
    <w:tbl>
      <w:tblPr>
        <w:tblW w:w="14745" w:type="dxa"/>
        <w:jc w:val="left"/>
        <w:tblInd w:w="0" w:type="dxa"/>
        <w:tblLayout w:type="fixed"/>
        <w:tblCellMar>
          <w:top w:w="0" w:type="dxa"/>
          <w:left w:w="0" w:type="dxa"/>
          <w:bottom w:w="0" w:type="dxa"/>
          <w:right w:w="0" w:type="dxa"/>
        </w:tblCellMar>
      </w:tblPr>
      <w:tblGrid>
        <w:gridCol w:w="635"/>
        <w:gridCol w:w="60"/>
        <w:gridCol w:w="60"/>
        <w:gridCol w:w="770"/>
        <w:gridCol w:w="215"/>
        <w:gridCol w:w="60"/>
        <w:gridCol w:w="60"/>
        <w:gridCol w:w="575"/>
        <w:gridCol w:w="60"/>
        <w:gridCol w:w="60"/>
        <w:gridCol w:w="60"/>
        <w:gridCol w:w="935"/>
        <w:gridCol w:w="60"/>
        <w:gridCol w:w="60"/>
        <w:gridCol w:w="74"/>
        <w:gridCol w:w="996"/>
        <w:gridCol w:w="60"/>
        <w:gridCol w:w="60"/>
        <w:gridCol w:w="60"/>
        <w:gridCol w:w="980"/>
        <w:gridCol w:w="60"/>
        <w:gridCol w:w="60"/>
        <w:gridCol w:w="61"/>
        <w:gridCol w:w="1009"/>
        <w:gridCol w:w="60"/>
        <w:gridCol w:w="60"/>
        <w:gridCol w:w="60"/>
        <w:gridCol w:w="60"/>
        <w:gridCol w:w="60"/>
        <w:gridCol w:w="60"/>
        <w:gridCol w:w="86"/>
        <w:gridCol w:w="984"/>
        <w:gridCol w:w="60"/>
        <w:gridCol w:w="60"/>
        <w:gridCol w:w="60"/>
        <w:gridCol w:w="800"/>
        <w:gridCol w:w="60"/>
        <w:gridCol w:w="60"/>
        <w:gridCol w:w="74"/>
        <w:gridCol w:w="996"/>
        <w:gridCol w:w="60"/>
        <w:gridCol w:w="60"/>
        <w:gridCol w:w="60"/>
        <w:gridCol w:w="800"/>
        <w:gridCol w:w="60"/>
        <w:gridCol w:w="60"/>
        <w:gridCol w:w="60"/>
        <w:gridCol w:w="800"/>
        <w:gridCol w:w="60"/>
        <w:gridCol w:w="60"/>
        <w:gridCol w:w="60"/>
        <w:gridCol w:w="560"/>
        <w:gridCol w:w="60"/>
        <w:gridCol w:w="60"/>
        <w:gridCol w:w="60"/>
        <w:gridCol w:w="1100"/>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420" w:type="dxa"/>
            <w:gridSpan w:val="10"/>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Estimated Future Payouts</w:t>
              <w:br/>
              <w:t>Under Non-Equity Incentive</w:t>
              <w:br/>
              <w:t>Plan Awards</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240" w:type="dxa"/>
            <w:gridSpan w:val="10"/>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Estimated Future Payouts</w:t>
              <w:br/>
              <w:t>Under Equity Incentive</w:t>
              <w:br/>
              <w:t>Plan Awards</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71CE"/>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6" w:space="0" w:color="0071CE"/>
            </w:tcBorders>
            <w:tcMar>
              <w:bottom w:w="40" w:type="dxa"/>
            </w:tcMar>
            <w:vAlign w:val="center"/>
          </w:tcPr>
          <w:p>
            <w:pPr>
              <w:pStyle w:val="TableContents"/>
              <w:bidi w:val="0"/>
              <w:spacing w:before="0" w:after="0"/>
              <w:jc w:val="center"/>
              <w:rPr>
                <w:rFonts w:ascii="arial" w:hAnsi="arial"/>
                <w:b/>
                <w:color w:val="3E3935"/>
                <w:sz w:val="13"/>
              </w:rPr>
            </w:pPr>
            <w:r>
              <w:rPr>
                <w:rFonts w:ascii="arial" w:hAnsi="arial"/>
                <w:b/>
                <w:color w:val="3E3935"/>
                <w:sz w:val="13"/>
              </w:rPr>
              <w:t>All Other</w:t>
              <w:br/>
              <w:t>Stock</w:t>
              <w:br/>
              <w:t>Awards:</w:t>
              <w:br/>
              <w:t>Number of</w:t>
              <w:br/>
              <w:t>Shares of</w:t>
            </w:r>
          </w:p>
          <w:p>
            <w:pPr>
              <w:pStyle w:val="TableContents"/>
              <w:bidi w:val="0"/>
              <w:spacing w:before="0" w:after="20"/>
              <w:jc w:val="center"/>
              <w:rPr>
                <w:rFonts w:ascii="arial" w:hAnsi="arial"/>
                <w:b/>
                <w:color w:val="3E3935"/>
                <w:sz w:val="13"/>
              </w:rPr>
            </w:pPr>
            <w:r>
              <w:rPr>
                <w:rFonts w:ascii="arial" w:hAnsi="arial"/>
                <w:b/>
                <w:color w:val="3E3935"/>
                <w:sz w:val="13"/>
              </w:rPr>
              <w:t>Stock or</w:t>
              <w:br/>
              <w:t>Units (#)</w:t>
            </w:r>
          </w:p>
        </w:tc>
        <w:tc>
          <w:tcPr>
            <w:tcW w:w="60" w:type="dxa"/>
            <w:vMerge w:val="restart"/>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71CE"/>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6" w:space="0" w:color="0071CE"/>
            </w:tcBorders>
            <w:tcMar>
              <w:bottom w:w="40" w:type="dxa"/>
            </w:tcMar>
            <w:vAlign w:val="center"/>
          </w:tcPr>
          <w:p>
            <w:pPr>
              <w:pStyle w:val="TableContents"/>
              <w:bidi w:val="0"/>
              <w:spacing w:before="0" w:after="0"/>
              <w:jc w:val="center"/>
              <w:rPr>
                <w:rFonts w:ascii="arial" w:hAnsi="arial"/>
                <w:b/>
                <w:color w:val="3E3935"/>
                <w:sz w:val="13"/>
              </w:rPr>
            </w:pPr>
            <w:r>
              <w:rPr>
                <w:rFonts w:ascii="arial" w:hAnsi="arial"/>
                <w:b/>
                <w:color w:val="3E3935"/>
                <w:sz w:val="13"/>
              </w:rPr>
              <w:t>All Other</w:t>
              <w:br/>
              <w:t>Option</w:t>
              <w:br/>
              <w:t>Awards:</w:t>
              <w:br/>
              <w:t>Number of</w:t>
              <w:br/>
              <w:t>Securities</w:t>
            </w:r>
          </w:p>
          <w:p>
            <w:pPr>
              <w:pStyle w:val="TableContents"/>
              <w:bidi w:val="0"/>
              <w:spacing w:before="0" w:after="20"/>
              <w:jc w:val="center"/>
              <w:rPr>
                <w:rFonts w:ascii="arial" w:hAnsi="arial"/>
                <w:b/>
                <w:color w:val="3E3935"/>
                <w:sz w:val="13"/>
              </w:rPr>
            </w:pPr>
            <w:r>
              <w:rPr>
                <w:rFonts w:ascii="arial" w:hAnsi="arial"/>
                <w:b/>
                <w:color w:val="3E3935"/>
                <w:sz w:val="13"/>
              </w:rPr>
              <w:t>Underlying</w:t>
              <w:br/>
              <w:t>Options (#)</w:t>
            </w:r>
          </w:p>
        </w:tc>
        <w:tc>
          <w:tcPr>
            <w:tcW w:w="60" w:type="dxa"/>
            <w:vMerge w:val="restart"/>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71CE"/>
            </w:tcBorders>
            <w:tcMar>
              <w:bottom w:w="28" w:type="dxa"/>
            </w:tcMar>
            <w:vAlign w:val="center"/>
          </w:tcPr>
          <w:p>
            <w:pPr>
              <w:pStyle w:val="TableContents"/>
              <w:bidi w:val="0"/>
              <w:spacing w:before="0" w:after="283"/>
              <w:jc w:val="left"/>
              <w:rPr/>
            </w:pPr>
            <w:r>
              <w:rPr/>
              <w:t> </w:t>
            </w:r>
          </w:p>
        </w:tc>
        <w:tc>
          <w:tcPr>
            <w:tcW w:w="620" w:type="dxa"/>
            <w:gridSpan w:val="2"/>
            <w:vMerge w:val="restart"/>
            <w:tcBorders>
              <w:bottom w:val="single" w:sz="6" w:space="0" w:color="0071CE"/>
            </w:tcBorders>
            <w:tcMar>
              <w:bottom w:w="40" w:type="dxa"/>
            </w:tcMar>
            <w:vAlign w:val="center"/>
          </w:tcPr>
          <w:p>
            <w:pPr>
              <w:pStyle w:val="TableContents"/>
              <w:bidi w:val="0"/>
              <w:spacing w:before="0" w:after="0"/>
              <w:jc w:val="center"/>
              <w:rPr>
                <w:rFonts w:ascii="arial" w:hAnsi="arial"/>
                <w:b/>
                <w:color w:val="3E3935"/>
                <w:sz w:val="13"/>
              </w:rPr>
            </w:pPr>
            <w:r>
              <w:rPr>
                <w:rFonts w:ascii="arial" w:hAnsi="arial"/>
                <w:b/>
                <w:color w:val="3E3935"/>
                <w:sz w:val="13"/>
              </w:rPr>
              <w:t>Exercise</w:t>
              <w:br/>
              <w:t>or Base</w:t>
              <w:br/>
              <w:t>Price of</w:t>
              <w:br/>
              <w:t>Option</w:t>
            </w:r>
          </w:p>
          <w:p>
            <w:pPr>
              <w:pStyle w:val="TableContents"/>
              <w:bidi w:val="0"/>
              <w:spacing w:before="0" w:after="20"/>
              <w:jc w:val="center"/>
              <w:rPr>
                <w:rFonts w:ascii="arial" w:hAnsi="arial"/>
                <w:b/>
                <w:color w:val="3E3935"/>
                <w:sz w:val="13"/>
              </w:rPr>
            </w:pPr>
            <w:r>
              <w:rPr>
                <w:rFonts w:ascii="arial" w:hAnsi="arial"/>
                <w:b/>
                <w:color w:val="3E3935"/>
                <w:sz w:val="13"/>
              </w:rPr>
              <w:t>Awards</w:t>
              <w:br/>
              <w:t>($/share)</w:t>
            </w:r>
          </w:p>
        </w:tc>
        <w:tc>
          <w:tcPr>
            <w:tcW w:w="60" w:type="dxa"/>
            <w:vMerge w:val="restart"/>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vMerge w:val="restart"/>
            <w:tcBorders>
              <w:bottom w:val="single" w:sz="6" w:space="0" w:color="0071CE"/>
            </w:tcBorders>
            <w:tcMar>
              <w:bottom w:w="40" w:type="dxa"/>
            </w:tcMar>
            <w:vAlign w:val="center"/>
          </w:tcPr>
          <w:p>
            <w:pPr>
              <w:pStyle w:val="TableContents"/>
              <w:bidi w:val="0"/>
              <w:spacing w:before="0" w:after="0"/>
              <w:jc w:val="center"/>
              <w:rPr>
                <w:rFonts w:ascii="arial" w:hAnsi="arial"/>
                <w:b/>
                <w:color w:val="3E3935"/>
                <w:sz w:val="13"/>
              </w:rPr>
            </w:pPr>
            <w:r>
              <w:rPr>
                <w:rFonts w:ascii="arial" w:hAnsi="arial"/>
                <w:b/>
                <w:color w:val="3E3935"/>
                <w:sz w:val="13"/>
              </w:rPr>
              <w:t>Grant Date</w:t>
              <w:br/>
              <w:t>Fair Value</w:t>
              <w:br/>
              <w:t>of Stock</w:t>
            </w:r>
          </w:p>
          <w:p>
            <w:pPr>
              <w:pStyle w:val="TableContents"/>
              <w:bidi w:val="0"/>
              <w:spacing w:before="0" w:after="20"/>
              <w:jc w:val="center"/>
              <w:rPr>
                <w:rFonts w:ascii="arial" w:hAnsi="arial"/>
                <w:b/>
                <w:color w:val="3E3935"/>
                <w:sz w:val="13"/>
              </w:rPr>
            </w:pPr>
            <w:r>
              <w:rPr>
                <w:rFonts w:ascii="arial" w:hAnsi="arial"/>
                <w:b/>
                <w:color w:val="3E3935"/>
                <w:sz w:val="13"/>
              </w:rPr>
              <w:t>and Option</w:t>
              <w:br/>
              <w:t>Awards($)(1)</w:t>
            </w:r>
          </w:p>
        </w:tc>
        <w:tc>
          <w:tcPr>
            <w:tcW w:w="75" w:type="dxa"/>
            <w:vMerge w:val="restart"/>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635" w:type="dxa"/>
            <w:tcBorders>
              <w:bottom w:val="single" w:sz="6" w:space="0" w:color="0071CE"/>
            </w:tcBorders>
            <w:tcMar>
              <w:bottom w:w="40" w:type="dxa"/>
            </w:tcMar>
            <w:vAlign w:val="center"/>
          </w:tcPr>
          <w:p>
            <w:pPr>
              <w:pStyle w:val="TableContents"/>
              <w:bidi w:val="0"/>
              <w:spacing w:before="0" w:after="0"/>
              <w:jc w:val="left"/>
              <w:rPr>
                <w:rFonts w:ascii="arial" w:hAnsi="arial"/>
                <w:b/>
                <w:color w:val="3E3935"/>
                <w:sz w:val="13"/>
              </w:rPr>
            </w:pPr>
            <w:r>
              <w:rPr>
                <w:rFonts w:ascii="arial" w:hAnsi="arial"/>
                <w:b/>
                <w:color w:val="3E3935"/>
                <w:sz w:val="13"/>
              </w:rPr>
              <w:t>Name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3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Award</w:t>
              <w:br/>
              <w:t>Type</w:t>
            </w:r>
          </w:p>
        </w:tc>
        <w:tc>
          <w:tcPr>
            <w:tcW w:w="21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35"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Grant</w:t>
              <w:br/>
              <w:t>Date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995"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Approval</w:t>
              <w:br/>
              <w:t>Date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Threshold</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Target</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Maximum</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Threshold</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Target</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Maximum</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0071CE"/>
            </w:tcBorders>
            <w:tcMar>
              <w:bottom w:w="28" w:type="dxa"/>
            </w:tcMar>
            <w:vAlign w:val="center"/>
          </w:tcPr>
          <w:p>
            <w:pPr>
              <w:pStyle w:val="Normal"/>
              <w:bidi w:val="0"/>
              <w:jc w:val="left"/>
              <w:rPr/>
            </w:pPr>
            <w:r>
              <w:rPr/>
            </w:r>
          </w:p>
        </w:tc>
        <w:tc>
          <w:tcPr>
            <w:tcW w:w="860" w:type="dxa"/>
            <w:gridSpan w:val="2"/>
            <w:vMerge w:val="continue"/>
            <w:tcBorders>
              <w:bottom w:val="single" w:sz="6" w:space="0" w:color="0071CE"/>
            </w:tcBorders>
            <w:tcMar>
              <w:bottom w:w="40" w:type="dxa"/>
            </w:tcMar>
            <w:vAlign w:val="center"/>
          </w:tcPr>
          <w:p>
            <w:pPr>
              <w:pStyle w:val="Normal"/>
              <w:bidi w:val="0"/>
              <w:jc w:val="left"/>
              <w:rPr/>
            </w:pPr>
            <w:r>
              <w:rPr/>
            </w:r>
          </w:p>
        </w:tc>
        <w:tc>
          <w:tcPr>
            <w:tcW w:w="60" w:type="dxa"/>
            <w:vMerge w:val="continue"/>
            <w:tcBorders>
              <w:bottom w:val="single" w:sz="6" w:space="0" w:color="0071CE"/>
            </w:tcBorders>
            <w:tcMar>
              <w:bottom w:w="28" w:type="dxa"/>
            </w:tcMar>
            <w:vAlign w:val="center"/>
          </w:tcPr>
          <w:p>
            <w:pPr>
              <w:pStyle w:val="Normal"/>
              <w:bidi w:val="0"/>
              <w:jc w:val="left"/>
              <w:rPr/>
            </w:pPr>
            <w:r>
              <w:rPr/>
            </w:r>
          </w:p>
        </w:tc>
        <w:tc>
          <w:tcPr>
            <w:tcW w:w="60" w:type="dxa"/>
            <w:vMerge w:val="continue"/>
            <w:tcBorders>
              <w:bottom w:val="single" w:sz="6" w:space="0" w:color="0071CE"/>
            </w:tcBorders>
            <w:tcMar>
              <w:bottom w:w="40" w:type="dxa"/>
            </w:tcMar>
            <w:vAlign w:val="center"/>
          </w:tcPr>
          <w:p>
            <w:pPr>
              <w:pStyle w:val="Normal"/>
              <w:bidi w:val="0"/>
              <w:jc w:val="left"/>
              <w:rPr/>
            </w:pPr>
            <w:r>
              <w:rPr/>
            </w:r>
          </w:p>
        </w:tc>
        <w:tc>
          <w:tcPr>
            <w:tcW w:w="860" w:type="dxa"/>
            <w:gridSpan w:val="2"/>
            <w:vMerge w:val="continue"/>
            <w:tcBorders>
              <w:bottom w:val="single" w:sz="6" w:space="0" w:color="0071CE"/>
            </w:tcBorders>
            <w:tcMar>
              <w:bottom w:w="28" w:type="dxa"/>
            </w:tcMar>
            <w:vAlign w:val="center"/>
          </w:tcPr>
          <w:p>
            <w:pPr>
              <w:pStyle w:val="Normal"/>
              <w:bidi w:val="0"/>
              <w:jc w:val="left"/>
              <w:rPr/>
            </w:pPr>
            <w:r>
              <w:rPr/>
            </w:r>
          </w:p>
        </w:tc>
        <w:tc>
          <w:tcPr>
            <w:tcW w:w="60" w:type="dxa"/>
            <w:vMerge w:val="continue"/>
            <w:tcBorders>
              <w:bottom w:val="single" w:sz="6" w:space="0" w:color="0071CE"/>
            </w:tcBorders>
            <w:tcMar>
              <w:bottom w:w="40" w:type="dxa"/>
            </w:tcMar>
            <w:vAlign w:val="center"/>
          </w:tcPr>
          <w:p>
            <w:pPr>
              <w:pStyle w:val="Normal"/>
              <w:bidi w:val="0"/>
              <w:jc w:val="left"/>
              <w:rPr/>
            </w:pPr>
            <w:r>
              <w:rPr/>
            </w:r>
          </w:p>
        </w:tc>
        <w:tc>
          <w:tcPr>
            <w:tcW w:w="60" w:type="dxa"/>
            <w:vMerge w:val="continue"/>
            <w:tcBorders>
              <w:bottom w:val="single" w:sz="6" w:space="0" w:color="0071CE"/>
            </w:tcBorders>
            <w:tcMar>
              <w:bottom w:w="28" w:type="dxa"/>
            </w:tcMar>
            <w:vAlign w:val="center"/>
          </w:tcPr>
          <w:p>
            <w:pPr>
              <w:pStyle w:val="Normal"/>
              <w:bidi w:val="0"/>
              <w:jc w:val="left"/>
              <w:rPr/>
            </w:pPr>
            <w:r>
              <w:rPr/>
            </w:r>
          </w:p>
        </w:tc>
        <w:tc>
          <w:tcPr>
            <w:tcW w:w="620" w:type="dxa"/>
            <w:gridSpan w:val="2"/>
            <w:vMerge w:val="continue"/>
            <w:tcBorders>
              <w:bottom w:val="single" w:sz="6" w:space="0" w:color="0071CE"/>
            </w:tcBorders>
            <w:tcMar>
              <w:bottom w:w="28" w:type="dxa"/>
            </w:tcMar>
            <w:vAlign w:val="center"/>
          </w:tcPr>
          <w:p>
            <w:pPr>
              <w:pStyle w:val="Normal"/>
              <w:bidi w:val="0"/>
              <w:jc w:val="left"/>
              <w:rPr/>
            </w:pPr>
            <w:r>
              <w:rPr/>
            </w:r>
          </w:p>
        </w:tc>
        <w:tc>
          <w:tcPr>
            <w:tcW w:w="60" w:type="dxa"/>
            <w:vMerge w:val="continue"/>
            <w:tcBorders>
              <w:bottom w:val="single" w:sz="6" w:space="0" w:color="0071CE"/>
            </w:tcBorders>
            <w:tcMar>
              <w:bottom w:w="28" w:type="dxa"/>
            </w:tcMar>
            <w:vAlign w:val="center"/>
          </w:tcPr>
          <w:p>
            <w:pPr>
              <w:pStyle w:val="Normal"/>
              <w:bidi w:val="0"/>
              <w:jc w:val="left"/>
              <w:rPr/>
            </w:pPr>
            <w:r>
              <w:rPr/>
            </w:r>
          </w:p>
        </w:tc>
        <w:tc>
          <w:tcPr>
            <w:tcW w:w="60" w:type="dxa"/>
            <w:vMerge w:val="continue"/>
            <w:tcBorders>
              <w:bottom w:val="single" w:sz="6" w:space="0" w:color="0071CE"/>
            </w:tcBorders>
            <w:tcMar>
              <w:bottom w:w="28" w:type="dxa"/>
            </w:tcMar>
            <w:vAlign w:val="center"/>
          </w:tcPr>
          <w:p>
            <w:pPr>
              <w:pStyle w:val="Normal"/>
              <w:bidi w:val="0"/>
              <w:jc w:val="left"/>
              <w:rPr/>
            </w:pPr>
            <w:r>
              <w:rPr/>
            </w:r>
          </w:p>
        </w:tc>
        <w:tc>
          <w:tcPr>
            <w:tcW w:w="1160" w:type="dxa"/>
            <w:gridSpan w:val="2"/>
            <w:vMerge w:val="continue"/>
            <w:tcBorders>
              <w:bottom w:val="single" w:sz="6" w:space="0" w:color="0071CE"/>
            </w:tcBorders>
            <w:tcMar>
              <w:bottom w:w="40" w:type="dxa"/>
            </w:tcMar>
            <w:vAlign w:val="center"/>
          </w:tcPr>
          <w:p>
            <w:pPr>
              <w:pStyle w:val="Normal"/>
              <w:bidi w:val="0"/>
              <w:jc w:val="left"/>
              <w:rPr/>
            </w:pPr>
            <w:r>
              <w:rPr/>
            </w:r>
          </w:p>
        </w:tc>
        <w:tc>
          <w:tcPr>
            <w:tcW w:w="75" w:type="dxa"/>
            <w:vMerge w:val="continue"/>
            <w:tcBorders>
              <w:bottom w:val="single" w:sz="6" w:space="0" w:color="0071CE"/>
            </w:tcBorders>
            <w:tcMar>
              <w:bottom w:w="28" w:type="dxa"/>
            </w:tcMar>
            <w:vAlign w:val="center"/>
          </w:tcPr>
          <w:p>
            <w:pPr>
              <w:pStyle w:val="Normal"/>
              <w:bidi w:val="0"/>
              <w:jc w:val="left"/>
              <w:rPr/>
            </w:pPr>
            <w:r>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635" w:type="dxa"/>
            <w:vMerge w:val="restart"/>
            <w:tcBorders/>
            <w:vAlign w:val="center"/>
          </w:tcPr>
          <w:p>
            <w:pPr>
              <w:pStyle w:val="TableContents"/>
              <w:bidi w:val="0"/>
              <w:spacing w:before="0" w:after="0"/>
              <w:jc w:val="left"/>
              <w:rPr>
                <w:rFonts w:ascii="arial" w:hAnsi="arial"/>
                <w:b/>
                <w:color w:val="0071CE"/>
                <w:sz w:val="14"/>
              </w:rPr>
            </w:pPr>
            <w:r>
              <w:rPr>
                <w:rFonts w:ascii="arial" w:hAnsi="arial"/>
                <w:b/>
                <w:color w:val="0071CE"/>
                <w:sz w:val="14"/>
              </w:rPr>
              <w:t>Mary T. Barra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STIP</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1/1/2023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12/5/2022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996" w:type="dxa"/>
            <w:tcBorders/>
            <w:vAlign w:val="center"/>
          </w:tcPr>
          <w:p>
            <w:pPr>
              <w:pStyle w:val="TableContents"/>
              <w:bidi w:val="0"/>
              <w:spacing w:before="0" w:after="283"/>
              <w:jc w:val="right"/>
              <w:rPr>
                <w:color w:val="3E3935"/>
              </w:rPr>
            </w:pPr>
            <w:r>
              <w:rPr>
                <w:color w:val="3E3935"/>
              </w:rPr>
              <w:t>262,500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4,200,000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3E3935"/>
              </w:rPr>
            </w:pPr>
            <w:r>
              <w:rPr>
                <w:color w:val="3E3935"/>
              </w:rPr>
              <w:t> </w:t>
            </w:r>
          </w:p>
        </w:tc>
        <w:tc>
          <w:tcPr>
            <w:tcW w:w="1009" w:type="dxa"/>
            <w:tcBorders/>
            <w:vAlign w:val="center"/>
          </w:tcPr>
          <w:p>
            <w:pPr>
              <w:pStyle w:val="TableContents"/>
              <w:bidi w:val="0"/>
              <w:spacing w:before="0" w:after="283"/>
              <w:jc w:val="right"/>
              <w:rPr>
                <w:color w:val="3E3935"/>
              </w:rPr>
            </w:pPr>
            <w:r>
              <w:rPr>
                <w:color w:val="3E3935"/>
              </w:rPr>
              <w:t>8,400,000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Options</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2/7/2023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12/5/2022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367,371</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60" w:type="dxa"/>
            <w:tcBorders/>
            <w:vAlign w:val="center"/>
          </w:tcPr>
          <w:p>
            <w:pPr>
              <w:pStyle w:val="TableContents"/>
              <w:bidi w:val="0"/>
              <w:spacing w:before="0" w:after="283"/>
              <w:jc w:val="right"/>
              <w:rPr>
                <w:color w:val="3E3935"/>
              </w:rPr>
            </w:pPr>
            <w:r>
              <w:rPr>
                <w:color w:val="3E3935"/>
              </w:rPr>
              <w:t>41.40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4,875,013</w:t>
            </w:r>
          </w:p>
        </w:tc>
        <w:tc>
          <w:tcPr>
            <w:tcW w:w="75" w:type="dxa"/>
            <w:tcBorders/>
            <w:vAlign w:val="center"/>
          </w:tcPr>
          <w:p>
            <w:pPr>
              <w:pStyle w:val="TableContents"/>
              <w:bidi w:val="0"/>
              <w:spacing w:before="0" w:after="283"/>
              <w:jc w:val="left"/>
              <w:rPr>
                <w:color w:val="3E3935"/>
              </w:rPr>
            </w:pPr>
            <w:r>
              <w:rPr>
                <w:color w:val="3E3935"/>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PSU</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2/7/2023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12/5/2022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32,209</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322,085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996" w:type="dxa"/>
            <w:tcBorders/>
            <w:vAlign w:val="center"/>
          </w:tcPr>
          <w:p>
            <w:pPr>
              <w:pStyle w:val="TableContents"/>
              <w:bidi w:val="0"/>
              <w:spacing w:before="0" w:after="283"/>
              <w:jc w:val="right"/>
              <w:rPr>
                <w:color w:val="3E3935"/>
              </w:rPr>
            </w:pPr>
            <w:r>
              <w:rPr>
                <w:color w:val="3E3935"/>
              </w:rPr>
              <w:t>644,170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14,625,000</w:t>
            </w:r>
          </w:p>
        </w:tc>
        <w:tc>
          <w:tcPr>
            <w:tcW w:w="75" w:type="dxa"/>
            <w:tcBorders/>
            <w:vAlign w:val="center"/>
          </w:tcPr>
          <w:p>
            <w:pPr>
              <w:pStyle w:val="TableContents"/>
              <w:bidi w:val="0"/>
              <w:spacing w:before="0" w:after="283"/>
              <w:jc w:val="left"/>
              <w:rPr>
                <w:color w:val="3E3935"/>
              </w:rPr>
            </w:pPr>
            <w:r>
              <w:rPr>
                <w:color w:val="3E3935"/>
              </w:rPr>
              <w:t> </w:t>
            </w:r>
          </w:p>
        </w:tc>
      </w:tr>
      <w:tr>
        <w:trPr/>
        <w:tc>
          <w:tcPr>
            <w:tcW w:w="635" w:type="dxa"/>
            <w:tcBorders/>
            <w:shd w:fill="CCF2F8" w:val="clear"/>
            <w:vAlign w:val="center"/>
          </w:tcPr>
          <w:p>
            <w:pPr>
              <w:pStyle w:val="TableContents"/>
              <w:bidi w:val="0"/>
              <w:spacing w:before="0" w:after="283"/>
              <w:jc w:val="left"/>
              <w:rPr>
                <w:sz w:val="4"/>
                <w:szCs w:val="4"/>
              </w:rPr>
            </w:pPr>
            <w:r>
              <w:rPr>
                <w:sz w:val="4"/>
                <w:szCs w:val="4"/>
              </w:rPr>
            </w:r>
          </w:p>
        </w:tc>
        <w:tc>
          <w:tcPr>
            <w:tcW w:w="1105" w:type="dxa"/>
            <w:gridSpan w:val="4"/>
            <w:tcBorders/>
            <w:shd w:fill="CCF2F8" w:val="clear"/>
            <w:vAlign w:val="center"/>
          </w:tcPr>
          <w:p>
            <w:pPr>
              <w:pStyle w:val="TableContents"/>
              <w:bidi w:val="0"/>
              <w:spacing w:before="0" w:after="283"/>
              <w:jc w:val="left"/>
              <w:rPr>
                <w:sz w:val="4"/>
                <w:szCs w:val="4"/>
              </w:rPr>
            </w:pPr>
            <w:r>
              <w:rPr>
                <w:sz w:val="4"/>
                <w:szCs w:val="4"/>
              </w:rPr>
            </w:r>
          </w:p>
        </w:tc>
        <w:tc>
          <w:tcPr>
            <w:tcW w:w="755" w:type="dxa"/>
            <w:gridSpan w:val="4"/>
            <w:tcBorders/>
            <w:shd w:fill="CCF2F8" w:val="clear"/>
            <w:vAlign w:val="center"/>
          </w:tcPr>
          <w:p>
            <w:pPr>
              <w:pStyle w:val="TableContents"/>
              <w:bidi w:val="0"/>
              <w:spacing w:before="0" w:after="283"/>
              <w:jc w:val="left"/>
              <w:rPr>
                <w:sz w:val="4"/>
                <w:szCs w:val="4"/>
              </w:rPr>
            </w:pPr>
            <w:r>
              <w:rPr>
                <w:sz w:val="4"/>
                <w:szCs w:val="4"/>
              </w:rPr>
            </w:r>
          </w:p>
        </w:tc>
        <w:tc>
          <w:tcPr>
            <w:tcW w:w="1115"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1160"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980"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980" w:type="dxa"/>
            <w:gridSpan w:val="4"/>
            <w:tcBorders/>
            <w:shd w:fill="CCF2F8" w:val="clear"/>
            <w:vAlign w:val="center"/>
          </w:tcPr>
          <w:p>
            <w:pPr>
              <w:pStyle w:val="TableContents"/>
              <w:bidi w:val="0"/>
              <w:spacing w:before="0" w:after="283"/>
              <w:jc w:val="left"/>
              <w:rPr>
                <w:sz w:val="4"/>
                <w:szCs w:val="4"/>
              </w:rPr>
            </w:pPr>
            <w:r>
              <w:rPr>
                <w:sz w:val="4"/>
                <w:szCs w:val="4"/>
              </w:rPr>
            </w:r>
          </w:p>
        </w:tc>
        <w:tc>
          <w:tcPr>
            <w:tcW w:w="980" w:type="dxa"/>
            <w:gridSpan w:val="4"/>
            <w:tcBorders/>
            <w:shd w:fill="CCF2F8" w:val="clear"/>
            <w:vAlign w:val="center"/>
          </w:tcPr>
          <w:p>
            <w:pPr>
              <w:pStyle w:val="TableContents"/>
              <w:bidi w:val="0"/>
              <w:spacing w:before="0" w:after="283"/>
              <w:jc w:val="left"/>
              <w:rPr>
                <w:sz w:val="4"/>
                <w:szCs w:val="4"/>
              </w:rPr>
            </w:pPr>
            <w:r>
              <w:rPr>
                <w:sz w:val="4"/>
                <w:szCs w:val="4"/>
              </w:rPr>
            </w:r>
          </w:p>
        </w:tc>
        <w:tc>
          <w:tcPr>
            <w:tcW w:w="740" w:type="dxa"/>
            <w:gridSpan w:val="4"/>
            <w:tcBorders/>
            <w:shd w:fill="CCF2F8" w:val="clear"/>
            <w:vAlign w:val="center"/>
          </w:tcPr>
          <w:p>
            <w:pPr>
              <w:pStyle w:val="TableContents"/>
              <w:bidi w:val="0"/>
              <w:spacing w:before="0" w:after="283"/>
              <w:jc w:val="left"/>
              <w:rPr>
                <w:sz w:val="4"/>
                <w:szCs w:val="4"/>
              </w:rPr>
            </w:pPr>
            <w:r>
              <w:rPr>
                <w:sz w:val="4"/>
                <w:szCs w:val="4"/>
              </w:rPr>
            </w:r>
          </w:p>
        </w:tc>
        <w:tc>
          <w:tcPr>
            <w:tcW w:w="129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635" w:type="dxa"/>
            <w:vMerge w:val="restart"/>
            <w:tcBorders/>
            <w:shd w:fill="CCF2F8" w:val="clear"/>
            <w:vAlign w:val="center"/>
          </w:tcPr>
          <w:p>
            <w:pPr>
              <w:pStyle w:val="TableContents"/>
              <w:bidi w:val="0"/>
              <w:spacing w:before="0" w:after="0"/>
              <w:jc w:val="left"/>
              <w:rPr>
                <w:rFonts w:ascii="arial" w:hAnsi="arial"/>
                <w:b/>
                <w:color w:val="0071CE"/>
                <w:sz w:val="14"/>
              </w:rPr>
            </w:pPr>
            <w:r>
              <w:rPr>
                <w:rFonts w:ascii="arial" w:hAnsi="arial"/>
                <w:b/>
                <w:color w:val="0071CE"/>
                <w:sz w:val="14"/>
              </w:rPr>
              <w:t>Paul A. Jacobson</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770" w:type="dxa"/>
            <w:tcBorders/>
            <w:shd w:fill="CCF2F8" w:val="clear"/>
            <w:vAlign w:val="center"/>
          </w:tcPr>
          <w:p>
            <w:pPr>
              <w:pStyle w:val="TableContents"/>
              <w:bidi w:val="0"/>
              <w:spacing w:before="0" w:after="283"/>
              <w:jc w:val="right"/>
              <w:rPr>
                <w:color w:val="3E3935"/>
              </w:rPr>
            </w:pPr>
            <w:r>
              <w:rPr>
                <w:color w:val="3E3935"/>
              </w:rPr>
              <w:t>STIP</w:t>
            </w:r>
          </w:p>
        </w:tc>
        <w:tc>
          <w:tcPr>
            <w:tcW w:w="215"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75" w:type="dxa"/>
            <w:tcBorders/>
            <w:shd w:fill="CCF2F8" w:val="clear"/>
            <w:vAlign w:val="center"/>
          </w:tcPr>
          <w:p>
            <w:pPr>
              <w:pStyle w:val="TableContents"/>
              <w:bidi w:val="0"/>
              <w:spacing w:before="0" w:after="283"/>
              <w:jc w:val="right"/>
              <w:rPr>
                <w:color w:val="3E3935"/>
              </w:rPr>
            </w:pPr>
            <w:r>
              <w:rPr>
                <w:color w:val="3E3935"/>
              </w:rPr>
              <w:t>1/1/2023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35" w:type="dxa"/>
            <w:tcBorders/>
            <w:shd w:fill="CCF2F8" w:val="clear"/>
            <w:vAlign w:val="center"/>
          </w:tcPr>
          <w:p>
            <w:pPr>
              <w:pStyle w:val="TableContents"/>
              <w:bidi w:val="0"/>
              <w:spacing w:before="0" w:after="283"/>
              <w:jc w:val="right"/>
              <w:rPr>
                <w:color w:val="3E3935"/>
              </w:rPr>
            </w:pPr>
            <w:r>
              <w:rPr>
                <w:color w:val="3E3935"/>
              </w:rPr>
              <w:t>12/5/2022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color w:val="3E3935"/>
              </w:rPr>
            </w:pPr>
            <w:r>
              <w:rPr>
                <w:color w:val="3E3935"/>
              </w:rPr>
              <w:t> </w:t>
            </w:r>
          </w:p>
        </w:tc>
        <w:tc>
          <w:tcPr>
            <w:tcW w:w="996" w:type="dxa"/>
            <w:tcBorders/>
            <w:shd w:fill="CCF2F8" w:val="clear"/>
            <w:vAlign w:val="center"/>
          </w:tcPr>
          <w:p>
            <w:pPr>
              <w:pStyle w:val="TableContents"/>
              <w:bidi w:val="0"/>
              <w:spacing w:before="0" w:after="283"/>
              <w:jc w:val="right"/>
              <w:rPr>
                <w:color w:val="3E3935"/>
              </w:rPr>
            </w:pPr>
            <w:r>
              <w:rPr>
                <w:color w:val="3E3935"/>
              </w:rPr>
              <w:t>78,125</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1,250,000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1" w:type="dxa"/>
            <w:tcBorders/>
            <w:shd w:fill="CCF2F8" w:val="clear"/>
            <w:vAlign w:val="center"/>
          </w:tcPr>
          <w:p>
            <w:pPr>
              <w:pStyle w:val="TableContents"/>
              <w:bidi w:val="0"/>
              <w:spacing w:before="0" w:after="283"/>
              <w:jc w:val="left"/>
              <w:rPr>
                <w:color w:val="3E3935"/>
              </w:rPr>
            </w:pPr>
            <w:r>
              <w:rPr>
                <w:color w:val="3E3935"/>
              </w:rPr>
              <w:t> </w:t>
            </w:r>
          </w:p>
        </w:tc>
        <w:tc>
          <w:tcPr>
            <w:tcW w:w="1009" w:type="dxa"/>
            <w:tcBorders/>
            <w:shd w:fill="CCF2F8" w:val="clear"/>
            <w:vAlign w:val="center"/>
          </w:tcPr>
          <w:p>
            <w:pPr>
              <w:pStyle w:val="TableContents"/>
              <w:bidi w:val="0"/>
              <w:spacing w:before="0" w:after="283"/>
              <w:jc w:val="right"/>
              <w:rPr>
                <w:color w:val="3E3935"/>
              </w:rPr>
            </w:pPr>
            <w:r>
              <w:rPr>
                <w:color w:val="3E3935"/>
              </w:rPr>
              <w:t>2,500,000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sz w:val="4"/>
                <w:szCs w:val="4"/>
              </w:rPr>
            </w:pPr>
            <w:r>
              <w:rPr>
                <w:sz w:val="4"/>
                <w:szCs w:val="4"/>
              </w:rPr>
            </w:r>
          </w:p>
        </w:tc>
        <w:tc>
          <w:tcPr>
            <w:tcW w:w="984"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sz w:val="4"/>
                <w:szCs w:val="4"/>
              </w:rPr>
            </w:pPr>
            <w:r>
              <w:rPr>
                <w:sz w:val="4"/>
                <w:szCs w:val="4"/>
              </w:rPr>
            </w:r>
          </w:p>
        </w:tc>
        <w:tc>
          <w:tcPr>
            <w:tcW w:w="996"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5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635" w:type="dxa"/>
            <w:vMerge w:val="continue"/>
            <w:tcBorders/>
            <w:shd w:fill="CCF2F8" w:val="clear"/>
            <w:vAlign w:val="center"/>
          </w:tcPr>
          <w:p>
            <w:pPr>
              <w:pStyle w:val="Normal"/>
              <w:bidi w:val="0"/>
              <w:jc w:val="left"/>
              <w:rPr/>
            </w:pPr>
            <w:r>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770" w:type="dxa"/>
            <w:tcBorders/>
            <w:shd w:fill="CCF2F8" w:val="clear"/>
            <w:vAlign w:val="center"/>
          </w:tcPr>
          <w:p>
            <w:pPr>
              <w:pStyle w:val="TableContents"/>
              <w:bidi w:val="0"/>
              <w:spacing w:before="0" w:after="283"/>
              <w:jc w:val="right"/>
              <w:rPr>
                <w:color w:val="3E3935"/>
              </w:rPr>
            </w:pPr>
            <w:r>
              <w:rPr>
                <w:color w:val="3E3935"/>
              </w:rPr>
              <w:t>Options</w:t>
            </w:r>
          </w:p>
        </w:tc>
        <w:tc>
          <w:tcPr>
            <w:tcW w:w="215"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75" w:type="dxa"/>
            <w:tcBorders/>
            <w:shd w:fill="CCF2F8" w:val="clear"/>
            <w:vAlign w:val="center"/>
          </w:tcPr>
          <w:p>
            <w:pPr>
              <w:pStyle w:val="TableContents"/>
              <w:bidi w:val="0"/>
              <w:spacing w:before="0" w:after="283"/>
              <w:jc w:val="right"/>
              <w:rPr>
                <w:color w:val="3E3935"/>
              </w:rPr>
            </w:pPr>
            <w:r>
              <w:rPr>
                <w:color w:val="3E3935"/>
              </w:rPr>
              <w:t>2/7/2023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35" w:type="dxa"/>
            <w:tcBorders/>
            <w:shd w:fill="CCF2F8" w:val="clear"/>
            <w:vAlign w:val="center"/>
          </w:tcPr>
          <w:p>
            <w:pPr>
              <w:pStyle w:val="TableContents"/>
              <w:bidi w:val="0"/>
              <w:spacing w:before="0" w:after="283"/>
              <w:jc w:val="right"/>
              <w:rPr>
                <w:color w:val="3E3935"/>
              </w:rPr>
            </w:pPr>
            <w:r>
              <w:rPr>
                <w:color w:val="3E3935"/>
              </w:rPr>
              <w:t>12/5/2022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sz w:val="4"/>
                <w:szCs w:val="4"/>
              </w:rPr>
            </w:pPr>
            <w:r>
              <w:rPr>
                <w:sz w:val="4"/>
                <w:szCs w:val="4"/>
              </w:rPr>
            </w:r>
          </w:p>
        </w:tc>
        <w:tc>
          <w:tcPr>
            <w:tcW w:w="996"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1" w:type="dxa"/>
            <w:tcBorders/>
            <w:shd w:fill="CCF2F8" w:val="clear"/>
            <w:vAlign w:val="center"/>
          </w:tcPr>
          <w:p>
            <w:pPr>
              <w:pStyle w:val="TableContents"/>
              <w:bidi w:val="0"/>
              <w:spacing w:before="0" w:after="283"/>
              <w:jc w:val="left"/>
              <w:rPr>
                <w:sz w:val="4"/>
                <w:szCs w:val="4"/>
              </w:rPr>
            </w:pPr>
            <w:r>
              <w:rPr>
                <w:sz w:val="4"/>
                <w:szCs w:val="4"/>
              </w:rPr>
            </w:r>
          </w:p>
        </w:tc>
        <w:tc>
          <w:tcPr>
            <w:tcW w:w="1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sz w:val="4"/>
                <w:szCs w:val="4"/>
              </w:rPr>
            </w:pPr>
            <w:r>
              <w:rPr>
                <w:sz w:val="4"/>
                <w:szCs w:val="4"/>
              </w:rPr>
            </w:r>
          </w:p>
        </w:tc>
        <w:tc>
          <w:tcPr>
            <w:tcW w:w="984"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sz w:val="4"/>
                <w:szCs w:val="4"/>
              </w:rPr>
            </w:pPr>
            <w:r>
              <w:rPr>
                <w:sz w:val="4"/>
                <w:szCs w:val="4"/>
              </w:rPr>
            </w:r>
          </w:p>
        </w:tc>
        <w:tc>
          <w:tcPr>
            <w:tcW w:w="996"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155,426</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60" w:type="dxa"/>
            <w:tcBorders/>
            <w:shd w:fill="CCF2F8" w:val="clear"/>
            <w:vAlign w:val="center"/>
          </w:tcPr>
          <w:p>
            <w:pPr>
              <w:pStyle w:val="TableContents"/>
              <w:bidi w:val="0"/>
              <w:spacing w:before="0" w:after="283"/>
              <w:jc w:val="right"/>
              <w:rPr>
                <w:color w:val="3E3935"/>
              </w:rPr>
            </w:pPr>
            <w:r>
              <w:rPr>
                <w:color w:val="3E3935"/>
              </w:rPr>
              <w:t>41.40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2,062,503</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635" w:type="dxa"/>
            <w:vMerge w:val="continue"/>
            <w:tcBorders/>
            <w:shd w:fill="CCF2F8" w:val="clear"/>
            <w:vAlign w:val="center"/>
          </w:tcPr>
          <w:p>
            <w:pPr>
              <w:pStyle w:val="Normal"/>
              <w:bidi w:val="0"/>
              <w:jc w:val="left"/>
              <w:rPr/>
            </w:pPr>
            <w:r>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770" w:type="dxa"/>
            <w:tcBorders/>
            <w:shd w:fill="CCF2F8" w:val="clear"/>
            <w:vAlign w:val="center"/>
          </w:tcPr>
          <w:p>
            <w:pPr>
              <w:pStyle w:val="TableContents"/>
              <w:bidi w:val="0"/>
              <w:spacing w:before="0" w:after="283"/>
              <w:jc w:val="right"/>
              <w:rPr>
                <w:color w:val="3E3935"/>
              </w:rPr>
            </w:pPr>
            <w:r>
              <w:rPr>
                <w:color w:val="3E3935"/>
              </w:rPr>
              <w:t>PSU</w:t>
            </w:r>
          </w:p>
        </w:tc>
        <w:tc>
          <w:tcPr>
            <w:tcW w:w="215"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75" w:type="dxa"/>
            <w:tcBorders/>
            <w:shd w:fill="CCF2F8" w:val="clear"/>
            <w:vAlign w:val="center"/>
          </w:tcPr>
          <w:p>
            <w:pPr>
              <w:pStyle w:val="TableContents"/>
              <w:bidi w:val="0"/>
              <w:spacing w:before="0" w:after="283"/>
              <w:jc w:val="right"/>
              <w:rPr>
                <w:color w:val="3E3935"/>
              </w:rPr>
            </w:pPr>
            <w:r>
              <w:rPr>
                <w:color w:val="3E3935"/>
              </w:rPr>
              <w:t>2/7/2023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35" w:type="dxa"/>
            <w:tcBorders/>
            <w:shd w:fill="CCF2F8" w:val="clear"/>
            <w:vAlign w:val="center"/>
          </w:tcPr>
          <w:p>
            <w:pPr>
              <w:pStyle w:val="TableContents"/>
              <w:bidi w:val="0"/>
              <w:spacing w:before="0" w:after="283"/>
              <w:jc w:val="right"/>
              <w:rPr>
                <w:color w:val="3E3935"/>
              </w:rPr>
            </w:pPr>
            <w:r>
              <w:rPr>
                <w:color w:val="3E3935"/>
              </w:rPr>
              <w:t>12/5/2022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sz w:val="4"/>
                <w:szCs w:val="4"/>
              </w:rPr>
            </w:pPr>
            <w:r>
              <w:rPr>
                <w:sz w:val="4"/>
                <w:szCs w:val="4"/>
              </w:rPr>
            </w:r>
          </w:p>
        </w:tc>
        <w:tc>
          <w:tcPr>
            <w:tcW w:w="996"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1" w:type="dxa"/>
            <w:tcBorders/>
            <w:shd w:fill="CCF2F8" w:val="clear"/>
            <w:vAlign w:val="center"/>
          </w:tcPr>
          <w:p>
            <w:pPr>
              <w:pStyle w:val="TableContents"/>
              <w:bidi w:val="0"/>
              <w:spacing w:before="0" w:after="283"/>
              <w:jc w:val="left"/>
              <w:rPr>
                <w:sz w:val="4"/>
                <w:szCs w:val="4"/>
              </w:rPr>
            </w:pPr>
            <w:r>
              <w:rPr>
                <w:sz w:val="4"/>
                <w:szCs w:val="4"/>
              </w:rPr>
            </w:r>
          </w:p>
        </w:tc>
        <w:tc>
          <w:tcPr>
            <w:tcW w:w="1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color w:val="3E3935"/>
              </w:rPr>
            </w:pPr>
            <w:r>
              <w:rPr>
                <w:color w:val="3E3935"/>
              </w:rPr>
              <w:t> </w:t>
            </w:r>
          </w:p>
        </w:tc>
        <w:tc>
          <w:tcPr>
            <w:tcW w:w="984" w:type="dxa"/>
            <w:tcBorders/>
            <w:shd w:fill="CCF2F8" w:val="clear"/>
            <w:vAlign w:val="center"/>
          </w:tcPr>
          <w:p>
            <w:pPr>
              <w:pStyle w:val="TableContents"/>
              <w:bidi w:val="0"/>
              <w:spacing w:before="0" w:after="283"/>
              <w:jc w:val="right"/>
              <w:rPr>
                <w:color w:val="3E3935"/>
              </w:rPr>
            </w:pPr>
            <w:r>
              <w:rPr>
                <w:color w:val="3E3935"/>
              </w:rPr>
              <w:t>13,627</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136,267</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color w:val="3E3935"/>
              </w:rPr>
            </w:pPr>
            <w:r>
              <w:rPr>
                <w:color w:val="3E3935"/>
              </w:rPr>
              <w:t> </w:t>
            </w:r>
          </w:p>
        </w:tc>
        <w:tc>
          <w:tcPr>
            <w:tcW w:w="996" w:type="dxa"/>
            <w:tcBorders/>
            <w:shd w:fill="CCF2F8" w:val="clear"/>
            <w:vAlign w:val="center"/>
          </w:tcPr>
          <w:p>
            <w:pPr>
              <w:pStyle w:val="TableContents"/>
              <w:bidi w:val="0"/>
              <w:spacing w:before="0" w:after="283"/>
              <w:jc w:val="right"/>
              <w:rPr>
                <w:color w:val="3E3935"/>
              </w:rPr>
            </w:pPr>
            <w:r>
              <w:rPr>
                <w:color w:val="3E3935"/>
              </w:rPr>
              <w:t>272,534</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5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6,187,500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635" w:type="dxa"/>
            <w:vMerge w:val="restart"/>
            <w:tcBorders/>
            <w:vAlign w:val="center"/>
          </w:tcPr>
          <w:p>
            <w:pPr>
              <w:pStyle w:val="TableContents"/>
              <w:bidi w:val="0"/>
              <w:spacing w:before="0" w:after="0"/>
              <w:jc w:val="left"/>
              <w:rPr>
                <w:rFonts w:ascii="arial" w:hAnsi="arial"/>
                <w:b/>
                <w:color w:val="0071CE"/>
                <w:sz w:val="14"/>
              </w:rPr>
            </w:pPr>
            <w:r>
              <w:rPr>
                <w:rFonts w:ascii="arial" w:hAnsi="arial"/>
                <w:b/>
                <w:color w:val="0071CE"/>
                <w:sz w:val="14"/>
              </w:rPr>
              <w:t>Mark L. Reuss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STIP</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1/1/2023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12/5/2022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996" w:type="dxa"/>
            <w:tcBorders/>
            <w:vAlign w:val="center"/>
          </w:tcPr>
          <w:p>
            <w:pPr>
              <w:pStyle w:val="TableContents"/>
              <w:bidi w:val="0"/>
              <w:spacing w:before="0" w:after="283"/>
              <w:jc w:val="right"/>
              <w:rPr>
                <w:color w:val="3E3935"/>
              </w:rPr>
            </w:pPr>
            <w:r>
              <w:rPr>
                <w:color w:val="3E3935"/>
              </w:rPr>
              <w:t>105,469</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1,687,500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3E3935"/>
              </w:rPr>
            </w:pPr>
            <w:r>
              <w:rPr>
                <w:color w:val="3E3935"/>
              </w:rPr>
              <w:t> </w:t>
            </w:r>
          </w:p>
        </w:tc>
        <w:tc>
          <w:tcPr>
            <w:tcW w:w="1009" w:type="dxa"/>
            <w:tcBorders/>
            <w:vAlign w:val="center"/>
          </w:tcPr>
          <w:p>
            <w:pPr>
              <w:pStyle w:val="TableContents"/>
              <w:bidi w:val="0"/>
              <w:spacing w:before="0" w:after="283"/>
              <w:jc w:val="right"/>
              <w:rPr>
                <w:color w:val="3E3935"/>
              </w:rPr>
            </w:pPr>
            <w:r>
              <w:rPr>
                <w:color w:val="3E3935"/>
              </w:rPr>
              <w:t>3,375,000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Options</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2/7/2023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12/5/2022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263,047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60" w:type="dxa"/>
            <w:tcBorders/>
            <w:vAlign w:val="center"/>
          </w:tcPr>
          <w:p>
            <w:pPr>
              <w:pStyle w:val="TableContents"/>
              <w:bidi w:val="0"/>
              <w:spacing w:before="0" w:after="283"/>
              <w:jc w:val="right"/>
              <w:rPr>
                <w:color w:val="3E3935"/>
              </w:rPr>
            </w:pPr>
            <w:r>
              <w:rPr>
                <w:color w:val="3E3935"/>
              </w:rPr>
              <w:t>41.40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3,490,634</w:t>
            </w:r>
          </w:p>
        </w:tc>
        <w:tc>
          <w:tcPr>
            <w:tcW w:w="75" w:type="dxa"/>
            <w:tcBorders/>
            <w:vAlign w:val="center"/>
          </w:tcPr>
          <w:p>
            <w:pPr>
              <w:pStyle w:val="TableContents"/>
              <w:bidi w:val="0"/>
              <w:spacing w:before="0" w:after="283"/>
              <w:jc w:val="left"/>
              <w:rPr>
                <w:color w:val="3E3935"/>
              </w:rPr>
            </w:pPr>
            <w:r>
              <w:rPr>
                <w:color w:val="3E3935"/>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PSU</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2/7/2023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12/5/2022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23,062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230,621</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996" w:type="dxa"/>
            <w:tcBorders/>
            <w:vAlign w:val="center"/>
          </w:tcPr>
          <w:p>
            <w:pPr>
              <w:pStyle w:val="TableContents"/>
              <w:bidi w:val="0"/>
              <w:spacing w:before="0" w:after="283"/>
              <w:jc w:val="right"/>
              <w:rPr>
                <w:color w:val="3E3935"/>
              </w:rPr>
            </w:pPr>
            <w:r>
              <w:rPr>
                <w:color w:val="3E3935"/>
              </w:rPr>
              <w:t>461,242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10,471,875</w:t>
            </w:r>
          </w:p>
        </w:tc>
        <w:tc>
          <w:tcPr>
            <w:tcW w:w="75" w:type="dxa"/>
            <w:tcBorders/>
            <w:vAlign w:val="center"/>
          </w:tcPr>
          <w:p>
            <w:pPr>
              <w:pStyle w:val="TableContents"/>
              <w:bidi w:val="0"/>
              <w:spacing w:before="0" w:after="283"/>
              <w:jc w:val="left"/>
              <w:rPr>
                <w:color w:val="3E3935"/>
              </w:rPr>
            </w:pPr>
            <w:r>
              <w:rPr>
                <w:color w:val="3E3935"/>
              </w:rPr>
              <w:t> </w:t>
            </w:r>
          </w:p>
        </w:tc>
      </w:tr>
      <w:tr>
        <w:trPr/>
        <w:tc>
          <w:tcPr>
            <w:tcW w:w="635" w:type="dxa"/>
            <w:tcBorders/>
            <w:shd w:fill="CCF2F8" w:val="clear"/>
            <w:vAlign w:val="center"/>
          </w:tcPr>
          <w:p>
            <w:pPr>
              <w:pStyle w:val="TableContents"/>
              <w:bidi w:val="0"/>
              <w:spacing w:before="0" w:after="283"/>
              <w:jc w:val="left"/>
              <w:rPr>
                <w:sz w:val="4"/>
                <w:szCs w:val="4"/>
              </w:rPr>
            </w:pPr>
            <w:r>
              <w:rPr>
                <w:sz w:val="4"/>
                <w:szCs w:val="4"/>
              </w:rPr>
            </w:r>
          </w:p>
        </w:tc>
        <w:tc>
          <w:tcPr>
            <w:tcW w:w="1105" w:type="dxa"/>
            <w:gridSpan w:val="4"/>
            <w:tcBorders/>
            <w:shd w:fill="CCF2F8" w:val="clear"/>
            <w:vAlign w:val="center"/>
          </w:tcPr>
          <w:p>
            <w:pPr>
              <w:pStyle w:val="TableContents"/>
              <w:bidi w:val="0"/>
              <w:spacing w:before="0" w:after="283"/>
              <w:jc w:val="left"/>
              <w:rPr>
                <w:sz w:val="4"/>
                <w:szCs w:val="4"/>
              </w:rPr>
            </w:pPr>
            <w:r>
              <w:rPr>
                <w:sz w:val="4"/>
                <w:szCs w:val="4"/>
              </w:rPr>
            </w:r>
          </w:p>
        </w:tc>
        <w:tc>
          <w:tcPr>
            <w:tcW w:w="755" w:type="dxa"/>
            <w:gridSpan w:val="4"/>
            <w:tcBorders/>
            <w:shd w:fill="CCF2F8" w:val="clear"/>
            <w:vAlign w:val="center"/>
          </w:tcPr>
          <w:p>
            <w:pPr>
              <w:pStyle w:val="TableContents"/>
              <w:bidi w:val="0"/>
              <w:spacing w:before="0" w:after="283"/>
              <w:jc w:val="left"/>
              <w:rPr>
                <w:sz w:val="4"/>
                <w:szCs w:val="4"/>
              </w:rPr>
            </w:pPr>
            <w:r>
              <w:rPr>
                <w:sz w:val="4"/>
                <w:szCs w:val="4"/>
              </w:rPr>
            </w:r>
          </w:p>
        </w:tc>
        <w:tc>
          <w:tcPr>
            <w:tcW w:w="1115"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1160"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980" w:type="dxa"/>
            <w:gridSpan w:val="4"/>
            <w:tcBorders/>
            <w:shd w:fill="CCF2F8" w:val="clear"/>
            <w:vAlign w:val="center"/>
          </w:tcPr>
          <w:p>
            <w:pPr>
              <w:pStyle w:val="TableContents"/>
              <w:bidi w:val="0"/>
              <w:spacing w:before="0" w:after="283"/>
              <w:jc w:val="left"/>
              <w:rPr>
                <w:sz w:val="4"/>
                <w:szCs w:val="4"/>
              </w:rPr>
            </w:pPr>
            <w:r>
              <w:rPr>
                <w:sz w:val="4"/>
                <w:szCs w:val="4"/>
              </w:rPr>
            </w:r>
          </w:p>
        </w:tc>
        <w:tc>
          <w:tcPr>
            <w:tcW w:w="1190" w:type="dxa"/>
            <w:gridSpan w:val="4"/>
            <w:tcBorders/>
            <w:shd w:fill="CCF2F8" w:val="clear"/>
            <w:vAlign w:val="center"/>
          </w:tcPr>
          <w:p>
            <w:pPr>
              <w:pStyle w:val="TableContents"/>
              <w:bidi w:val="0"/>
              <w:spacing w:before="0" w:after="283"/>
              <w:jc w:val="left"/>
              <w:rPr>
                <w:sz w:val="4"/>
                <w:szCs w:val="4"/>
              </w:rPr>
            </w:pPr>
            <w:r>
              <w:rPr>
                <w:sz w:val="4"/>
                <w:szCs w:val="4"/>
              </w:rPr>
            </w:r>
          </w:p>
        </w:tc>
        <w:tc>
          <w:tcPr>
            <w:tcW w:w="980" w:type="dxa"/>
            <w:gridSpan w:val="4"/>
            <w:tcBorders/>
            <w:shd w:fill="CCF2F8" w:val="clear"/>
            <w:vAlign w:val="center"/>
          </w:tcPr>
          <w:p>
            <w:pPr>
              <w:pStyle w:val="TableContents"/>
              <w:bidi w:val="0"/>
              <w:spacing w:before="0" w:after="283"/>
              <w:jc w:val="left"/>
              <w:rPr>
                <w:sz w:val="4"/>
                <w:szCs w:val="4"/>
              </w:rPr>
            </w:pPr>
            <w:r>
              <w:rPr>
                <w:sz w:val="4"/>
                <w:szCs w:val="4"/>
              </w:rPr>
            </w:r>
          </w:p>
        </w:tc>
        <w:tc>
          <w:tcPr>
            <w:tcW w:w="980" w:type="dxa"/>
            <w:gridSpan w:val="4"/>
            <w:tcBorders/>
            <w:shd w:fill="CCF2F8" w:val="clear"/>
            <w:vAlign w:val="center"/>
          </w:tcPr>
          <w:p>
            <w:pPr>
              <w:pStyle w:val="TableContents"/>
              <w:bidi w:val="0"/>
              <w:spacing w:before="0" w:after="283"/>
              <w:jc w:val="left"/>
              <w:rPr>
                <w:sz w:val="4"/>
                <w:szCs w:val="4"/>
              </w:rPr>
            </w:pPr>
            <w:r>
              <w:rPr>
                <w:sz w:val="4"/>
                <w:szCs w:val="4"/>
              </w:rPr>
            </w:r>
          </w:p>
        </w:tc>
        <w:tc>
          <w:tcPr>
            <w:tcW w:w="740" w:type="dxa"/>
            <w:gridSpan w:val="4"/>
            <w:tcBorders/>
            <w:shd w:fill="CCF2F8" w:val="clear"/>
            <w:vAlign w:val="center"/>
          </w:tcPr>
          <w:p>
            <w:pPr>
              <w:pStyle w:val="TableContents"/>
              <w:bidi w:val="0"/>
              <w:spacing w:before="0" w:after="283"/>
              <w:jc w:val="left"/>
              <w:rPr>
                <w:sz w:val="4"/>
                <w:szCs w:val="4"/>
              </w:rPr>
            </w:pPr>
            <w:r>
              <w:rPr>
                <w:sz w:val="4"/>
                <w:szCs w:val="4"/>
              </w:rPr>
            </w:r>
          </w:p>
        </w:tc>
        <w:tc>
          <w:tcPr>
            <w:tcW w:w="129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635" w:type="dxa"/>
            <w:vMerge w:val="restart"/>
            <w:tcBorders/>
            <w:shd w:fill="CCF2F8" w:val="clear"/>
            <w:vAlign w:val="center"/>
          </w:tcPr>
          <w:p>
            <w:pPr>
              <w:pStyle w:val="TableContents"/>
              <w:bidi w:val="0"/>
              <w:spacing w:before="0" w:after="0"/>
              <w:jc w:val="left"/>
              <w:rPr>
                <w:rFonts w:ascii="arial" w:hAnsi="arial"/>
                <w:b/>
                <w:color w:val="0071CE"/>
                <w:sz w:val="14"/>
              </w:rPr>
            </w:pPr>
            <w:r>
              <w:rPr>
                <w:rFonts w:ascii="arial" w:hAnsi="arial"/>
                <w:b/>
                <w:color w:val="0071CE"/>
                <w:sz w:val="14"/>
              </w:rPr>
              <w:t>Michael Abbott</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770" w:type="dxa"/>
            <w:tcBorders/>
            <w:shd w:fill="CCF2F8" w:val="clear"/>
            <w:vAlign w:val="center"/>
          </w:tcPr>
          <w:p>
            <w:pPr>
              <w:pStyle w:val="TableContents"/>
              <w:bidi w:val="0"/>
              <w:spacing w:before="0" w:after="283"/>
              <w:jc w:val="right"/>
              <w:rPr>
                <w:color w:val="3E3935"/>
              </w:rPr>
            </w:pPr>
            <w:r>
              <w:rPr>
                <w:color w:val="3E3935"/>
              </w:rPr>
              <w:t>STIP</w:t>
            </w:r>
          </w:p>
        </w:tc>
        <w:tc>
          <w:tcPr>
            <w:tcW w:w="215"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75" w:type="dxa"/>
            <w:tcBorders/>
            <w:shd w:fill="CCF2F8" w:val="clear"/>
            <w:vAlign w:val="center"/>
          </w:tcPr>
          <w:p>
            <w:pPr>
              <w:pStyle w:val="TableContents"/>
              <w:bidi w:val="0"/>
              <w:spacing w:before="0" w:after="283"/>
              <w:jc w:val="right"/>
              <w:rPr>
                <w:color w:val="3E3935"/>
              </w:rPr>
            </w:pPr>
            <w:r>
              <w:rPr>
                <w:color w:val="3E3935"/>
              </w:rPr>
              <w:t>5/22/2023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35" w:type="dxa"/>
            <w:tcBorders/>
            <w:shd w:fill="CCF2F8" w:val="clear"/>
            <w:vAlign w:val="center"/>
          </w:tcPr>
          <w:p>
            <w:pPr>
              <w:pStyle w:val="TableContents"/>
              <w:bidi w:val="0"/>
              <w:spacing w:before="0" w:after="283"/>
              <w:jc w:val="right"/>
              <w:rPr>
                <w:color w:val="3E3935"/>
              </w:rPr>
            </w:pPr>
            <w:r>
              <w:rPr>
                <w:color w:val="3E3935"/>
              </w:rPr>
              <w:t>4/21/2023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color w:val="3E3935"/>
              </w:rPr>
            </w:pPr>
            <w:r>
              <w:rPr>
                <w:color w:val="3E3935"/>
              </w:rPr>
              <w:t> </w:t>
            </w:r>
          </w:p>
        </w:tc>
        <w:tc>
          <w:tcPr>
            <w:tcW w:w="996" w:type="dxa"/>
            <w:tcBorders/>
            <w:shd w:fill="CCF2F8" w:val="clear"/>
            <w:vAlign w:val="center"/>
          </w:tcPr>
          <w:p>
            <w:pPr>
              <w:pStyle w:val="TableContents"/>
              <w:bidi w:val="0"/>
              <w:spacing w:before="0" w:after="283"/>
              <w:jc w:val="right"/>
              <w:rPr>
                <w:color w:val="3E3935"/>
              </w:rPr>
            </w:pPr>
            <w:r>
              <w:rPr>
                <w:color w:val="3E3935"/>
              </w:rPr>
              <w:t>62,500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1,000,000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1" w:type="dxa"/>
            <w:tcBorders/>
            <w:shd w:fill="CCF2F8" w:val="clear"/>
            <w:vAlign w:val="center"/>
          </w:tcPr>
          <w:p>
            <w:pPr>
              <w:pStyle w:val="TableContents"/>
              <w:bidi w:val="0"/>
              <w:spacing w:before="0" w:after="283"/>
              <w:jc w:val="left"/>
              <w:rPr>
                <w:color w:val="3E3935"/>
              </w:rPr>
            </w:pPr>
            <w:r>
              <w:rPr>
                <w:color w:val="3E3935"/>
              </w:rPr>
              <w:t> </w:t>
            </w:r>
          </w:p>
        </w:tc>
        <w:tc>
          <w:tcPr>
            <w:tcW w:w="1009" w:type="dxa"/>
            <w:tcBorders/>
            <w:shd w:fill="CCF2F8" w:val="clear"/>
            <w:vAlign w:val="center"/>
          </w:tcPr>
          <w:p>
            <w:pPr>
              <w:pStyle w:val="TableContents"/>
              <w:bidi w:val="0"/>
              <w:spacing w:before="0" w:after="283"/>
              <w:jc w:val="right"/>
              <w:rPr>
                <w:color w:val="3E3935"/>
              </w:rPr>
            </w:pPr>
            <w:r>
              <w:rPr>
                <w:color w:val="3E3935"/>
              </w:rPr>
              <w:t>2,000,000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sz w:val="4"/>
                <w:szCs w:val="4"/>
              </w:rPr>
            </w:pPr>
            <w:r>
              <w:rPr>
                <w:sz w:val="4"/>
                <w:szCs w:val="4"/>
              </w:rPr>
            </w:r>
          </w:p>
        </w:tc>
        <w:tc>
          <w:tcPr>
            <w:tcW w:w="984"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sz w:val="4"/>
                <w:szCs w:val="4"/>
              </w:rPr>
            </w:pPr>
            <w:r>
              <w:rPr>
                <w:sz w:val="4"/>
                <w:szCs w:val="4"/>
              </w:rPr>
            </w:r>
          </w:p>
        </w:tc>
        <w:tc>
          <w:tcPr>
            <w:tcW w:w="996"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5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75" w:type="dxa"/>
            <w:tcBorders/>
            <w:shd w:fill="CCF2F8" w:val="clear"/>
            <w:vAlign w:val="center"/>
          </w:tcPr>
          <w:p>
            <w:pPr>
              <w:pStyle w:val="TableContents"/>
              <w:bidi w:val="0"/>
              <w:spacing w:before="0" w:after="283"/>
              <w:jc w:val="left"/>
              <w:rPr>
                <w:sz w:val="4"/>
                <w:szCs w:val="4"/>
              </w:rPr>
            </w:pPr>
            <w:r>
              <w:rPr>
                <w:sz w:val="4"/>
                <w:szCs w:val="4"/>
              </w:rPr>
            </w:r>
          </w:p>
        </w:tc>
      </w:tr>
      <w:tr>
        <w:trPr/>
        <w:tc>
          <w:tcPr>
            <w:tcW w:w="635" w:type="dxa"/>
            <w:vMerge w:val="continue"/>
            <w:tcBorders/>
            <w:shd w:fill="CCF2F8" w:val="clear"/>
            <w:vAlign w:val="center"/>
          </w:tcPr>
          <w:p>
            <w:pPr>
              <w:pStyle w:val="Normal"/>
              <w:bidi w:val="0"/>
              <w:jc w:val="left"/>
              <w:rPr/>
            </w:pPr>
            <w:r>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770" w:type="dxa"/>
            <w:tcBorders/>
            <w:shd w:fill="CCF2F8" w:val="clear"/>
            <w:vAlign w:val="center"/>
          </w:tcPr>
          <w:p>
            <w:pPr>
              <w:pStyle w:val="TableContents"/>
              <w:bidi w:val="0"/>
              <w:spacing w:before="0" w:after="283"/>
              <w:jc w:val="right"/>
              <w:rPr>
                <w:color w:val="3E3935"/>
              </w:rPr>
            </w:pPr>
            <w:r>
              <w:rPr>
                <w:color w:val="3E3935"/>
              </w:rPr>
              <w:t>RSU</w:t>
            </w:r>
          </w:p>
        </w:tc>
        <w:tc>
          <w:tcPr>
            <w:tcW w:w="215" w:type="dxa"/>
            <w:tcBorders/>
            <w:shd w:fill="CCF2F8" w:val="clear"/>
            <w:vAlign w:val="center"/>
          </w:tcPr>
          <w:p>
            <w:pPr>
              <w:pStyle w:val="TableContents"/>
              <w:bidi w:val="0"/>
              <w:spacing w:before="0" w:after="283"/>
              <w:jc w:val="left"/>
              <w:rPr>
                <w:color w:val="3E3935"/>
              </w:rPr>
            </w:pPr>
            <w:r>
              <w:rPr>
                <w:color w:val="3E3935"/>
              </w:rPr>
              <w:t>(2)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75" w:type="dxa"/>
            <w:tcBorders/>
            <w:shd w:fill="CCF2F8" w:val="clear"/>
            <w:vAlign w:val="center"/>
          </w:tcPr>
          <w:p>
            <w:pPr>
              <w:pStyle w:val="TableContents"/>
              <w:bidi w:val="0"/>
              <w:spacing w:before="0" w:after="283"/>
              <w:jc w:val="right"/>
              <w:rPr>
                <w:color w:val="3E3935"/>
              </w:rPr>
            </w:pPr>
            <w:r>
              <w:rPr>
                <w:color w:val="3E3935"/>
              </w:rPr>
              <w:t>7/3/2023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35" w:type="dxa"/>
            <w:tcBorders/>
            <w:shd w:fill="CCF2F8" w:val="clear"/>
            <w:vAlign w:val="center"/>
          </w:tcPr>
          <w:p>
            <w:pPr>
              <w:pStyle w:val="TableContents"/>
              <w:bidi w:val="0"/>
              <w:spacing w:before="0" w:after="283"/>
              <w:jc w:val="right"/>
              <w:rPr>
                <w:color w:val="3E3935"/>
              </w:rPr>
            </w:pPr>
            <w:r>
              <w:rPr>
                <w:color w:val="3E3935"/>
              </w:rPr>
              <w:t>4/21/2023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sz w:val="4"/>
                <w:szCs w:val="4"/>
              </w:rPr>
            </w:pPr>
            <w:r>
              <w:rPr>
                <w:sz w:val="4"/>
                <w:szCs w:val="4"/>
              </w:rPr>
            </w:r>
          </w:p>
        </w:tc>
        <w:tc>
          <w:tcPr>
            <w:tcW w:w="996"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8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1" w:type="dxa"/>
            <w:tcBorders/>
            <w:shd w:fill="CCF2F8" w:val="clear"/>
            <w:vAlign w:val="center"/>
          </w:tcPr>
          <w:p>
            <w:pPr>
              <w:pStyle w:val="TableContents"/>
              <w:bidi w:val="0"/>
              <w:spacing w:before="0" w:after="283"/>
              <w:jc w:val="left"/>
              <w:rPr>
                <w:sz w:val="4"/>
                <w:szCs w:val="4"/>
              </w:rPr>
            </w:pPr>
            <w:r>
              <w:rPr>
                <w:sz w:val="4"/>
                <w:szCs w:val="4"/>
              </w:rPr>
            </w:r>
          </w:p>
        </w:tc>
        <w:tc>
          <w:tcPr>
            <w:tcW w:w="1009"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6" w:type="dxa"/>
            <w:tcBorders/>
            <w:shd w:fill="CCF2F8" w:val="clear"/>
            <w:vAlign w:val="center"/>
          </w:tcPr>
          <w:p>
            <w:pPr>
              <w:pStyle w:val="TableContents"/>
              <w:bidi w:val="0"/>
              <w:spacing w:before="0" w:after="283"/>
              <w:jc w:val="left"/>
              <w:rPr>
                <w:sz w:val="4"/>
                <w:szCs w:val="4"/>
              </w:rPr>
            </w:pPr>
            <w:r>
              <w:rPr>
                <w:sz w:val="4"/>
                <w:szCs w:val="4"/>
              </w:rPr>
            </w:r>
          </w:p>
        </w:tc>
        <w:tc>
          <w:tcPr>
            <w:tcW w:w="984"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sz w:val="4"/>
                <w:szCs w:val="4"/>
              </w:rPr>
            </w:pPr>
            <w:r>
              <w:rPr>
                <w:sz w:val="4"/>
                <w:szCs w:val="4"/>
              </w:rPr>
            </w:r>
          </w:p>
        </w:tc>
        <w:tc>
          <w:tcPr>
            <w:tcW w:w="996"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436,345</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5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17,000,001</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635" w:type="dxa"/>
            <w:vMerge w:val="restart"/>
            <w:tcBorders/>
            <w:vAlign w:val="center"/>
          </w:tcPr>
          <w:p>
            <w:pPr>
              <w:pStyle w:val="TableContents"/>
              <w:bidi w:val="0"/>
              <w:spacing w:before="0" w:after="0"/>
              <w:jc w:val="left"/>
              <w:rPr>
                <w:rFonts w:ascii="arial" w:hAnsi="arial"/>
                <w:b/>
                <w:color w:val="0071CE"/>
                <w:sz w:val="14"/>
              </w:rPr>
            </w:pPr>
            <w:r>
              <w:rPr>
                <w:rFonts w:ascii="arial" w:hAnsi="arial"/>
                <w:b/>
                <w:color w:val="0071CE"/>
                <w:sz w:val="14"/>
              </w:rPr>
              <w:t>Craig B. Glidden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STIP</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1/1/2023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12/7/2023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996" w:type="dxa"/>
            <w:tcBorders/>
            <w:vAlign w:val="center"/>
          </w:tcPr>
          <w:p>
            <w:pPr>
              <w:pStyle w:val="TableContents"/>
              <w:bidi w:val="0"/>
              <w:spacing w:before="0" w:after="283"/>
              <w:jc w:val="right"/>
              <w:rPr>
                <w:color w:val="3E3935"/>
              </w:rPr>
            </w:pPr>
            <w:r>
              <w:rPr>
                <w:color w:val="3E3935"/>
              </w:rPr>
              <w:t>85,938</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1,375,000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3E3935"/>
              </w:rPr>
            </w:pPr>
            <w:r>
              <w:rPr>
                <w:color w:val="3E3935"/>
              </w:rPr>
              <w:t> </w:t>
            </w:r>
          </w:p>
        </w:tc>
        <w:tc>
          <w:tcPr>
            <w:tcW w:w="1009" w:type="dxa"/>
            <w:tcBorders/>
            <w:vAlign w:val="center"/>
          </w:tcPr>
          <w:p>
            <w:pPr>
              <w:pStyle w:val="TableContents"/>
              <w:bidi w:val="0"/>
              <w:spacing w:before="0" w:after="283"/>
              <w:jc w:val="right"/>
              <w:rPr>
                <w:color w:val="3E3935"/>
              </w:rPr>
            </w:pPr>
            <w:r>
              <w:rPr>
                <w:color w:val="3E3935"/>
              </w:rPr>
              <w:t>2,750,000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Options</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2/7/2023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12/5/2022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123,045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60" w:type="dxa"/>
            <w:tcBorders/>
            <w:vAlign w:val="center"/>
          </w:tcPr>
          <w:p>
            <w:pPr>
              <w:pStyle w:val="TableContents"/>
              <w:bidi w:val="0"/>
              <w:spacing w:before="0" w:after="283"/>
              <w:jc w:val="right"/>
              <w:rPr>
                <w:color w:val="3E3935"/>
              </w:rPr>
            </w:pPr>
            <w:r>
              <w:rPr>
                <w:color w:val="3E3935"/>
              </w:rPr>
              <w:t>41.40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1,632,807</w:t>
            </w:r>
          </w:p>
        </w:tc>
        <w:tc>
          <w:tcPr>
            <w:tcW w:w="75" w:type="dxa"/>
            <w:tcBorders/>
            <w:vAlign w:val="center"/>
          </w:tcPr>
          <w:p>
            <w:pPr>
              <w:pStyle w:val="TableContents"/>
              <w:bidi w:val="0"/>
              <w:spacing w:before="0" w:after="283"/>
              <w:jc w:val="left"/>
              <w:rPr>
                <w:color w:val="3E3935"/>
              </w:rPr>
            </w:pPr>
            <w:r>
              <w:rPr>
                <w:color w:val="3E3935"/>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770" w:type="dxa"/>
            <w:tcBorders/>
            <w:vAlign w:val="center"/>
          </w:tcPr>
          <w:p>
            <w:pPr>
              <w:pStyle w:val="TableContents"/>
              <w:bidi w:val="0"/>
              <w:spacing w:before="0" w:after="283"/>
              <w:jc w:val="right"/>
              <w:rPr>
                <w:color w:val="3E3935"/>
              </w:rPr>
            </w:pPr>
            <w:r>
              <w:rPr>
                <w:color w:val="3E3935"/>
              </w:rPr>
              <w:t>PSU</w:t>
            </w:r>
          </w:p>
        </w:tc>
        <w:tc>
          <w:tcPr>
            <w:tcW w:w="21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75" w:type="dxa"/>
            <w:tcBorders/>
            <w:vAlign w:val="center"/>
          </w:tcPr>
          <w:p>
            <w:pPr>
              <w:pStyle w:val="TableContents"/>
              <w:bidi w:val="0"/>
              <w:spacing w:before="0" w:after="283"/>
              <w:jc w:val="right"/>
              <w:rPr>
                <w:color w:val="3E3935"/>
              </w:rPr>
            </w:pPr>
            <w:r>
              <w:rPr>
                <w:color w:val="3E3935"/>
              </w:rPr>
              <w:t>2/7/2023</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35" w:type="dxa"/>
            <w:tcBorders/>
            <w:vAlign w:val="center"/>
          </w:tcPr>
          <w:p>
            <w:pPr>
              <w:pStyle w:val="TableContents"/>
              <w:bidi w:val="0"/>
              <w:spacing w:before="0" w:after="283"/>
              <w:jc w:val="right"/>
              <w:rPr>
                <w:color w:val="3E3935"/>
              </w:rPr>
            </w:pPr>
            <w:r>
              <w:rPr>
                <w:color w:val="3E3935"/>
              </w:rPr>
              <w:t>12/5/2022</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10,788</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107,877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996" w:type="dxa"/>
            <w:tcBorders/>
            <w:vAlign w:val="center"/>
          </w:tcPr>
          <w:p>
            <w:pPr>
              <w:pStyle w:val="TableContents"/>
              <w:bidi w:val="0"/>
              <w:spacing w:before="0" w:after="283"/>
              <w:jc w:val="right"/>
              <w:rPr>
                <w:color w:val="3E3935"/>
              </w:rPr>
            </w:pPr>
            <w:r>
              <w:rPr>
                <w:color w:val="3E3935"/>
              </w:rPr>
              <w:t>215,754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4,898,400</w:t>
            </w:r>
          </w:p>
        </w:tc>
        <w:tc>
          <w:tcPr>
            <w:tcW w:w="75" w:type="dxa"/>
            <w:tcBorders/>
            <w:vAlign w:val="center"/>
          </w:tcPr>
          <w:p>
            <w:pPr>
              <w:pStyle w:val="TableContents"/>
              <w:bidi w:val="0"/>
              <w:spacing w:before="0" w:after="283"/>
              <w:jc w:val="left"/>
              <w:rPr>
                <w:color w:val="3E3935"/>
              </w:rPr>
            </w:pPr>
            <w:r>
              <w:rPr>
                <w:color w:val="3E3935"/>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77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RSU</w:t>
            </w:r>
          </w:p>
        </w:tc>
        <w:tc>
          <w:tcPr>
            <w:tcW w:w="21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575"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12/13/2023</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935"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12/7/2023</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4" w:type="dxa"/>
            <w:tcBorders>
              <w:bottom w:val="single" w:sz="6" w:space="0" w:color="0071CE"/>
            </w:tcBorders>
            <w:tcMar>
              <w:bottom w:w="28" w:type="dxa"/>
            </w:tcMar>
            <w:vAlign w:val="center"/>
          </w:tcPr>
          <w:p>
            <w:pPr>
              <w:pStyle w:val="TableContents"/>
              <w:bidi w:val="0"/>
              <w:spacing w:before="0" w:after="283"/>
              <w:jc w:val="left"/>
              <w:rPr/>
            </w:pPr>
            <w:r>
              <w:rPr/>
              <w:t> </w:t>
            </w:r>
          </w:p>
        </w:tc>
        <w:tc>
          <w:tcPr>
            <w:tcW w:w="996"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98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1" w:type="dxa"/>
            <w:tcBorders>
              <w:bottom w:val="single" w:sz="6" w:space="0" w:color="0071CE"/>
            </w:tcBorders>
            <w:tcMar>
              <w:bottom w:w="28" w:type="dxa"/>
            </w:tcMar>
            <w:vAlign w:val="center"/>
          </w:tcPr>
          <w:p>
            <w:pPr>
              <w:pStyle w:val="TableContents"/>
              <w:bidi w:val="0"/>
              <w:spacing w:before="0" w:after="283"/>
              <w:jc w:val="left"/>
              <w:rPr/>
            </w:pPr>
            <w:r>
              <w:rPr/>
              <w:t> </w:t>
            </w:r>
          </w:p>
        </w:tc>
        <w:tc>
          <w:tcPr>
            <w:tcW w:w="1009"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6" w:type="dxa"/>
            <w:tcBorders>
              <w:bottom w:val="single" w:sz="6" w:space="0" w:color="0071CE"/>
            </w:tcBorders>
            <w:tcMar>
              <w:bottom w:w="28" w:type="dxa"/>
            </w:tcMar>
            <w:vAlign w:val="center"/>
          </w:tcPr>
          <w:p>
            <w:pPr>
              <w:pStyle w:val="TableContents"/>
              <w:bidi w:val="0"/>
              <w:spacing w:before="0" w:after="283"/>
              <w:jc w:val="left"/>
              <w:rPr/>
            </w:pPr>
            <w:r>
              <w:rPr/>
              <w:t> </w:t>
            </w:r>
          </w:p>
        </w:tc>
        <w:tc>
          <w:tcPr>
            <w:tcW w:w="984"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0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4" w:type="dxa"/>
            <w:tcBorders>
              <w:bottom w:val="single" w:sz="6" w:space="0" w:color="0071CE"/>
            </w:tcBorders>
            <w:tcMar>
              <w:bottom w:w="28" w:type="dxa"/>
            </w:tcMar>
            <w:vAlign w:val="center"/>
          </w:tcPr>
          <w:p>
            <w:pPr>
              <w:pStyle w:val="TableContents"/>
              <w:bidi w:val="0"/>
              <w:spacing w:before="0" w:after="283"/>
              <w:jc w:val="left"/>
              <w:rPr/>
            </w:pPr>
            <w:r>
              <w:rPr/>
              <w:t> </w:t>
            </w:r>
          </w:p>
        </w:tc>
        <w:tc>
          <w:tcPr>
            <w:tcW w:w="996"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80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58,841</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0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10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2,000,006</w:t>
            </w:r>
          </w:p>
        </w:tc>
        <w:tc>
          <w:tcPr>
            <w:tcW w:w="7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3E3935"/>
              </w:rPr>
            </w:pPr>
            <w:r>
              <w:rPr>
                <w:color w:val="3E3935"/>
              </w:rPr>
              <w:t>(1)</w:t>
            </w:r>
          </w:p>
        </w:tc>
        <w:tc>
          <w:tcPr>
            <w:tcW w:w="994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This column shows the aggregate grant date fair value of equity awards granted to the NEOs in 2023. The aggregate grant date fair value is the amount that the Company expects to expense in its financial statements over the vesting schedule. All grant date fair values have been computed in accordance with FASB ASC Topic 718. </w:t>
            </w:r>
          </w:p>
        </w:tc>
      </w:tr>
    </w:tbl>
    <w:tbl>
      <w:tblPr>
        <w:tblW w:w="5920" w:type="dxa"/>
        <w:jc w:val="left"/>
        <w:tblInd w:w="0" w:type="dxa"/>
        <w:tblLayout w:type="fixed"/>
        <w:tblCellMar>
          <w:top w:w="0" w:type="dxa"/>
          <w:left w:w="0" w:type="dxa"/>
          <w:bottom w:w="0" w:type="dxa"/>
          <w:right w:w="0" w:type="dxa"/>
        </w:tblCellMar>
      </w:tblPr>
      <w:tblGrid>
        <w:gridCol w:w="305"/>
        <w:gridCol w:w="5615"/>
      </w:tblGrid>
      <w:tr>
        <w:trPr/>
        <w:tc>
          <w:tcPr>
            <w:tcW w:w="305" w:type="dxa"/>
            <w:tcBorders/>
            <w:vAlign w:val="center"/>
          </w:tcPr>
          <w:p>
            <w:pPr>
              <w:pStyle w:val="TableContents"/>
              <w:bidi w:val="0"/>
              <w:spacing w:before="0" w:after="283"/>
              <w:jc w:val="left"/>
              <w:rPr>
                <w:color w:val="3E3935"/>
              </w:rPr>
            </w:pPr>
            <w:r>
              <w:rPr>
                <w:color w:val="3E3935"/>
              </w:rPr>
              <w:t>(2)</w:t>
            </w:r>
          </w:p>
        </w:tc>
        <w:tc>
          <w:tcPr>
            <w:tcW w:w="56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Upon his resignation, Mr. Abbott forfeited the new hire RSU award in its entirety. </w:t>
            </w:r>
          </w:p>
        </w:tc>
      </w:tr>
    </w:tbl>
    <w:p>
      <w:pPr>
        <w:pStyle w:val="TextBody"/>
        <w:bidi w:val="0"/>
        <w:spacing w:before="0" w:after="0"/>
        <w:jc w:val="left"/>
        <w:rPr/>
      </w:pPr>
      <w:r>
        <w:rPr/>
        <w:t> </w:t>
      </w:r>
    </w:p>
    <w:tbl>
      <w:tblPr>
        <w:tblW w:w="5483" w:type="dxa"/>
        <w:jc w:val="left"/>
        <w:tblInd w:w="0" w:type="dxa"/>
        <w:tblLayout w:type="fixed"/>
        <w:tblCellMar>
          <w:top w:w="0" w:type="dxa"/>
          <w:left w:w="0" w:type="dxa"/>
          <w:bottom w:w="0" w:type="dxa"/>
          <w:right w:w="0" w:type="dxa"/>
        </w:tblCellMar>
      </w:tblPr>
      <w:tblGrid>
        <w:gridCol w:w="275"/>
        <w:gridCol w:w="60"/>
        <w:gridCol w:w="192"/>
        <w:gridCol w:w="60"/>
        <w:gridCol w:w="4655"/>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68</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47"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76" descr=""/>
                          <pic:cNvPicPr>
                            <a:picLocks noChangeAspect="1" noChangeArrowheads="1"/>
                          </pic:cNvPicPr>
                        </pic:nvPicPr>
                        <pic:blipFill>
                          <a:blip r:embed="rId330"/>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center"/>
              <w:rPr>
                <w:b/>
                <w:color w:val="3E3935"/>
              </w:rPr>
            </w:pPr>
            <w:r>
              <w:rPr>
                <w:b/>
                <w:color w:val="3E3935"/>
              </w:rPr>
              <w:t xml:space="preserve">EXECUTIVE COMPENSATION TABLES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35" w:name="toc648661_33"/>
      <w:bookmarkEnd w:id="35"/>
      <w:r>
        <w:rPr>
          <w:rFonts w:ascii="arial" w:hAnsi="arial"/>
          <w:b/>
          <w:color w:val="0071CE"/>
          <w:sz w:val="28"/>
        </w:rPr>
        <w:t xml:space="preserve">Outstanding Equity Awards at Fiscal Year-End </w:t>
      </w:r>
    </w:p>
    <w:p>
      <w:pPr>
        <w:pStyle w:val="TextBody"/>
        <w:bidi w:val="0"/>
        <w:spacing w:before="0" w:after="0"/>
        <w:jc w:val="left"/>
        <w:rPr/>
      </w:pPr>
      <w:r>
        <w:rPr/>
        <w:t> </w:t>
      </w:r>
    </w:p>
    <w:tbl>
      <w:tblPr>
        <w:tblW w:w="12206" w:type="dxa"/>
        <w:jc w:val="left"/>
        <w:tblInd w:w="0" w:type="dxa"/>
        <w:tblLayout w:type="fixed"/>
        <w:tblCellMar>
          <w:top w:w="0" w:type="dxa"/>
          <w:left w:w="0" w:type="dxa"/>
          <w:bottom w:w="0" w:type="dxa"/>
          <w:right w:w="0" w:type="dxa"/>
        </w:tblCellMar>
      </w:tblPr>
      <w:tblGrid>
        <w:gridCol w:w="635"/>
        <w:gridCol w:w="60"/>
        <w:gridCol w:w="60"/>
        <w:gridCol w:w="60"/>
        <w:gridCol w:w="500"/>
        <w:gridCol w:w="23"/>
        <w:gridCol w:w="60"/>
        <w:gridCol w:w="80"/>
        <w:gridCol w:w="80"/>
        <w:gridCol w:w="1073"/>
        <w:gridCol w:w="32"/>
        <w:gridCol w:w="60"/>
        <w:gridCol w:w="76"/>
        <w:gridCol w:w="76"/>
        <w:gridCol w:w="1018"/>
        <w:gridCol w:w="275"/>
        <w:gridCol w:w="60"/>
        <w:gridCol w:w="74"/>
        <w:gridCol w:w="74"/>
        <w:gridCol w:w="697"/>
        <w:gridCol w:w="30"/>
        <w:gridCol w:w="60"/>
        <w:gridCol w:w="60"/>
        <w:gridCol w:w="60"/>
        <w:gridCol w:w="972"/>
        <w:gridCol w:w="23"/>
        <w:gridCol w:w="60"/>
        <w:gridCol w:w="60"/>
        <w:gridCol w:w="60"/>
        <w:gridCol w:w="60"/>
        <w:gridCol w:w="60"/>
        <w:gridCol w:w="60"/>
        <w:gridCol w:w="60"/>
        <w:gridCol w:w="60"/>
        <w:gridCol w:w="800"/>
        <w:gridCol w:w="225"/>
        <w:gridCol w:w="60"/>
        <w:gridCol w:w="60"/>
        <w:gridCol w:w="60"/>
        <w:gridCol w:w="1100"/>
        <w:gridCol w:w="23"/>
        <w:gridCol w:w="60"/>
        <w:gridCol w:w="75"/>
        <w:gridCol w:w="75"/>
        <w:gridCol w:w="1007"/>
        <w:gridCol w:w="273"/>
        <w:gridCol w:w="60"/>
        <w:gridCol w:w="60"/>
        <w:gridCol w:w="60"/>
        <w:gridCol w:w="1100"/>
        <w:gridCol w:w="350"/>
      </w:tblGrid>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583" w:type="dxa"/>
            <w:gridSpan w:val="2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Option Awards</w:t>
            </w:r>
          </w:p>
        </w:tc>
        <w:tc>
          <w:tcPr>
            <w:tcW w:w="60" w:type="dxa"/>
            <w:tcBorders/>
            <w:vAlign w:val="center"/>
          </w:tcPr>
          <w:p>
            <w:pPr>
              <w:pStyle w:val="TableContents"/>
              <w:bidi w:val="0"/>
              <w:spacing w:before="0" w:after="283"/>
              <w:jc w:val="left"/>
              <w:rPr/>
            </w:pPr>
            <w:r>
              <w:rPr/>
              <w:t> </w:t>
            </w:r>
          </w:p>
        </w:tc>
        <w:tc>
          <w:tcPr>
            <w:tcW w:w="240" w:type="dxa"/>
            <w:gridSpan w:val="4"/>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568" w:type="dxa"/>
            <w:gridSpan w:val="19"/>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Stock Awards(1)</w:t>
            </w:r>
          </w:p>
        </w:tc>
      </w:tr>
      <w:tr>
        <w:trPr/>
        <w:tc>
          <w:tcPr>
            <w:tcW w:w="635" w:type="dxa"/>
            <w:tcBorders>
              <w:bottom w:val="single" w:sz="6" w:space="0" w:color="0071CE"/>
            </w:tcBorders>
            <w:tcMar>
              <w:bottom w:w="40" w:type="dxa"/>
            </w:tcMar>
            <w:vAlign w:val="center"/>
          </w:tcPr>
          <w:p>
            <w:pPr>
              <w:pStyle w:val="TableContents"/>
              <w:bidi w:val="0"/>
              <w:spacing w:before="0" w:after="0"/>
              <w:jc w:val="left"/>
              <w:rPr>
                <w:rFonts w:ascii="arial" w:hAnsi="arial"/>
                <w:b/>
                <w:color w:val="3E3935"/>
                <w:sz w:val="13"/>
              </w:rPr>
            </w:pPr>
            <w:r>
              <w:rPr>
                <w:rFonts w:ascii="arial" w:hAnsi="arial"/>
                <w:b/>
                <w:color w:val="3E3935"/>
                <w:sz w:val="13"/>
              </w:rPr>
              <w:t>Name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43"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Grant</w:t>
              <w:br/>
              <w:t>Date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65"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Number of</w:t>
              <w:br/>
              <w:t>Securities</w:t>
              <w:br/>
              <w:t>Underlying</w:t>
              <w:br/>
              <w:t>Unexercised</w:t>
              <w:br/>
              <w:t>Options</w:t>
              <w:br/>
              <w:t>Exercisable</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Number of</w:t>
              <w:br/>
              <w:t>Securities</w:t>
              <w:br/>
              <w:t>Underlying</w:t>
              <w:br/>
              <w:t>Unexercised</w:t>
              <w:br/>
              <w:t>Options</w:t>
              <w:br/>
              <w:t>Unexercisable</w:t>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Option</w:t>
              <w:br/>
              <w:t>Exercise</w:t>
              <w:br/>
              <w:t>Price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15"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Option</w:t>
              <w:br/>
              <w:t>Expiration</w:t>
              <w:br/>
              <w:t>Date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240" w:type="dxa"/>
            <w:gridSpan w:val="4"/>
            <w:tcBorders>
              <w:bottom w:val="single" w:sz="6" w:space="0" w:color="0071CE"/>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Number</w:t>
              <w:br/>
              <w:t>of Shares</w:t>
              <w:br/>
              <w:t>or Units of</w:t>
              <w:br/>
              <w:t>Stock That</w:t>
              <w:br/>
              <w:t>Have Not</w:t>
              <w:br/>
              <w:t>Vested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43"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Market</w:t>
              <w:br/>
              <w:t>Value of</w:t>
              <w:br/>
              <w:t>Shares or</w:t>
              <w:br/>
              <w:t>Units of</w:t>
              <w:br/>
              <w:t>Stock That</w:t>
              <w:br/>
              <w:t>Have Not</w:t>
              <w:br/>
              <w:t>Vested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30"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Equity</w:t>
              <w:br/>
              <w:t>Incentive</w:t>
              <w:br/>
              <w:t>Plan Awards:</w:t>
              <w:br/>
              <w:t>Number of</w:t>
              <w:br/>
              <w:t>Unearned</w:t>
              <w:br/>
              <w:t>Shares, Units,</w:t>
              <w:br/>
              <w:t>or Other</w:t>
              <w:br/>
              <w:t>Rights That</w:t>
              <w:br/>
              <w:t>Have Not</w:t>
              <w:br/>
              <w:t>Vested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570" w:type="dxa"/>
            <w:gridSpan w:val="4"/>
            <w:tcBorders>
              <w:bottom w:val="single" w:sz="6" w:space="0" w:color="0071CE"/>
            </w:tcBorders>
            <w:tcMar>
              <w:bottom w:w="40" w:type="dxa"/>
            </w:tcMar>
            <w:vAlign w:val="center"/>
          </w:tcPr>
          <w:p>
            <w:pPr>
              <w:pStyle w:val="TableContents"/>
              <w:bidi w:val="0"/>
              <w:spacing w:before="0" w:after="283"/>
              <w:jc w:val="center"/>
              <w:rPr>
                <w:b/>
                <w:color w:val="3E3935"/>
              </w:rPr>
            </w:pPr>
            <w:r>
              <w:rPr>
                <w:b/>
                <w:color w:val="3E3935"/>
              </w:rPr>
              <w:t>Equity</w:t>
              <w:br/>
              <w:t>Incentive</w:t>
              <w:br/>
              <w:t>Plan Awards:</w:t>
              <w:br/>
              <w:t>Market or</w:t>
              <w:br/>
              <w:t>Payout Value</w:t>
              <w:br/>
              <w:t>of Unearned</w:t>
              <w:br/>
              <w:t>Shares, Units,</w:t>
              <w:br/>
              <w:t>or Other</w:t>
              <w:br/>
              <w:t>Rights That</w:t>
              <w:br/>
              <w:t>Have Not</w:t>
              <w:br/>
              <w:t>Vested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30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630"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0"/>
              <w:jc w:val="left"/>
              <w:rPr>
                <w:rFonts w:ascii="arial" w:hAnsi="arial"/>
                <w:b/>
                <w:color w:val="0071CE"/>
                <w:sz w:val="14"/>
              </w:rPr>
            </w:pPr>
            <w:r>
              <w:rPr>
                <w:rFonts w:ascii="arial" w:hAnsi="arial"/>
                <w:b/>
                <w:color w:val="0071CE"/>
                <w:sz w:val="14"/>
              </w:rPr>
              <w:t>Mary T. Barra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2/7/2023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367,371</w:t>
            </w:r>
          </w:p>
        </w:tc>
        <w:tc>
          <w:tcPr>
            <w:tcW w:w="275" w:type="dxa"/>
            <w:tcBorders/>
            <w:vAlign w:val="center"/>
          </w:tcPr>
          <w:p>
            <w:pPr>
              <w:pStyle w:val="TableContents"/>
              <w:bidi w:val="0"/>
              <w:spacing w:before="0" w:after="283"/>
              <w:jc w:val="left"/>
              <w:rPr/>
            </w:pPr>
            <w:r>
              <w:rPr>
                <w:color w:val="3E3935"/>
              </w:rPr>
              <w:t>(2)</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41.40</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2/7/2033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olor w:val="3E3935"/>
              </w:rPr>
            </w:pPr>
            <w:r>
              <w:rPr>
                <w:color w:val="3E3935"/>
              </w:rPr>
              <w:t> </w:t>
            </w:r>
          </w:p>
        </w:tc>
        <w:tc>
          <w:tcPr>
            <w:tcW w:w="1007" w:type="dxa"/>
            <w:tcBorders/>
            <w:vAlign w:val="center"/>
          </w:tcPr>
          <w:p>
            <w:pPr>
              <w:pStyle w:val="TableContents"/>
              <w:bidi w:val="0"/>
              <w:spacing w:before="0" w:after="283"/>
              <w:jc w:val="right"/>
              <w:rPr>
                <w:color w:val="3E3935"/>
              </w:rPr>
            </w:pPr>
            <w:r>
              <w:rPr>
                <w:color w:val="3E3935"/>
              </w:rPr>
              <w:t>322,085</w:t>
            </w:r>
          </w:p>
        </w:tc>
        <w:tc>
          <w:tcPr>
            <w:tcW w:w="273" w:type="dxa"/>
            <w:tcBorders/>
            <w:vAlign w:val="center"/>
          </w:tcPr>
          <w:p>
            <w:pPr>
              <w:pStyle w:val="TableContents"/>
              <w:bidi w:val="0"/>
              <w:spacing w:before="0" w:after="283"/>
              <w:jc w:val="left"/>
              <w:rPr/>
            </w:pPr>
            <w:r>
              <w:rPr>
                <w:color w:val="3E3935"/>
              </w:rPr>
              <w:t>(8)</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11,569,293</w:t>
            </w:r>
          </w:p>
        </w:tc>
        <w:tc>
          <w:tcPr>
            <w:tcW w:w="350" w:type="dxa"/>
            <w:tcBorders/>
            <w:vAlign w:val="center"/>
          </w:tcPr>
          <w:p>
            <w:pPr>
              <w:pStyle w:val="TableContents"/>
              <w:bidi w:val="0"/>
              <w:spacing w:before="0" w:after="283"/>
              <w:jc w:val="left"/>
              <w:rPr/>
            </w:pPr>
            <w:r>
              <w:rPr>
                <w:color w:val="3E3935"/>
              </w:rPr>
              <w:t>(10)</w:t>
            </w:r>
            <w:r>
              <w:rPr/>
              <w:t> </w:t>
            </w:r>
          </w:p>
        </w:tc>
      </w:tr>
      <w:tr>
        <w:trPr/>
        <w:tc>
          <w:tcPr>
            <w:tcW w:w="635" w:type="dxa"/>
            <w:tcBorders/>
            <w:vAlign w:val="center"/>
          </w:tcPr>
          <w:p>
            <w:pPr>
              <w:pStyle w:val="TableContents"/>
              <w:bidi w:val="0"/>
              <w:spacing w:before="0" w:after="283"/>
              <w:jc w:val="left"/>
              <w:rPr/>
            </w:pPr>
            <w:r>
              <w:rPr/>
              <w:t> </w:t>
            </w:r>
          </w:p>
        </w:tc>
        <w:tc>
          <w:tcPr>
            <w:tcW w:w="703" w:type="dxa"/>
            <w:gridSpan w:val="5"/>
            <w:tcBorders/>
            <w:vAlign w:val="center"/>
          </w:tcPr>
          <w:p>
            <w:pPr>
              <w:pStyle w:val="TableContents"/>
              <w:bidi w:val="0"/>
              <w:spacing w:before="0" w:after="283"/>
              <w:jc w:val="left"/>
              <w:rPr/>
            </w:pPr>
            <w:r>
              <w:rPr/>
              <w:t> </w:t>
            </w:r>
          </w:p>
        </w:tc>
        <w:tc>
          <w:tcPr>
            <w:tcW w:w="1325" w:type="dxa"/>
            <w:gridSpan w:val="5"/>
            <w:tcBorders/>
            <w:vAlign w:val="center"/>
          </w:tcPr>
          <w:p>
            <w:pPr>
              <w:pStyle w:val="TableContents"/>
              <w:bidi w:val="0"/>
              <w:spacing w:before="0" w:after="283"/>
              <w:jc w:val="left"/>
              <w:rPr/>
            </w:pPr>
            <w:r>
              <w:rPr/>
              <w:t> </w:t>
            </w:r>
          </w:p>
        </w:tc>
        <w:tc>
          <w:tcPr>
            <w:tcW w:w="1505" w:type="dxa"/>
            <w:gridSpan w:val="5"/>
            <w:tcBorders/>
            <w:vAlign w:val="center"/>
          </w:tcPr>
          <w:p>
            <w:pPr>
              <w:pStyle w:val="TableContents"/>
              <w:bidi w:val="0"/>
              <w:spacing w:before="0" w:after="283"/>
              <w:jc w:val="left"/>
              <w:rPr/>
            </w:pPr>
            <w:r>
              <w:rPr/>
              <w:t> </w:t>
            </w:r>
          </w:p>
        </w:tc>
        <w:tc>
          <w:tcPr>
            <w:tcW w:w="935" w:type="dxa"/>
            <w:gridSpan w:val="5"/>
            <w:tcBorders/>
            <w:vAlign w:val="center"/>
          </w:tcPr>
          <w:p>
            <w:pPr>
              <w:pStyle w:val="TableContents"/>
              <w:bidi w:val="0"/>
              <w:spacing w:before="0" w:after="283"/>
              <w:jc w:val="left"/>
              <w:rPr/>
            </w:pPr>
            <w:r>
              <w:rPr/>
              <w:t> </w:t>
            </w:r>
          </w:p>
        </w:tc>
        <w:tc>
          <w:tcPr>
            <w:tcW w:w="1175" w:type="dxa"/>
            <w:gridSpan w:val="5"/>
            <w:tcBorders/>
            <w:vAlign w:val="center"/>
          </w:tcPr>
          <w:p>
            <w:pPr>
              <w:pStyle w:val="TableContents"/>
              <w:bidi w:val="0"/>
              <w:spacing w:before="0" w:after="283"/>
              <w:jc w:val="left"/>
              <w:rPr/>
            </w:pPr>
            <w:r>
              <w:rPr/>
              <w:t> </w:t>
            </w:r>
          </w:p>
        </w:tc>
        <w:tc>
          <w:tcPr>
            <w:tcW w:w="300" w:type="dxa"/>
            <w:gridSpan w:val="5"/>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 </w:t>
            </w:r>
          </w:p>
        </w:tc>
        <w:tc>
          <w:tcPr>
            <w:tcW w:w="1303" w:type="dxa"/>
            <w:gridSpan w:val="5"/>
            <w:tcBorders/>
            <w:vAlign w:val="center"/>
          </w:tcPr>
          <w:p>
            <w:pPr>
              <w:pStyle w:val="TableContents"/>
              <w:bidi w:val="0"/>
              <w:spacing w:before="0" w:after="283"/>
              <w:jc w:val="left"/>
              <w:rPr/>
            </w:pPr>
            <w:r>
              <w:rPr/>
              <w:t> </w:t>
            </w:r>
          </w:p>
        </w:tc>
        <w:tc>
          <w:tcPr>
            <w:tcW w:w="1490" w:type="dxa"/>
            <w:gridSpan w:val="5"/>
            <w:tcBorders/>
            <w:vAlign w:val="center"/>
          </w:tcPr>
          <w:p>
            <w:pPr>
              <w:pStyle w:val="TableContents"/>
              <w:bidi w:val="0"/>
              <w:spacing w:before="0" w:after="283"/>
              <w:jc w:val="left"/>
              <w:rPr/>
            </w:pPr>
            <w:r>
              <w:rPr/>
              <w:t> </w:t>
            </w:r>
          </w:p>
        </w:tc>
        <w:tc>
          <w:tcPr>
            <w:tcW w:w="1630" w:type="dxa"/>
            <w:gridSpan w:val="5"/>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2/8/2022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92,752</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185,502</w:t>
            </w:r>
          </w:p>
        </w:tc>
        <w:tc>
          <w:tcPr>
            <w:tcW w:w="275" w:type="dxa"/>
            <w:tcBorders/>
            <w:vAlign w:val="center"/>
          </w:tcPr>
          <w:p>
            <w:pPr>
              <w:pStyle w:val="TableContents"/>
              <w:bidi w:val="0"/>
              <w:spacing w:before="0" w:after="283"/>
              <w:jc w:val="left"/>
              <w:rPr/>
            </w:pPr>
            <w:r>
              <w:rPr>
                <w:color w:val="3E3935"/>
              </w:rPr>
              <w:t>(3)</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49.46</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2/8/2032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olor w:val="3E3935"/>
              </w:rPr>
            </w:pPr>
            <w:r>
              <w:rPr>
                <w:color w:val="3E3935"/>
              </w:rPr>
              <w:t> </w:t>
            </w:r>
          </w:p>
        </w:tc>
        <w:tc>
          <w:tcPr>
            <w:tcW w:w="1007" w:type="dxa"/>
            <w:tcBorders/>
            <w:vAlign w:val="center"/>
          </w:tcPr>
          <w:p>
            <w:pPr>
              <w:pStyle w:val="TableContents"/>
              <w:bidi w:val="0"/>
              <w:spacing w:before="0" w:after="283"/>
              <w:jc w:val="right"/>
              <w:rPr>
                <w:color w:val="3E3935"/>
              </w:rPr>
            </w:pPr>
            <w:r>
              <w:rPr>
                <w:color w:val="3E3935"/>
              </w:rPr>
              <w:t>286,926</w:t>
            </w:r>
          </w:p>
        </w:tc>
        <w:tc>
          <w:tcPr>
            <w:tcW w:w="273" w:type="dxa"/>
            <w:tcBorders/>
            <w:vAlign w:val="center"/>
          </w:tcPr>
          <w:p>
            <w:pPr>
              <w:pStyle w:val="TableContents"/>
              <w:bidi w:val="0"/>
              <w:spacing w:before="0" w:after="283"/>
              <w:jc w:val="left"/>
              <w:rPr/>
            </w:pPr>
            <w:r>
              <w:rPr>
                <w:color w:val="3E3935"/>
              </w:rPr>
              <w:t>(9)</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10,306,382</w:t>
            </w:r>
          </w:p>
        </w:tc>
        <w:tc>
          <w:tcPr>
            <w:tcW w:w="350" w:type="dxa"/>
            <w:tcBorders/>
            <w:vAlign w:val="center"/>
          </w:tcPr>
          <w:p>
            <w:pPr>
              <w:pStyle w:val="TableContents"/>
              <w:bidi w:val="0"/>
              <w:spacing w:before="0" w:after="283"/>
              <w:jc w:val="left"/>
              <w:rPr/>
            </w:pPr>
            <w:r>
              <w:rPr>
                <w:color w:val="3E3935"/>
              </w:rPr>
              <w:t>(11)</w:t>
            </w:r>
            <w:r>
              <w:rPr/>
              <w:t> </w:t>
            </w:r>
          </w:p>
        </w:tc>
      </w:tr>
      <w:tr>
        <w:trPr/>
        <w:tc>
          <w:tcPr>
            <w:tcW w:w="635" w:type="dxa"/>
            <w:tcBorders/>
            <w:vAlign w:val="center"/>
          </w:tcPr>
          <w:p>
            <w:pPr>
              <w:pStyle w:val="TableContents"/>
              <w:bidi w:val="0"/>
              <w:spacing w:before="0" w:after="283"/>
              <w:jc w:val="left"/>
              <w:rPr/>
            </w:pPr>
            <w:r>
              <w:rPr/>
              <w:t> </w:t>
            </w:r>
          </w:p>
        </w:tc>
        <w:tc>
          <w:tcPr>
            <w:tcW w:w="703" w:type="dxa"/>
            <w:gridSpan w:val="5"/>
            <w:tcBorders/>
            <w:vAlign w:val="center"/>
          </w:tcPr>
          <w:p>
            <w:pPr>
              <w:pStyle w:val="TableContents"/>
              <w:bidi w:val="0"/>
              <w:spacing w:before="0" w:after="283"/>
              <w:jc w:val="left"/>
              <w:rPr/>
            </w:pPr>
            <w:r>
              <w:rPr/>
              <w:t> </w:t>
            </w:r>
          </w:p>
        </w:tc>
        <w:tc>
          <w:tcPr>
            <w:tcW w:w="1325" w:type="dxa"/>
            <w:gridSpan w:val="5"/>
            <w:tcBorders/>
            <w:vAlign w:val="center"/>
          </w:tcPr>
          <w:p>
            <w:pPr>
              <w:pStyle w:val="TableContents"/>
              <w:bidi w:val="0"/>
              <w:spacing w:before="0" w:after="283"/>
              <w:jc w:val="left"/>
              <w:rPr/>
            </w:pPr>
            <w:r>
              <w:rPr/>
              <w:t> </w:t>
            </w:r>
          </w:p>
        </w:tc>
        <w:tc>
          <w:tcPr>
            <w:tcW w:w="1505" w:type="dxa"/>
            <w:gridSpan w:val="5"/>
            <w:tcBorders/>
            <w:vAlign w:val="center"/>
          </w:tcPr>
          <w:p>
            <w:pPr>
              <w:pStyle w:val="TableContents"/>
              <w:bidi w:val="0"/>
              <w:spacing w:before="0" w:after="283"/>
              <w:jc w:val="left"/>
              <w:rPr/>
            </w:pPr>
            <w:r>
              <w:rPr/>
              <w:t> </w:t>
            </w:r>
          </w:p>
        </w:tc>
        <w:tc>
          <w:tcPr>
            <w:tcW w:w="935" w:type="dxa"/>
            <w:gridSpan w:val="5"/>
            <w:tcBorders/>
            <w:vAlign w:val="center"/>
          </w:tcPr>
          <w:p>
            <w:pPr>
              <w:pStyle w:val="TableContents"/>
              <w:bidi w:val="0"/>
              <w:spacing w:before="0" w:after="283"/>
              <w:jc w:val="left"/>
              <w:rPr/>
            </w:pPr>
            <w:r>
              <w:rPr/>
              <w:t> </w:t>
            </w:r>
          </w:p>
        </w:tc>
        <w:tc>
          <w:tcPr>
            <w:tcW w:w="1175" w:type="dxa"/>
            <w:gridSpan w:val="5"/>
            <w:tcBorders/>
            <w:vAlign w:val="center"/>
          </w:tcPr>
          <w:p>
            <w:pPr>
              <w:pStyle w:val="TableContents"/>
              <w:bidi w:val="0"/>
              <w:spacing w:before="0" w:after="283"/>
              <w:jc w:val="left"/>
              <w:rPr/>
            </w:pPr>
            <w:r>
              <w:rPr/>
              <w:t> </w:t>
            </w:r>
          </w:p>
        </w:tc>
        <w:tc>
          <w:tcPr>
            <w:tcW w:w="300" w:type="dxa"/>
            <w:gridSpan w:val="5"/>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 </w:t>
            </w:r>
          </w:p>
        </w:tc>
        <w:tc>
          <w:tcPr>
            <w:tcW w:w="1303" w:type="dxa"/>
            <w:gridSpan w:val="5"/>
            <w:tcBorders/>
            <w:vAlign w:val="center"/>
          </w:tcPr>
          <w:p>
            <w:pPr>
              <w:pStyle w:val="TableContents"/>
              <w:bidi w:val="0"/>
              <w:spacing w:before="0" w:after="283"/>
              <w:jc w:val="left"/>
              <w:rPr/>
            </w:pPr>
            <w:r>
              <w:rPr/>
              <w:t> </w:t>
            </w:r>
          </w:p>
        </w:tc>
        <w:tc>
          <w:tcPr>
            <w:tcW w:w="1490" w:type="dxa"/>
            <w:gridSpan w:val="5"/>
            <w:tcBorders/>
            <w:vAlign w:val="center"/>
          </w:tcPr>
          <w:p>
            <w:pPr>
              <w:pStyle w:val="TableContents"/>
              <w:bidi w:val="0"/>
              <w:spacing w:before="0" w:after="283"/>
              <w:jc w:val="left"/>
              <w:rPr/>
            </w:pPr>
            <w:r>
              <w:rPr/>
              <w:t> </w:t>
            </w:r>
          </w:p>
        </w:tc>
        <w:tc>
          <w:tcPr>
            <w:tcW w:w="1630" w:type="dxa"/>
            <w:gridSpan w:val="5"/>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2/18/2021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129,758</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64,879</w:t>
            </w:r>
          </w:p>
        </w:tc>
        <w:tc>
          <w:tcPr>
            <w:tcW w:w="275" w:type="dxa"/>
            <w:tcBorders/>
            <w:vAlign w:val="center"/>
          </w:tcPr>
          <w:p>
            <w:pPr>
              <w:pStyle w:val="TableContents"/>
              <w:bidi w:val="0"/>
              <w:spacing w:before="0" w:after="283"/>
              <w:jc w:val="left"/>
              <w:rPr/>
            </w:pPr>
            <w:r>
              <w:rPr>
                <w:color w:val="3E3935"/>
              </w:rPr>
              <w:t>(4)</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52.16</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2/18/2031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167,586</w:t>
            </w:r>
          </w:p>
        </w:tc>
        <w:tc>
          <w:tcPr>
            <w:tcW w:w="225" w:type="dxa"/>
            <w:tcBorders/>
            <w:vAlign w:val="center"/>
          </w:tcPr>
          <w:p>
            <w:pPr>
              <w:pStyle w:val="TableContents"/>
              <w:bidi w:val="0"/>
              <w:spacing w:before="0" w:after="283"/>
              <w:jc w:val="left"/>
              <w:rPr/>
            </w:pPr>
            <w:r>
              <w:rPr>
                <w:color w:val="3E3935"/>
              </w:rPr>
              <w:t>(5)</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6,019,689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635" w:type="dxa"/>
            <w:tcBorders/>
            <w:shd w:fill="CCF2F8" w:val="clear"/>
            <w:vAlign w:val="center"/>
          </w:tcPr>
          <w:p>
            <w:pPr>
              <w:pStyle w:val="TableContents"/>
              <w:bidi w:val="0"/>
              <w:spacing w:before="0" w:after="283"/>
              <w:jc w:val="left"/>
              <w:rPr>
                <w:sz w:val="4"/>
                <w:szCs w:val="4"/>
              </w:rPr>
            </w:pPr>
            <w:r>
              <w:rPr>
                <w:sz w:val="4"/>
                <w:szCs w:val="4"/>
              </w:rPr>
            </w:r>
          </w:p>
        </w:tc>
        <w:tc>
          <w:tcPr>
            <w:tcW w:w="703" w:type="dxa"/>
            <w:gridSpan w:val="5"/>
            <w:tcBorders/>
            <w:shd w:fill="CCF2F8" w:val="clear"/>
            <w:vAlign w:val="center"/>
          </w:tcPr>
          <w:p>
            <w:pPr>
              <w:pStyle w:val="TableContents"/>
              <w:bidi w:val="0"/>
              <w:spacing w:before="0" w:after="283"/>
              <w:jc w:val="left"/>
              <w:rPr>
                <w:sz w:val="4"/>
                <w:szCs w:val="4"/>
              </w:rPr>
            </w:pPr>
            <w:r>
              <w:rPr>
                <w:sz w:val="4"/>
                <w:szCs w:val="4"/>
              </w:rPr>
            </w:r>
          </w:p>
        </w:tc>
        <w:tc>
          <w:tcPr>
            <w:tcW w:w="1325" w:type="dxa"/>
            <w:gridSpan w:val="5"/>
            <w:tcBorders/>
            <w:shd w:fill="CCF2F8" w:val="clear"/>
            <w:vAlign w:val="center"/>
          </w:tcPr>
          <w:p>
            <w:pPr>
              <w:pStyle w:val="TableContents"/>
              <w:bidi w:val="0"/>
              <w:spacing w:before="0" w:after="283"/>
              <w:jc w:val="left"/>
              <w:rPr>
                <w:sz w:val="4"/>
                <w:szCs w:val="4"/>
              </w:rPr>
            </w:pPr>
            <w:r>
              <w:rPr>
                <w:sz w:val="4"/>
                <w:szCs w:val="4"/>
              </w:rPr>
            </w:r>
          </w:p>
        </w:tc>
        <w:tc>
          <w:tcPr>
            <w:tcW w:w="1505" w:type="dxa"/>
            <w:gridSpan w:val="5"/>
            <w:tcBorders/>
            <w:shd w:fill="CCF2F8" w:val="clear"/>
            <w:vAlign w:val="center"/>
          </w:tcPr>
          <w:p>
            <w:pPr>
              <w:pStyle w:val="TableContents"/>
              <w:bidi w:val="0"/>
              <w:spacing w:before="0" w:after="283"/>
              <w:jc w:val="left"/>
              <w:rPr>
                <w:sz w:val="4"/>
                <w:szCs w:val="4"/>
              </w:rPr>
            </w:pPr>
            <w:r>
              <w:rPr>
                <w:sz w:val="4"/>
                <w:szCs w:val="4"/>
              </w:rPr>
            </w:r>
          </w:p>
        </w:tc>
        <w:tc>
          <w:tcPr>
            <w:tcW w:w="935" w:type="dxa"/>
            <w:gridSpan w:val="5"/>
            <w:tcBorders/>
            <w:shd w:fill="CCF2F8" w:val="clear"/>
            <w:vAlign w:val="center"/>
          </w:tcPr>
          <w:p>
            <w:pPr>
              <w:pStyle w:val="TableContents"/>
              <w:bidi w:val="0"/>
              <w:spacing w:before="0" w:after="283"/>
              <w:jc w:val="left"/>
              <w:rPr>
                <w:sz w:val="4"/>
                <w:szCs w:val="4"/>
              </w:rPr>
            </w:pPr>
            <w:r>
              <w:rPr>
                <w:sz w:val="4"/>
                <w:szCs w:val="4"/>
              </w:rPr>
            </w:r>
          </w:p>
        </w:tc>
        <w:tc>
          <w:tcPr>
            <w:tcW w:w="1175" w:type="dxa"/>
            <w:gridSpan w:val="5"/>
            <w:tcBorders/>
            <w:shd w:fill="CCF2F8" w:val="clear"/>
            <w:vAlign w:val="center"/>
          </w:tcPr>
          <w:p>
            <w:pPr>
              <w:pStyle w:val="TableContents"/>
              <w:bidi w:val="0"/>
              <w:spacing w:before="0" w:after="283"/>
              <w:jc w:val="left"/>
              <w:rPr>
                <w:sz w:val="4"/>
                <w:szCs w:val="4"/>
              </w:rPr>
            </w:pPr>
            <w:r>
              <w:rPr>
                <w:sz w:val="4"/>
                <w:szCs w:val="4"/>
              </w:rPr>
            </w:r>
          </w:p>
        </w:tc>
        <w:tc>
          <w:tcPr>
            <w:tcW w:w="300" w:type="dxa"/>
            <w:gridSpan w:val="5"/>
            <w:tcBorders/>
            <w:shd w:fill="CCF2F8" w:val="clear"/>
            <w:vAlign w:val="center"/>
          </w:tcPr>
          <w:p>
            <w:pPr>
              <w:pStyle w:val="TableContents"/>
              <w:bidi w:val="0"/>
              <w:spacing w:before="0" w:after="283"/>
              <w:jc w:val="left"/>
              <w:rPr>
                <w:sz w:val="4"/>
                <w:szCs w:val="4"/>
              </w:rPr>
            </w:pPr>
            <w:r>
              <w:rPr>
                <w:sz w:val="4"/>
                <w:szCs w:val="4"/>
              </w:rPr>
            </w:r>
          </w:p>
        </w:tc>
        <w:tc>
          <w:tcPr>
            <w:tcW w:w="1205" w:type="dxa"/>
            <w:gridSpan w:val="5"/>
            <w:tcBorders/>
            <w:shd w:fill="CCF2F8" w:val="clear"/>
            <w:vAlign w:val="center"/>
          </w:tcPr>
          <w:p>
            <w:pPr>
              <w:pStyle w:val="TableContents"/>
              <w:bidi w:val="0"/>
              <w:spacing w:before="0" w:after="283"/>
              <w:jc w:val="left"/>
              <w:rPr>
                <w:sz w:val="4"/>
                <w:szCs w:val="4"/>
              </w:rPr>
            </w:pPr>
            <w:r>
              <w:rPr>
                <w:sz w:val="4"/>
                <w:szCs w:val="4"/>
              </w:rPr>
            </w:r>
          </w:p>
        </w:tc>
        <w:tc>
          <w:tcPr>
            <w:tcW w:w="1303" w:type="dxa"/>
            <w:gridSpan w:val="5"/>
            <w:tcBorders/>
            <w:shd w:fill="CCF2F8" w:val="clear"/>
            <w:vAlign w:val="center"/>
          </w:tcPr>
          <w:p>
            <w:pPr>
              <w:pStyle w:val="TableContents"/>
              <w:bidi w:val="0"/>
              <w:spacing w:before="0" w:after="283"/>
              <w:jc w:val="left"/>
              <w:rPr>
                <w:sz w:val="4"/>
                <w:szCs w:val="4"/>
              </w:rPr>
            </w:pPr>
            <w:r>
              <w:rPr>
                <w:sz w:val="4"/>
                <w:szCs w:val="4"/>
              </w:rPr>
            </w:r>
          </w:p>
        </w:tc>
        <w:tc>
          <w:tcPr>
            <w:tcW w:w="1490" w:type="dxa"/>
            <w:gridSpan w:val="5"/>
            <w:tcBorders/>
            <w:shd w:fill="CCF2F8" w:val="clear"/>
            <w:vAlign w:val="center"/>
          </w:tcPr>
          <w:p>
            <w:pPr>
              <w:pStyle w:val="TableContents"/>
              <w:bidi w:val="0"/>
              <w:spacing w:before="0" w:after="283"/>
              <w:jc w:val="left"/>
              <w:rPr>
                <w:sz w:val="4"/>
                <w:szCs w:val="4"/>
              </w:rPr>
            </w:pPr>
            <w:r>
              <w:rPr>
                <w:sz w:val="4"/>
                <w:szCs w:val="4"/>
              </w:rPr>
            </w:r>
          </w:p>
        </w:tc>
        <w:tc>
          <w:tcPr>
            <w:tcW w:w="1630"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635" w:type="dxa"/>
            <w:tcBorders/>
            <w:shd w:fill="CCF2F8" w:val="clear"/>
            <w:vAlign w:val="center"/>
          </w:tcPr>
          <w:p>
            <w:pPr>
              <w:pStyle w:val="TableContents"/>
              <w:bidi w:val="0"/>
              <w:spacing w:before="0" w:after="0"/>
              <w:jc w:val="left"/>
              <w:rPr>
                <w:rFonts w:ascii="arial" w:hAnsi="arial"/>
                <w:b/>
                <w:color w:val="0071CE"/>
                <w:sz w:val="14"/>
              </w:rPr>
            </w:pPr>
            <w:r>
              <w:rPr>
                <w:rFonts w:ascii="arial" w:hAnsi="arial"/>
                <w:b/>
                <w:color w:val="0071CE"/>
                <w:sz w:val="14"/>
              </w:rPr>
              <w:t>Paul A. Jacobson</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00" w:type="dxa"/>
            <w:tcBorders/>
            <w:shd w:fill="CCF2F8" w:val="clear"/>
            <w:vAlign w:val="center"/>
          </w:tcPr>
          <w:p>
            <w:pPr>
              <w:pStyle w:val="TableContents"/>
              <w:bidi w:val="0"/>
              <w:spacing w:before="0" w:after="283"/>
              <w:jc w:val="right"/>
              <w:rPr>
                <w:color w:val="3E3935"/>
              </w:rPr>
            </w:pPr>
            <w:r>
              <w:rPr>
                <w:color w:val="3E3935"/>
              </w:rPr>
              <w:t>2/7/2023</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0" w:type="dxa"/>
            <w:tcBorders/>
            <w:shd w:fill="CCF2F8" w:val="clear"/>
            <w:vAlign w:val="center"/>
          </w:tcPr>
          <w:p>
            <w:pPr>
              <w:pStyle w:val="TableContents"/>
              <w:bidi w:val="0"/>
              <w:spacing w:before="0" w:after="283"/>
              <w:jc w:val="left"/>
              <w:rPr/>
            </w:pPr>
            <w:r>
              <w:rPr/>
              <w:t> </w:t>
            </w:r>
          </w:p>
        </w:tc>
        <w:tc>
          <w:tcPr>
            <w:tcW w:w="80" w:type="dxa"/>
            <w:tcBorders/>
            <w:shd w:fill="CCF2F8" w:val="clear"/>
            <w:vAlign w:val="center"/>
          </w:tcPr>
          <w:p>
            <w:pPr>
              <w:pStyle w:val="TableContents"/>
              <w:bidi w:val="0"/>
              <w:spacing w:before="0" w:after="283"/>
              <w:jc w:val="left"/>
              <w:rPr>
                <w:color w:val="3E3935"/>
              </w:rPr>
            </w:pPr>
            <w:r>
              <w:rPr>
                <w:color w:val="3E3935"/>
              </w:rPr>
              <w:t> </w:t>
            </w:r>
          </w:p>
        </w:tc>
        <w:tc>
          <w:tcPr>
            <w:tcW w:w="1073" w:type="dxa"/>
            <w:tcBorders/>
            <w:shd w:fill="CCF2F8" w:val="clear"/>
            <w:vAlign w:val="center"/>
          </w:tcPr>
          <w:p>
            <w:pPr>
              <w:pStyle w:val="TableContents"/>
              <w:bidi w:val="0"/>
              <w:spacing w:before="0" w:after="283"/>
              <w:jc w:val="right"/>
              <w:rPr>
                <w:color w:val="3E3935"/>
              </w:rPr>
            </w:pPr>
            <w:r>
              <w:rPr>
                <w:color w:val="3E3935"/>
              </w:rPr>
              <w:t>—</w:t>
            </w:r>
          </w:p>
        </w:tc>
        <w:tc>
          <w:tcPr>
            <w:tcW w:w="32"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color w:val="3E3935"/>
              </w:rPr>
            </w:pPr>
            <w:r>
              <w:rPr>
                <w:color w:val="3E3935"/>
              </w:rPr>
              <w:t> </w:t>
            </w:r>
          </w:p>
        </w:tc>
        <w:tc>
          <w:tcPr>
            <w:tcW w:w="1018" w:type="dxa"/>
            <w:tcBorders/>
            <w:shd w:fill="CCF2F8" w:val="clear"/>
            <w:vAlign w:val="center"/>
          </w:tcPr>
          <w:p>
            <w:pPr>
              <w:pStyle w:val="TableContents"/>
              <w:bidi w:val="0"/>
              <w:spacing w:before="0" w:after="283"/>
              <w:jc w:val="right"/>
              <w:rPr>
                <w:color w:val="3E3935"/>
              </w:rPr>
            </w:pPr>
            <w:r>
              <w:rPr>
                <w:color w:val="3E3935"/>
              </w:rPr>
              <w:t>155,426</w:t>
            </w:r>
          </w:p>
        </w:tc>
        <w:tc>
          <w:tcPr>
            <w:tcW w:w="275" w:type="dxa"/>
            <w:tcBorders/>
            <w:shd w:fill="CCF2F8" w:val="clear"/>
            <w:vAlign w:val="center"/>
          </w:tcPr>
          <w:p>
            <w:pPr>
              <w:pStyle w:val="TableContents"/>
              <w:bidi w:val="0"/>
              <w:spacing w:before="0" w:after="283"/>
              <w:jc w:val="left"/>
              <w:rPr/>
            </w:pPr>
            <w:r>
              <w:rPr>
                <w:color w:val="3E3935"/>
              </w:rPr>
              <w:t>(2)</w:t>
            </w:r>
            <w:r>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color w:val="3E3935"/>
              </w:rPr>
            </w:pPr>
            <w:r>
              <w:rPr>
                <w:color w:val="3E3935"/>
              </w:rPr>
              <w:t> </w:t>
            </w:r>
          </w:p>
        </w:tc>
        <w:tc>
          <w:tcPr>
            <w:tcW w:w="697" w:type="dxa"/>
            <w:tcBorders/>
            <w:shd w:fill="CCF2F8" w:val="clear"/>
            <w:vAlign w:val="center"/>
          </w:tcPr>
          <w:p>
            <w:pPr>
              <w:pStyle w:val="TableContents"/>
              <w:bidi w:val="0"/>
              <w:spacing w:before="0" w:after="283"/>
              <w:jc w:val="right"/>
              <w:rPr>
                <w:color w:val="3E3935"/>
              </w:rPr>
            </w:pPr>
            <w:r>
              <w:rPr>
                <w:color w:val="3E3935"/>
              </w:rPr>
              <w:t>41.40</w:t>
            </w:r>
          </w:p>
        </w:tc>
        <w:tc>
          <w:tcPr>
            <w:tcW w:w="3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72" w:type="dxa"/>
            <w:tcBorders/>
            <w:shd w:fill="CCF2F8" w:val="clear"/>
            <w:vAlign w:val="center"/>
          </w:tcPr>
          <w:p>
            <w:pPr>
              <w:pStyle w:val="TableContents"/>
              <w:bidi w:val="0"/>
              <w:spacing w:before="0" w:after="283"/>
              <w:jc w:val="right"/>
              <w:rPr>
                <w:color w:val="3E3935"/>
              </w:rPr>
            </w:pPr>
            <w:r>
              <w:rPr>
                <w:color w:val="3E3935"/>
              </w:rPr>
              <w:t>2/7/2033</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22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5" w:type="dxa"/>
            <w:tcBorders/>
            <w:shd w:fill="CCF2F8" w:val="clear"/>
            <w:vAlign w:val="center"/>
          </w:tcPr>
          <w:p>
            <w:pPr>
              <w:pStyle w:val="TableContents"/>
              <w:bidi w:val="0"/>
              <w:spacing w:before="0" w:after="283"/>
              <w:jc w:val="left"/>
              <w:rPr/>
            </w:pPr>
            <w:r>
              <w:rPr/>
              <w:t> </w:t>
            </w:r>
          </w:p>
        </w:tc>
        <w:tc>
          <w:tcPr>
            <w:tcW w:w="75" w:type="dxa"/>
            <w:tcBorders/>
            <w:shd w:fill="CCF2F8" w:val="clear"/>
            <w:vAlign w:val="center"/>
          </w:tcPr>
          <w:p>
            <w:pPr>
              <w:pStyle w:val="TableContents"/>
              <w:bidi w:val="0"/>
              <w:spacing w:before="0" w:after="283"/>
              <w:jc w:val="left"/>
              <w:rPr>
                <w:color w:val="3E3935"/>
              </w:rPr>
            </w:pPr>
            <w:r>
              <w:rPr>
                <w:color w:val="3E3935"/>
              </w:rPr>
              <w:t> </w:t>
            </w:r>
          </w:p>
        </w:tc>
        <w:tc>
          <w:tcPr>
            <w:tcW w:w="1007" w:type="dxa"/>
            <w:tcBorders/>
            <w:shd w:fill="CCF2F8" w:val="clear"/>
            <w:vAlign w:val="center"/>
          </w:tcPr>
          <w:p>
            <w:pPr>
              <w:pStyle w:val="TableContents"/>
              <w:bidi w:val="0"/>
              <w:spacing w:before="0" w:after="283"/>
              <w:jc w:val="right"/>
              <w:rPr>
                <w:color w:val="3E3935"/>
              </w:rPr>
            </w:pPr>
            <w:r>
              <w:rPr>
                <w:color w:val="3E3935"/>
              </w:rPr>
              <w:t>136,267</w:t>
            </w:r>
          </w:p>
        </w:tc>
        <w:tc>
          <w:tcPr>
            <w:tcW w:w="273" w:type="dxa"/>
            <w:tcBorders/>
            <w:shd w:fill="CCF2F8" w:val="clear"/>
            <w:vAlign w:val="center"/>
          </w:tcPr>
          <w:p>
            <w:pPr>
              <w:pStyle w:val="TableContents"/>
              <w:bidi w:val="0"/>
              <w:spacing w:before="0" w:after="283"/>
              <w:jc w:val="left"/>
              <w:rPr/>
            </w:pPr>
            <w:r>
              <w:rPr>
                <w:color w:val="3E3935"/>
              </w:rPr>
              <w:t>(8)</w:t>
            </w: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4,894,711</w:t>
            </w:r>
          </w:p>
        </w:tc>
        <w:tc>
          <w:tcPr>
            <w:tcW w:w="350" w:type="dxa"/>
            <w:tcBorders/>
            <w:shd w:fill="CCF2F8" w:val="clear"/>
            <w:vAlign w:val="center"/>
          </w:tcPr>
          <w:p>
            <w:pPr>
              <w:pStyle w:val="TableContents"/>
              <w:bidi w:val="0"/>
              <w:spacing w:before="0" w:after="283"/>
              <w:jc w:val="left"/>
              <w:rPr/>
            </w:pPr>
            <w:r>
              <w:rPr>
                <w:color w:val="3E3935"/>
              </w:rPr>
              <w:t>(10)</w:t>
            </w:r>
            <w:r>
              <w:rPr/>
              <w:t> </w:t>
            </w:r>
          </w:p>
        </w:tc>
      </w:tr>
      <w:tr>
        <w:trPr/>
        <w:tc>
          <w:tcPr>
            <w:tcW w:w="6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00" w:type="dxa"/>
            <w:tcBorders/>
            <w:shd w:fill="CCF2F8" w:val="clear"/>
            <w:vAlign w:val="center"/>
          </w:tcPr>
          <w:p>
            <w:pPr>
              <w:pStyle w:val="TableContents"/>
              <w:bidi w:val="0"/>
              <w:spacing w:before="0" w:after="283"/>
              <w:jc w:val="right"/>
              <w:rPr>
                <w:color w:val="3E3935"/>
              </w:rPr>
            </w:pPr>
            <w:r>
              <w:rPr>
                <w:color w:val="3E3935"/>
              </w:rPr>
              <w:t>2/8/2022</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0" w:type="dxa"/>
            <w:tcBorders/>
            <w:shd w:fill="CCF2F8" w:val="clear"/>
            <w:vAlign w:val="center"/>
          </w:tcPr>
          <w:p>
            <w:pPr>
              <w:pStyle w:val="TableContents"/>
              <w:bidi w:val="0"/>
              <w:spacing w:before="0" w:after="283"/>
              <w:jc w:val="left"/>
              <w:rPr/>
            </w:pPr>
            <w:r>
              <w:rPr/>
              <w:t> </w:t>
            </w:r>
          </w:p>
        </w:tc>
        <w:tc>
          <w:tcPr>
            <w:tcW w:w="80" w:type="dxa"/>
            <w:tcBorders/>
            <w:shd w:fill="CCF2F8" w:val="clear"/>
            <w:vAlign w:val="center"/>
          </w:tcPr>
          <w:p>
            <w:pPr>
              <w:pStyle w:val="TableContents"/>
              <w:bidi w:val="0"/>
              <w:spacing w:before="0" w:after="283"/>
              <w:jc w:val="left"/>
              <w:rPr>
                <w:color w:val="3E3935"/>
              </w:rPr>
            </w:pPr>
            <w:r>
              <w:rPr>
                <w:color w:val="3E3935"/>
              </w:rPr>
              <w:t> </w:t>
            </w:r>
          </w:p>
        </w:tc>
        <w:tc>
          <w:tcPr>
            <w:tcW w:w="1073" w:type="dxa"/>
            <w:tcBorders/>
            <w:shd w:fill="CCF2F8" w:val="clear"/>
            <w:vAlign w:val="center"/>
          </w:tcPr>
          <w:p>
            <w:pPr>
              <w:pStyle w:val="TableContents"/>
              <w:bidi w:val="0"/>
              <w:spacing w:before="0" w:after="283"/>
              <w:jc w:val="right"/>
              <w:rPr>
                <w:color w:val="3E3935"/>
              </w:rPr>
            </w:pPr>
            <w:r>
              <w:rPr>
                <w:color w:val="3E3935"/>
              </w:rPr>
              <w:t>34,009</w:t>
            </w:r>
          </w:p>
        </w:tc>
        <w:tc>
          <w:tcPr>
            <w:tcW w:w="32"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color w:val="3E3935"/>
              </w:rPr>
            </w:pPr>
            <w:r>
              <w:rPr>
                <w:color w:val="3E3935"/>
              </w:rPr>
              <w:t> </w:t>
            </w:r>
          </w:p>
        </w:tc>
        <w:tc>
          <w:tcPr>
            <w:tcW w:w="1018" w:type="dxa"/>
            <w:tcBorders/>
            <w:shd w:fill="CCF2F8" w:val="clear"/>
            <w:vAlign w:val="center"/>
          </w:tcPr>
          <w:p>
            <w:pPr>
              <w:pStyle w:val="TableContents"/>
              <w:bidi w:val="0"/>
              <w:spacing w:before="0" w:after="283"/>
              <w:jc w:val="right"/>
              <w:rPr>
                <w:color w:val="3E3935"/>
              </w:rPr>
            </w:pPr>
            <w:r>
              <w:rPr>
                <w:color w:val="3E3935"/>
              </w:rPr>
              <w:t>68,018</w:t>
            </w:r>
          </w:p>
        </w:tc>
        <w:tc>
          <w:tcPr>
            <w:tcW w:w="275" w:type="dxa"/>
            <w:tcBorders/>
            <w:shd w:fill="CCF2F8" w:val="clear"/>
            <w:vAlign w:val="center"/>
          </w:tcPr>
          <w:p>
            <w:pPr>
              <w:pStyle w:val="TableContents"/>
              <w:bidi w:val="0"/>
              <w:spacing w:before="0" w:after="283"/>
              <w:jc w:val="left"/>
              <w:rPr/>
            </w:pPr>
            <w:r>
              <w:rPr>
                <w:color w:val="3E3935"/>
              </w:rPr>
              <w:t>(3)</w:t>
            </w:r>
            <w:r>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color w:val="3E3935"/>
              </w:rPr>
            </w:pPr>
            <w:r>
              <w:rPr>
                <w:color w:val="3E3935"/>
              </w:rPr>
              <w:t> </w:t>
            </w:r>
          </w:p>
        </w:tc>
        <w:tc>
          <w:tcPr>
            <w:tcW w:w="697" w:type="dxa"/>
            <w:tcBorders/>
            <w:shd w:fill="CCF2F8" w:val="clear"/>
            <w:vAlign w:val="center"/>
          </w:tcPr>
          <w:p>
            <w:pPr>
              <w:pStyle w:val="TableContents"/>
              <w:bidi w:val="0"/>
              <w:spacing w:before="0" w:after="283"/>
              <w:jc w:val="right"/>
              <w:rPr>
                <w:color w:val="3E3935"/>
              </w:rPr>
            </w:pPr>
            <w:r>
              <w:rPr>
                <w:color w:val="3E3935"/>
              </w:rPr>
              <w:t>49.46</w:t>
            </w:r>
          </w:p>
        </w:tc>
        <w:tc>
          <w:tcPr>
            <w:tcW w:w="3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72" w:type="dxa"/>
            <w:tcBorders/>
            <w:shd w:fill="CCF2F8" w:val="clear"/>
            <w:vAlign w:val="center"/>
          </w:tcPr>
          <w:p>
            <w:pPr>
              <w:pStyle w:val="TableContents"/>
              <w:bidi w:val="0"/>
              <w:spacing w:before="0" w:after="283"/>
              <w:jc w:val="right"/>
              <w:rPr>
                <w:color w:val="3E3935"/>
              </w:rPr>
            </w:pPr>
            <w:r>
              <w:rPr>
                <w:color w:val="3E3935"/>
              </w:rPr>
              <w:t>2/8/2032</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800" w:type="dxa"/>
            <w:tcBorders/>
            <w:shd w:fill="CCF2F8" w:val="clear"/>
            <w:vAlign w:val="center"/>
          </w:tcPr>
          <w:p>
            <w:pPr>
              <w:pStyle w:val="TableContents"/>
              <w:bidi w:val="0"/>
              <w:spacing w:before="0" w:after="283"/>
              <w:jc w:val="left"/>
              <w:rPr>
                <w:sz w:val="4"/>
                <w:szCs w:val="4"/>
              </w:rPr>
            </w:pPr>
            <w:r>
              <w:rPr>
                <w:sz w:val="4"/>
                <w:szCs w:val="4"/>
              </w:rPr>
            </w:r>
          </w:p>
        </w:tc>
        <w:tc>
          <w:tcPr>
            <w:tcW w:w="22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5" w:type="dxa"/>
            <w:tcBorders/>
            <w:shd w:fill="CCF2F8" w:val="clear"/>
            <w:vAlign w:val="center"/>
          </w:tcPr>
          <w:p>
            <w:pPr>
              <w:pStyle w:val="TableContents"/>
              <w:bidi w:val="0"/>
              <w:spacing w:before="0" w:after="283"/>
              <w:jc w:val="left"/>
              <w:rPr/>
            </w:pPr>
            <w:r>
              <w:rPr/>
              <w:t> </w:t>
            </w:r>
          </w:p>
        </w:tc>
        <w:tc>
          <w:tcPr>
            <w:tcW w:w="75" w:type="dxa"/>
            <w:tcBorders/>
            <w:shd w:fill="CCF2F8" w:val="clear"/>
            <w:vAlign w:val="center"/>
          </w:tcPr>
          <w:p>
            <w:pPr>
              <w:pStyle w:val="TableContents"/>
              <w:bidi w:val="0"/>
              <w:spacing w:before="0" w:after="283"/>
              <w:jc w:val="left"/>
              <w:rPr>
                <w:color w:val="3E3935"/>
              </w:rPr>
            </w:pPr>
            <w:r>
              <w:rPr>
                <w:color w:val="3E3935"/>
              </w:rPr>
              <w:t> </w:t>
            </w:r>
          </w:p>
        </w:tc>
        <w:tc>
          <w:tcPr>
            <w:tcW w:w="1007" w:type="dxa"/>
            <w:tcBorders/>
            <w:shd w:fill="CCF2F8" w:val="clear"/>
            <w:vAlign w:val="center"/>
          </w:tcPr>
          <w:p>
            <w:pPr>
              <w:pStyle w:val="TableContents"/>
              <w:bidi w:val="0"/>
              <w:spacing w:before="0" w:after="283"/>
              <w:jc w:val="right"/>
              <w:rPr>
                <w:color w:val="3E3935"/>
              </w:rPr>
            </w:pPr>
            <w:r>
              <w:rPr>
                <w:color w:val="3E3935"/>
              </w:rPr>
              <w:t>105,207</w:t>
            </w:r>
          </w:p>
        </w:tc>
        <w:tc>
          <w:tcPr>
            <w:tcW w:w="273" w:type="dxa"/>
            <w:tcBorders/>
            <w:shd w:fill="CCF2F8" w:val="clear"/>
            <w:vAlign w:val="center"/>
          </w:tcPr>
          <w:p>
            <w:pPr>
              <w:pStyle w:val="TableContents"/>
              <w:bidi w:val="0"/>
              <w:spacing w:before="0" w:after="283"/>
              <w:jc w:val="left"/>
              <w:rPr/>
            </w:pPr>
            <w:r>
              <w:rPr>
                <w:color w:val="3E3935"/>
              </w:rPr>
              <w:t>(9)</w:t>
            </w: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3,779,035</w:t>
            </w:r>
          </w:p>
        </w:tc>
        <w:tc>
          <w:tcPr>
            <w:tcW w:w="350" w:type="dxa"/>
            <w:tcBorders/>
            <w:shd w:fill="CCF2F8" w:val="clear"/>
            <w:vAlign w:val="center"/>
          </w:tcPr>
          <w:p>
            <w:pPr>
              <w:pStyle w:val="TableContents"/>
              <w:bidi w:val="0"/>
              <w:spacing w:before="0" w:after="283"/>
              <w:jc w:val="left"/>
              <w:rPr/>
            </w:pPr>
            <w:r>
              <w:rPr>
                <w:color w:val="3E3935"/>
              </w:rPr>
              <w:t>(11)</w:t>
            </w:r>
            <w:r>
              <w:rPr/>
              <w:t> </w:t>
            </w:r>
          </w:p>
        </w:tc>
      </w:tr>
      <w:tr>
        <w:trPr/>
        <w:tc>
          <w:tcPr>
            <w:tcW w:w="63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00" w:type="dxa"/>
            <w:tcBorders/>
            <w:shd w:fill="CCF2F8" w:val="clear"/>
            <w:vAlign w:val="center"/>
          </w:tcPr>
          <w:p>
            <w:pPr>
              <w:pStyle w:val="TableContents"/>
              <w:bidi w:val="0"/>
              <w:spacing w:before="0" w:after="283"/>
              <w:jc w:val="right"/>
              <w:rPr>
                <w:color w:val="3E3935"/>
              </w:rPr>
            </w:pPr>
            <w:r>
              <w:rPr>
                <w:color w:val="3E3935"/>
              </w:rPr>
              <w:t>2/18/2021</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0" w:type="dxa"/>
            <w:tcBorders/>
            <w:shd w:fill="CCF2F8" w:val="clear"/>
            <w:vAlign w:val="center"/>
          </w:tcPr>
          <w:p>
            <w:pPr>
              <w:pStyle w:val="TableContents"/>
              <w:bidi w:val="0"/>
              <w:spacing w:before="0" w:after="283"/>
              <w:jc w:val="left"/>
              <w:rPr/>
            </w:pPr>
            <w:r>
              <w:rPr/>
              <w:t> </w:t>
            </w:r>
          </w:p>
        </w:tc>
        <w:tc>
          <w:tcPr>
            <w:tcW w:w="80" w:type="dxa"/>
            <w:tcBorders/>
            <w:shd w:fill="CCF2F8" w:val="clear"/>
            <w:vAlign w:val="center"/>
          </w:tcPr>
          <w:p>
            <w:pPr>
              <w:pStyle w:val="TableContents"/>
              <w:bidi w:val="0"/>
              <w:spacing w:before="0" w:after="283"/>
              <w:jc w:val="left"/>
              <w:rPr>
                <w:color w:val="3E3935"/>
              </w:rPr>
            </w:pPr>
            <w:r>
              <w:rPr>
                <w:color w:val="3E3935"/>
              </w:rPr>
              <w:t> </w:t>
            </w:r>
          </w:p>
        </w:tc>
        <w:tc>
          <w:tcPr>
            <w:tcW w:w="1073" w:type="dxa"/>
            <w:tcBorders/>
            <w:shd w:fill="CCF2F8" w:val="clear"/>
            <w:vAlign w:val="center"/>
          </w:tcPr>
          <w:p>
            <w:pPr>
              <w:pStyle w:val="TableContents"/>
              <w:bidi w:val="0"/>
              <w:spacing w:before="0" w:after="283"/>
              <w:jc w:val="right"/>
              <w:rPr>
                <w:color w:val="3E3935"/>
              </w:rPr>
            </w:pPr>
            <w:r>
              <w:rPr>
                <w:color w:val="3E3935"/>
              </w:rPr>
              <w:t>43,253</w:t>
            </w:r>
          </w:p>
        </w:tc>
        <w:tc>
          <w:tcPr>
            <w:tcW w:w="32"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color w:val="3E3935"/>
              </w:rPr>
            </w:pPr>
            <w:r>
              <w:rPr>
                <w:color w:val="3E3935"/>
              </w:rPr>
              <w:t> </w:t>
            </w:r>
          </w:p>
        </w:tc>
        <w:tc>
          <w:tcPr>
            <w:tcW w:w="1018" w:type="dxa"/>
            <w:tcBorders/>
            <w:shd w:fill="CCF2F8" w:val="clear"/>
            <w:vAlign w:val="center"/>
          </w:tcPr>
          <w:p>
            <w:pPr>
              <w:pStyle w:val="TableContents"/>
              <w:bidi w:val="0"/>
              <w:spacing w:before="0" w:after="283"/>
              <w:jc w:val="right"/>
              <w:rPr>
                <w:color w:val="3E3935"/>
              </w:rPr>
            </w:pPr>
            <w:r>
              <w:rPr>
                <w:color w:val="3E3935"/>
              </w:rPr>
              <w:t>21,626</w:t>
            </w:r>
          </w:p>
        </w:tc>
        <w:tc>
          <w:tcPr>
            <w:tcW w:w="275" w:type="dxa"/>
            <w:tcBorders/>
            <w:shd w:fill="CCF2F8" w:val="clear"/>
            <w:vAlign w:val="center"/>
          </w:tcPr>
          <w:p>
            <w:pPr>
              <w:pStyle w:val="TableContents"/>
              <w:bidi w:val="0"/>
              <w:spacing w:before="0" w:after="283"/>
              <w:jc w:val="left"/>
              <w:rPr/>
            </w:pPr>
            <w:r>
              <w:rPr>
                <w:color w:val="3E3935"/>
              </w:rPr>
              <w:t>(4)</w:t>
            </w:r>
            <w:r>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color w:val="3E3935"/>
              </w:rPr>
            </w:pPr>
            <w:r>
              <w:rPr>
                <w:color w:val="3E3935"/>
              </w:rPr>
              <w:t> </w:t>
            </w:r>
          </w:p>
        </w:tc>
        <w:tc>
          <w:tcPr>
            <w:tcW w:w="697" w:type="dxa"/>
            <w:tcBorders/>
            <w:shd w:fill="CCF2F8" w:val="clear"/>
            <w:vAlign w:val="center"/>
          </w:tcPr>
          <w:p>
            <w:pPr>
              <w:pStyle w:val="TableContents"/>
              <w:bidi w:val="0"/>
              <w:spacing w:before="0" w:after="283"/>
              <w:jc w:val="right"/>
              <w:rPr>
                <w:color w:val="3E3935"/>
              </w:rPr>
            </w:pPr>
            <w:r>
              <w:rPr>
                <w:color w:val="3E3935"/>
              </w:rPr>
              <w:t>52.16</w:t>
            </w:r>
          </w:p>
        </w:tc>
        <w:tc>
          <w:tcPr>
            <w:tcW w:w="3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72" w:type="dxa"/>
            <w:tcBorders/>
            <w:shd w:fill="CCF2F8" w:val="clear"/>
            <w:vAlign w:val="center"/>
          </w:tcPr>
          <w:p>
            <w:pPr>
              <w:pStyle w:val="TableContents"/>
              <w:bidi w:val="0"/>
              <w:spacing w:before="0" w:after="283"/>
              <w:jc w:val="right"/>
              <w:rPr>
                <w:color w:val="3E3935"/>
              </w:rPr>
            </w:pPr>
            <w:r>
              <w:rPr>
                <w:color w:val="3E3935"/>
              </w:rPr>
              <w:t>2/18/2031</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55,862</w:t>
            </w:r>
          </w:p>
        </w:tc>
        <w:tc>
          <w:tcPr>
            <w:tcW w:w="225" w:type="dxa"/>
            <w:tcBorders/>
            <w:shd w:fill="CCF2F8" w:val="clear"/>
            <w:vAlign w:val="center"/>
          </w:tcPr>
          <w:p>
            <w:pPr>
              <w:pStyle w:val="TableContents"/>
              <w:bidi w:val="0"/>
              <w:spacing w:before="0" w:after="283"/>
              <w:jc w:val="left"/>
              <w:rPr/>
            </w:pPr>
            <w:r>
              <w:rPr>
                <w:color w:val="3E3935"/>
              </w:rPr>
              <w:t>(5)</w:t>
            </w: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2,006,563</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5" w:type="dxa"/>
            <w:tcBorders/>
            <w:shd w:fill="CCF2F8" w:val="clear"/>
            <w:vAlign w:val="center"/>
          </w:tcPr>
          <w:p>
            <w:pPr>
              <w:pStyle w:val="TableContents"/>
              <w:bidi w:val="0"/>
              <w:spacing w:before="0" w:after="283"/>
              <w:jc w:val="left"/>
              <w:rPr/>
            </w:pPr>
            <w:r>
              <w:rPr/>
              <w:t> </w:t>
            </w:r>
          </w:p>
        </w:tc>
        <w:tc>
          <w:tcPr>
            <w:tcW w:w="75" w:type="dxa"/>
            <w:tcBorders/>
            <w:shd w:fill="CCF2F8" w:val="clear"/>
            <w:vAlign w:val="center"/>
          </w:tcPr>
          <w:p>
            <w:pPr>
              <w:pStyle w:val="TableContents"/>
              <w:bidi w:val="0"/>
              <w:spacing w:before="0" w:after="283"/>
              <w:jc w:val="left"/>
              <w:rPr>
                <w:sz w:val="4"/>
                <w:szCs w:val="4"/>
              </w:rPr>
            </w:pPr>
            <w:r>
              <w:rPr>
                <w:sz w:val="4"/>
                <w:szCs w:val="4"/>
              </w:rPr>
            </w:r>
          </w:p>
        </w:tc>
        <w:tc>
          <w:tcPr>
            <w:tcW w:w="1007" w:type="dxa"/>
            <w:tcBorders/>
            <w:shd w:fill="CCF2F8" w:val="clear"/>
            <w:vAlign w:val="center"/>
          </w:tcPr>
          <w:p>
            <w:pPr>
              <w:pStyle w:val="TableContents"/>
              <w:bidi w:val="0"/>
              <w:spacing w:before="0" w:after="283"/>
              <w:jc w:val="left"/>
              <w:rPr>
                <w:sz w:val="4"/>
                <w:szCs w:val="4"/>
              </w:rPr>
            </w:pPr>
            <w:r>
              <w:rPr>
                <w:sz w:val="4"/>
                <w:szCs w:val="4"/>
              </w:rPr>
            </w:r>
          </w:p>
        </w:tc>
        <w:tc>
          <w:tcPr>
            <w:tcW w:w="27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350" w:type="dxa"/>
            <w:tcBorders/>
            <w:shd w:fill="CCF2F8" w:val="clear"/>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30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630"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0"/>
              <w:jc w:val="left"/>
              <w:rPr>
                <w:rFonts w:ascii="arial" w:hAnsi="arial"/>
                <w:b/>
                <w:color w:val="0071CE"/>
                <w:sz w:val="14"/>
              </w:rPr>
            </w:pPr>
            <w:r>
              <w:rPr>
                <w:rFonts w:ascii="arial" w:hAnsi="arial"/>
                <w:b/>
                <w:color w:val="0071CE"/>
                <w:sz w:val="14"/>
              </w:rPr>
              <w:t>Mark L. Reuss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2/7/2023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263,047</w:t>
            </w:r>
          </w:p>
        </w:tc>
        <w:tc>
          <w:tcPr>
            <w:tcW w:w="275" w:type="dxa"/>
            <w:tcBorders/>
            <w:vAlign w:val="center"/>
          </w:tcPr>
          <w:p>
            <w:pPr>
              <w:pStyle w:val="TableContents"/>
              <w:bidi w:val="0"/>
              <w:spacing w:before="0" w:after="283"/>
              <w:jc w:val="left"/>
              <w:rPr/>
            </w:pPr>
            <w:r>
              <w:rPr>
                <w:color w:val="3E3935"/>
              </w:rPr>
              <w:t>(2)</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41.40</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2/7/2033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olor w:val="3E3935"/>
              </w:rPr>
            </w:pPr>
            <w:r>
              <w:rPr>
                <w:color w:val="3E3935"/>
              </w:rPr>
              <w:t> </w:t>
            </w:r>
          </w:p>
        </w:tc>
        <w:tc>
          <w:tcPr>
            <w:tcW w:w="1007" w:type="dxa"/>
            <w:tcBorders/>
            <w:vAlign w:val="center"/>
          </w:tcPr>
          <w:p>
            <w:pPr>
              <w:pStyle w:val="TableContents"/>
              <w:bidi w:val="0"/>
              <w:spacing w:before="0" w:after="283"/>
              <w:jc w:val="right"/>
              <w:rPr>
                <w:color w:val="3E3935"/>
              </w:rPr>
            </w:pPr>
            <w:r>
              <w:rPr>
                <w:color w:val="3E3935"/>
              </w:rPr>
              <w:t>230,621</w:t>
            </w:r>
          </w:p>
        </w:tc>
        <w:tc>
          <w:tcPr>
            <w:tcW w:w="273" w:type="dxa"/>
            <w:tcBorders/>
            <w:vAlign w:val="center"/>
          </w:tcPr>
          <w:p>
            <w:pPr>
              <w:pStyle w:val="TableContents"/>
              <w:bidi w:val="0"/>
              <w:spacing w:before="0" w:after="283"/>
              <w:jc w:val="left"/>
              <w:rPr/>
            </w:pPr>
            <w:r>
              <w:rPr>
                <w:color w:val="3E3935"/>
              </w:rPr>
              <w:t>(8)</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8,283,906</w:t>
            </w:r>
          </w:p>
        </w:tc>
        <w:tc>
          <w:tcPr>
            <w:tcW w:w="350" w:type="dxa"/>
            <w:tcBorders/>
            <w:vAlign w:val="center"/>
          </w:tcPr>
          <w:p>
            <w:pPr>
              <w:pStyle w:val="TableContents"/>
              <w:bidi w:val="0"/>
              <w:spacing w:before="0" w:after="283"/>
              <w:jc w:val="left"/>
              <w:rPr/>
            </w:pPr>
            <w:r>
              <w:rPr>
                <w:color w:val="3E3935"/>
              </w:rPr>
              <w:t>(10)</w:t>
            </w:r>
            <w:r>
              <w:rPr/>
              <w:t> </w:t>
            </w:r>
          </w:p>
        </w:tc>
      </w:tr>
      <w:tr>
        <w:trPr/>
        <w:tc>
          <w:tcPr>
            <w:tcW w:w="635" w:type="dxa"/>
            <w:tcBorders/>
            <w:vAlign w:val="center"/>
          </w:tcPr>
          <w:p>
            <w:pPr>
              <w:pStyle w:val="TableContents"/>
              <w:bidi w:val="0"/>
              <w:spacing w:before="0" w:after="283"/>
              <w:jc w:val="left"/>
              <w:rPr/>
            </w:pPr>
            <w:r>
              <w:rPr/>
              <w:t> </w:t>
            </w:r>
          </w:p>
        </w:tc>
        <w:tc>
          <w:tcPr>
            <w:tcW w:w="703" w:type="dxa"/>
            <w:gridSpan w:val="5"/>
            <w:tcBorders/>
            <w:vAlign w:val="center"/>
          </w:tcPr>
          <w:p>
            <w:pPr>
              <w:pStyle w:val="TableContents"/>
              <w:bidi w:val="0"/>
              <w:spacing w:before="0" w:after="283"/>
              <w:jc w:val="left"/>
              <w:rPr/>
            </w:pPr>
            <w:r>
              <w:rPr/>
              <w:t> </w:t>
            </w:r>
          </w:p>
        </w:tc>
        <w:tc>
          <w:tcPr>
            <w:tcW w:w="1325" w:type="dxa"/>
            <w:gridSpan w:val="5"/>
            <w:tcBorders/>
            <w:vAlign w:val="center"/>
          </w:tcPr>
          <w:p>
            <w:pPr>
              <w:pStyle w:val="TableContents"/>
              <w:bidi w:val="0"/>
              <w:spacing w:before="0" w:after="283"/>
              <w:jc w:val="left"/>
              <w:rPr/>
            </w:pPr>
            <w:r>
              <w:rPr/>
              <w:t> </w:t>
            </w:r>
          </w:p>
        </w:tc>
        <w:tc>
          <w:tcPr>
            <w:tcW w:w="1505" w:type="dxa"/>
            <w:gridSpan w:val="5"/>
            <w:tcBorders/>
            <w:vAlign w:val="center"/>
          </w:tcPr>
          <w:p>
            <w:pPr>
              <w:pStyle w:val="TableContents"/>
              <w:bidi w:val="0"/>
              <w:spacing w:before="0" w:after="283"/>
              <w:jc w:val="left"/>
              <w:rPr/>
            </w:pPr>
            <w:r>
              <w:rPr/>
              <w:t> </w:t>
            </w:r>
          </w:p>
        </w:tc>
        <w:tc>
          <w:tcPr>
            <w:tcW w:w="935" w:type="dxa"/>
            <w:gridSpan w:val="5"/>
            <w:tcBorders/>
            <w:vAlign w:val="center"/>
          </w:tcPr>
          <w:p>
            <w:pPr>
              <w:pStyle w:val="TableContents"/>
              <w:bidi w:val="0"/>
              <w:spacing w:before="0" w:after="283"/>
              <w:jc w:val="left"/>
              <w:rPr/>
            </w:pPr>
            <w:r>
              <w:rPr/>
              <w:t> </w:t>
            </w:r>
          </w:p>
        </w:tc>
        <w:tc>
          <w:tcPr>
            <w:tcW w:w="1175" w:type="dxa"/>
            <w:gridSpan w:val="5"/>
            <w:tcBorders/>
            <w:vAlign w:val="center"/>
          </w:tcPr>
          <w:p>
            <w:pPr>
              <w:pStyle w:val="TableContents"/>
              <w:bidi w:val="0"/>
              <w:spacing w:before="0" w:after="283"/>
              <w:jc w:val="left"/>
              <w:rPr/>
            </w:pPr>
            <w:r>
              <w:rPr/>
              <w:t> </w:t>
            </w:r>
          </w:p>
        </w:tc>
        <w:tc>
          <w:tcPr>
            <w:tcW w:w="300" w:type="dxa"/>
            <w:gridSpan w:val="5"/>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 </w:t>
            </w:r>
          </w:p>
        </w:tc>
        <w:tc>
          <w:tcPr>
            <w:tcW w:w="1303" w:type="dxa"/>
            <w:gridSpan w:val="5"/>
            <w:tcBorders/>
            <w:vAlign w:val="center"/>
          </w:tcPr>
          <w:p>
            <w:pPr>
              <w:pStyle w:val="TableContents"/>
              <w:bidi w:val="0"/>
              <w:spacing w:before="0" w:after="283"/>
              <w:jc w:val="left"/>
              <w:rPr/>
            </w:pPr>
            <w:r>
              <w:rPr/>
              <w:t> </w:t>
            </w:r>
          </w:p>
        </w:tc>
        <w:tc>
          <w:tcPr>
            <w:tcW w:w="1490" w:type="dxa"/>
            <w:gridSpan w:val="5"/>
            <w:tcBorders/>
            <w:vAlign w:val="center"/>
          </w:tcPr>
          <w:p>
            <w:pPr>
              <w:pStyle w:val="TableContents"/>
              <w:bidi w:val="0"/>
              <w:spacing w:before="0" w:after="283"/>
              <w:jc w:val="left"/>
              <w:rPr/>
            </w:pPr>
            <w:r>
              <w:rPr/>
              <w:t> </w:t>
            </w:r>
          </w:p>
        </w:tc>
        <w:tc>
          <w:tcPr>
            <w:tcW w:w="1630" w:type="dxa"/>
            <w:gridSpan w:val="5"/>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2/8/2022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47,387</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94,772</w:t>
            </w:r>
          </w:p>
        </w:tc>
        <w:tc>
          <w:tcPr>
            <w:tcW w:w="275" w:type="dxa"/>
            <w:tcBorders/>
            <w:vAlign w:val="center"/>
          </w:tcPr>
          <w:p>
            <w:pPr>
              <w:pStyle w:val="TableContents"/>
              <w:bidi w:val="0"/>
              <w:spacing w:before="0" w:after="283"/>
              <w:jc w:val="left"/>
              <w:rPr/>
            </w:pPr>
            <w:r>
              <w:rPr>
                <w:color w:val="3E3935"/>
              </w:rPr>
              <w:t>(3)</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49.46</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2/8/2032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olor w:val="3E3935"/>
              </w:rPr>
            </w:pPr>
            <w:r>
              <w:rPr>
                <w:color w:val="3E3935"/>
              </w:rPr>
              <w:t> </w:t>
            </w:r>
          </w:p>
        </w:tc>
        <w:tc>
          <w:tcPr>
            <w:tcW w:w="1007" w:type="dxa"/>
            <w:tcBorders/>
            <w:vAlign w:val="center"/>
          </w:tcPr>
          <w:p>
            <w:pPr>
              <w:pStyle w:val="TableContents"/>
              <w:bidi w:val="0"/>
              <w:spacing w:before="0" w:after="283"/>
              <w:jc w:val="right"/>
              <w:rPr>
                <w:color w:val="3E3935"/>
              </w:rPr>
            </w:pPr>
            <w:r>
              <w:rPr>
                <w:color w:val="3E3935"/>
              </w:rPr>
              <w:t>146,590</w:t>
            </w:r>
          </w:p>
        </w:tc>
        <w:tc>
          <w:tcPr>
            <w:tcW w:w="273" w:type="dxa"/>
            <w:tcBorders/>
            <w:vAlign w:val="center"/>
          </w:tcPr>
          <w:p>
            <w:pPr>
              <w:pStyle w:val="TableContents"/>
              <w:bidi w:val="0"/>
              <w:spacing w:before="0" w:after="283"/>
              <w:jc w:val="left"/>
              <w:rPr/>
            </w:pPr>
            <w:r>
              <w:rPr>
                <w:color w:val="3E3935"/>
              </w:rPr>
              <w:t>(9)</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5,265,513</w:t>
            </w:r>
          </w:p>
        </w:tc>
        <w:tc>
          <w:tcPr>
            <w:tcW w:w="350" w:type="dxa"/>
            <w:tcBorders/>
            <w:vAlign w:val="center"/>
          </w:tcPr>
          <w:p>
            <w:pPr>
              <w:pStyle w:val="TableContents"/>
              <w:bidi w:val="0"/>
              <w:spacing w:before="0" w:after="283"/>
              <w:jc w:val="left"/>
              <w:rPr/>
            </w:pPr>
            <w:r>
              <w:rPr>
                <w:color w:val="3E3935"/>
              </w:rPr>
              <w:t>(11)</w:t>
            </w:r>
            <w:r>
              <w:rPr/>
              <w:t> </w:t>
            </w:r>
          </w:p>
        </w:tc>
      </w:tr>
      <w:tr>
        <w:trPr/>
        <w:tc>
          <w:tcPr>
            <w:tcW w:w="635" w:type="dxa"/>
            <w:tcBorders/>
            <w:vAlign w:val="center"/>
          </w:tcPr>
          <w:p>
            <w:pPr>
              <w:pStyle w:val="TableContents"/>
              <w:bidi w:val="0"/>
              <w:spacing w:before="0" w:after="283"/>
              <w:jc w:val="left"/>
              <w:rPr/>
            </w:pPr>
            <w:r>
              <w:rPr/>
              <w:t> </w:t>
            </w:r>
          </w:p>
        </w:tc>
        <w:tc>
          <w:tcPr>
            <w:tcW w:w="703" w:type="dxa"/>
            <w:gridSpan w:val="5"/>
            <w:tcBorders/>
            <w:vAlign w:val="center"/>
          </w:tcPr>
          <w:p>
            <w:pPr>
              <w:pStyle w:val="TableContents"/>
              <w:bidi w:val="0"/>
              <w:spacing w:before="0" w:after="283"/>
              <w:jc w:val="left"/>
              <w:rPr/>
            </w:pPr>
            <w:r>
              <w:rPr/>
              <w:t> </w:t>
            </w:r>
          </w:p>
        </w:tc>
        <w:tc>
          <w:tcPr>
            <w:tcW w:w="1325" w:type="dxa"/>
            <w:gridSpan w:val="5"/>
            <w:tcBorders/>
            <w:vAlign w:val="center"/>
          </w:tcPr>
          <w:p>
            <w:pPr>
              <w:pStyle w:val="TableContents"/>
              <w:bidi w:val="0"/>
              <w:spacing w:before="0" w:after="283"/>
              <w:jc w:val="left"/>
              <w:rPr/>
            </w:pPr>
            <w:r>
              <w:rPr/>
              <w:t> </w:t>
            </w:r>
          </w:p>
        </w:tc>
        <w:tc>
          <w:tcPr>
            <w:tcW w:w="1505" w:type="dxa"/>
            <w:gridSpan w:val="5"/>
            <w:tcBorders/>
            <w:vAlign w:val="center"/>
          </w:tcPr>
          <w:p>
            <w:pPr>
              <w:pStyle w:val="TableContents"/>
              <w:bidi w:val="0"/>
              <w:spacing w:before="0" w:after="283"/>
              <w:jc w:val="left"/>
              <w:rPr/>
            </w:pPr>
            <w:r>
              <w:rPr/>
              <w:t> </w:t>
            </w:r>
          </w:p>
        </w:tc>
        <w:tc>
          <w:tcPr>
            <w:tcW w:w="935" w:type="dxa"/>
            <w:gridSpan w:val="5"/>
            <w:tcBorders/>
            <w:vAlign w:val="center"/>
          </w:tcPr>
          <w:p>
            <w:pPr>
              <w:pStyle w:val="TableContents"/>
              <w:bidi w:val="0"/>
              <w:spacing w:before="0" w:after="283"/>
              <w:jc w:val="left"/>
              <w:rPr/>
            </w:pPr>
            <w:r>
              <w:rPr/>
              <w:t> </w:t>
            </w:r>
          </w:p>
        </w:tc>
        <w:tc>
          <w:tcPr>
            <w:tcW w:w="1175" w:type="dxa"/>
            <w:gridSpan w:val="5"/>
            <w:tcBorders/>
            <w:vAlign w:val="center"/>
          </w:tcPr>
          <w:p>
            <w:pPr>
              <w:pStyle w:val="TableContents"/>
              <w:bidi w:val="0"/>
              <w:spacing w:before="0" w:after="283"/>
              <w:jc w:val="left"/>
              <w:rPr/>
            </w:pPr>
            <w:r>
              <w:rPr/>
              <w:t> </w:t>
            </w:r>
          </w:p>
        </w:tc>
        <w:tc>
          <w:tcPr>
            <w:tcW w:w="300" w:type="dxa"/>
            <w:gridSpan w:val="5"/>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 </w:t>
            </w:r>
          </w:p>
        </w:tc>
        <w:tc>
          <w:tcPr>
            <w:tcW w:w="1303" w:type="dxa"/>
            <w:gridSpan w:val="5"/>
            <w:tcBorders/>
            <w:vAlign w:val="center"/>
          </w:tcPr>
          <w:p>
            <w:pPr>
              <w:pStyle w:val="TableContents"/>
              <w:bidi w:val="0"/>
              <w:spacing w:before="0" w:after="283"/>
              <w:jc w:val="left"/>
              <w:rPr/>
            </w:pPr>
            <w:r>
              <w:rPr/>
              <w:t> </w:t>
            </w:r>
          </w:p>
        </w:tc>
        <w:tc>
          <w:tcPr>
            <w:tcW w:w="1490" w:type="dxa"/>
            <w:gridSpan w:val="5"/>
            <w:tcBorders/>
            <w:vAlign w:val="center"/>
          </w:tcPr>
          <w:p>
            <w:pPr>
              <w:pStyle w:val="TableContents"/>
              <w:bidi w:val="0"/>
              <w:spacing w:before="0" w:after="283"/>
              <w:jc w:val="left"/>
              <w:rPr/>
            </w:pPr>
            <w:r>
              <w:rPr/>
              <w:t> </w:t>
            </w:r>
          </w:p>
        </w:tc>
        <w:tc>
          <w:tcPr>
            <w:tcW w:w="1630" w:type="dxa"/>
            <w:gridSpan w:val="5"/>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2/18/2021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54,993</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27,496</w:t>
            </w:r>
          </w:p>
        </w:tc>
        <w:tc>
          <w:tcPr>
            <w:tcW w:w="275" w:type="dxa"/>
            <w:tcBorders/>
            <w:vAlign w:val="center"/>
          </w:tcPr>
          <w:p>
            <w:pPr>
              <w:pStyle w:val="TableContents"/>
              <w:bidi w:val="0"/>
              <w:spacing w:before="0" w:after="283"/>
              <w:jc w:val="left"/>
              <w:rPr/>
            </w:pPr>
            <w:r>
              <w:rPr>
                <w:color w:val="3E3935"/>
              </w:rPr>
              <w:t>(4)</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52.16</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2/18/2031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71,025</w:t>
            </w:r>
          </w:p>
        </w:tc>
        <w:tc>
          <w:tcPr>
            <w:tcW w:w="225" w:type="dxa"/>
            <w:tcBorders/>
            <w:vAlign w:val="center"/>
          </w:tcPr>
          <w:p>
            <w:pPr>
              <w:pStyle w:val="TableContents"/>
              <w:bidi w:val="0"/>
              <w:spacing w:before="0" w:after="283"/>
              <w:jc w:val="left"/>
              <w:rPr/>
            </w:pPr>
            <w:r>
              <w:rPr>
                <w:color w:val="3E3935"/>
              </w:rPr>
              <w:t>(5)</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2,551,218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635" w:type="dxa"/>
            <w:tcBorders/>
            <w:shd w:fill="CCF2F8" w:val="clear"/>
            <w:vAlign w:val="center"/>
          </w:tcPr>
          <w:p>
            <w:pPr>
              <w:pStyle w:val="TableContents"/>
              <w:bidi w:val="0"/>
              <w:spacing w:before="0" w:after="283"/>
              <w:jc w:val="left"/>
              <w:rPr>
                <w:sz w:val="4"/>
                <w:szCs w:val="4"/>
              </w:rPr>
            </w:pPr>
            <w:r>
              <w:rPr>
                <w:sz w:val="4"/>
                <w:szCs w:val="4"/>
              </w:rPr>
            </w:r>
          </w:p>
        </w:tc>
        <w:tc>
          <w:tcPr>
            <w:tcW w:w="703" w:type="dxa"/>
            <w:gridSpan w:val="5"/>
            <w:tcBorders/>
            <w:shd w:fill="CCF2F8" w:val="clear"/>
            <w:vAlign w:val="center"/>
          </w:tcPr>
          <w:p>
            <w:pPr>
              <w:pStyle w:val="TableContents"/>
              <w:bidi w:val="0"/>
              <w:spacing w:before="0" w:after="283"/>
              <w:jc w:val="left"/>
              <w:rPr>
                <w:sz w:val="4"/>
                <w:szCs w:val="4"/>
              </w:rPr>
            </w:pPr>
            <w:r>
              <w:rPr>
                <w:sz w:val="4"/>
                <w:szCs w:val="4"/>
              </w:rPr>
            </w:r>
          </w:p>
        </w:tc>
        <w:tc>
          <w:tcPr>
            <w:tcW w:w="1325" w:type="dxa"/>
            <w:gridSpan w:val="5"/>
            <w:tcBorders/>
            <w:shd w:fill="CCF2F8" w:val="clear"/>
            <w:vAlign w:val="center"/>
          </w:tcPr>
          <w:p>
            <w:pPr>
              <w:pStyle w:val="TableContents"/>
              <w:bidi w:val="0"/>
              <w:spacing w:before="0" w:after="283"/>
              <w:jc w:val="left"/>
              <w:rPr>
                <w:sz w:val="4"/>
                <w:szCs w:val="4"/>
              </w:rPr>
            </w:pPr>
            <w:r>
              <w:rPr>
                <w:sz w:val="4"/>
                <w:szCs w:val="4"/>
              </w:rPr>
            </w:r>
          </w:p>
        </w:tc>
        <w:tc>
          <w:tcPr>
            <w:tcW w:w="1505" w:type="dxa"/>
            <w:gridSpan w:val="5"/>
            <w:tcBorders/>
            <w:shd w:fill="CCF2F8" w:val="clear"/>
            <w:vAlign w:val="center"/>
          </w:tcPr>
          <w:p>
            <w:pPr>
              <w:pStyle w:val="TableContents"/>
              <w:bidi w:val="0"/>
              <w:spacing w:before="0" w:after="283"/>
              <w:jc w:val="left"/>
              <w:rPr>
                <w:sz w:val="4"/>
                <w:szCs w:val="4"/>
              </w:rPr>
            </w:pPr>
            <w:r>
              <w:rPr>
                <w:sz w:val="4"/>
                <w:szCs w:val="4"/>
              </w:rPr>
            </w:r>
          </w:p>
        </w:tc>
        <w:tc>
          <w:tcPr>
            <w:tcW w:w="935" w:type="dxa"/>
            <w:gridSpan w:val="5"/>
            <w:tcBorders/>
            <w:shd w:fill="CCF2F8" w:val="clear"/>
            <w:vAlign w:val="center"/>
          </w:tcPr>
          <w:p>
            <w:pPr>
              <w:pStyle w:val="TableContents"/>
              <w:bidi w:val="0"/>
              <w:spacing w:before="0" w:after="283"/>
              <w:jc w:val="left"/>
              <w:rPr>
                <w:sz w:val="4"/>
                <w:szCs w:val="4"/>
              </w:rPr>
            </w:pPr>
            <w:r>
              <w:rPr>
                <w:sz w:val="4"/>
                <w:szCs w:val="4"/>
              </w:rPr>
            </w:r>
          </w:p>
        </w:tc>
        <w:tc>
          <w:tcPr>
            <w:tcW w:w="1175" w:type="dxa"/>
            <w:gridSpan w:val="5"/>
            <w:tcBorders/>
            <w:shd w:fill="CCF2F8" w:val="clear"/>
            <w:vAlign w:val="center"/>
          </w:tcPr>
          <w:p>
            <w:pPr>
              <w:pStyle w:val="TableContents"/>
              <w:bidi w:val="0"/>
              <w:spacing w:before="0" w:after="283"/>
              <w:jc w:val="left"/>
              <w:rPr>
                <w:sz w:val="4"/>
                <w:szCs w:val="4"/>
              </w:rPr>
            </w:pPr>
            <w:r>
              <w:rPr>
                <w:sz w:val="4"/>
                <w:szCs w:val="4"/>
              </w:rPr>
            </w:r>
          </w:p>
        </w:tc>
        <w:tc>
          <w:tcPr>
            <w:tcW w:w="300" w:type="dxa"/>
            <w:gridSpan w:val="5"/>
            <w:tcBorders/>
            <w:shd w:fill="CCF2F8" w:val="clear"/>
            <w:vAlign w:val="center"/>
          </w:tcPr>
          <w:p>
            <w:pPr>
              <w:pStyle w:val="TableContents"/>
              <w:bidi w:val="0"/>
              <w:spacing w:before="0" w:after="283"/>
              <w:jc w:val="left"/>
              <w:rPr>
                <w:sz w:val="4"/>
                <w:szCs w:val="4"/>
              </w:rPr>
            </w:pPr>
            <w:r>
              <w:rPr>
                <w:sz w:val="4"/>
                <w:szCs w:val="4"/>
              </w:rPr>
            </w:r>
          </w:p>
        </w:tc>
        <w:tc>
          <w:tcPr>
            <w:tcW w:w="1205" w:type="dxa"/>
            <w:gridSpan w:val="5"/>
            <w:tcBorders/>
            <w:shd w:fill="CCF2F8" w:val="clear"/>
            <w:vAlign w:val="center"/>
          </w:tcPr>
          <w:p>
            <w:pPr>
              <w:pStyle w:val="TableContents"/>
              <w:bidi w:val="0"/>
              <w:spacing w:before="0" w:after="283"/>
              <w:jc w:val="left"/>
              <w:rPr>
                <w:sz w:val="4"/>
                <w:szCs w:val="4"/>
              </w:rPr>
            </w:pPr>
            <w:r>
              <w:rPr>
                <w:sz w:val="4"/>
                <w:szCs w:val="4"/>
              </w:rPr>
            </w:r>
          </w:p>
        </w:tc>
        <w:tc>
          <w:tcPr>
            <w:tcW w:w="1303" w:type="dxa"/>
            <w:gridSpan w:val="5"/>
            <w:tcBorders/>
            <w:shd w:fill="CCF2F8" w:val="clear"/>
            <w:vAlign w:val="center"/>
          </w:tcPr>
          <w:p>
            <w:pPr>
              <w:pStyle w:val="TableContents"/>
              <w:bidi w:val="0"/>
              <w:spacing w:before="0" w:after="283"/>
              <w:jc w:val="left"/>
              <w:rPr>
                <w:sz w:val="4"/>
                <w:szCs w:val="4"/>
              </w:rPr>
            </w:pPr>
            <w:r>
              <w:rPr>
                <w:sz w:val="4"/>
                <w:szCs w:val="4"/>
              </w:rPr>
            </w:r>
          </w:p>
        </w:tc>
        <w:tc>
          <w:tcPr>
            <w:tcW w:w="1490" w:type="dxa"/>
            <w:gridSpan w:val="5"/>
            <w:tcBorders/>
            <w:shd w:fill="CCF2F8" w:val="clear"/>
            <w:vAlign w:val="center"/>
          </w:tcPr>
          <w:p>
            <w:pPr>
              <w:pStyle w:val="TableContents"/>
              <w:bidi w:val="0"/>
              <w:spacing w:before="0" w:after="283"/>
              <w:jc w:val="left"/>
              <w:rPr>
                <w:sz w:val="4"/>
                <w:szCs w:val="4"/>
              </w:rPr>
            </w:pPr>
            <w:r>
              <w:rPr>
                <w:sz w:val="4"/>
                <w:szCs w:val="4"/>
              </w:rPr>
            </w:r>
          </w:p>
        </w:tc>
        <w:tc>
          <w:tcPr>
            <w:tcW w:w="1630"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635" w:type="dxa"/>
            <w:tcBorders/>
            <w:shd w:fill="CCF2F8" w:val="clear"/>
            <w:vAlign w:val="center"/>
          </w:tcPr>
          <w:p>
            <w:pPr>
              <w:pStyle w:val="TableContents"/>
              <w:bidi w:val="0"/>
              <w:spacing w:before="0" w:after="0"/>
              <w:jc w:val="left"/>
              <w:rPr>
                <w:rFonts w:ascii="arial" w:hAnsi="arial"/>
                <w:b/>
                <w:color w:val="0071CE"/>
                <w:sz w:val="14"/>
              </w:rPr>
            </w:pPr>
            <w:r>
              <w:rPr>
                <w:rFonts w:ascii="arial" w:hAnsi="arial"/>
                <w:b/>
                <w:color w:val="0071CE"/>
                <w:sz w:val="14"/>
              </w:rPr>
              <w:t>Michael Abbott</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500" w:type="dxa"/>
            <w:tcBorders/>
            <w:shd w:fill="CCF2F8" w:val="clear"/>
            <w:vAlign w:val="center"/>
          </w:tcPr>
          <w:p>
            <w:pPr>
              <w:pStyle w:val="TableContents"/>
              <w:bidi w:val="0"/>
              <w:spacing w:before="0" w:after="283"/>
              <w:jc w:val="right"/>
              <w:rPr>
                <w:color w:val="3E3935"/>
              </w:rPr>
            </w:pPr>
            <w:r>
              <w:rPr>
                <w:color w:val="3E3935"/>
              </w:rPr>
              <w:t>7/3/2023</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80" w:type="dxa"/>
            <w:tcBorders/>
            <w:shd w:fill="CCF2F8" w:val="clear"/>
            <w:vAlign w:val="center"/>
          </w:tcPr>
          <w:p>
            <w:pPr>
              <w:pStyle w:val="TableContents"/>
              <w:bidi w:val="0"/>
              <w:spacing w:before="0" w:after="283"/>
              <w:jc w:val="left"/>
              <w:rPr/>
            </w:pPr>
            <w:r>
              <w:rPr/>
              <w:t> </w:t>
            </w:r>
          </w:p>
        </w:tc>
        <w:tc>
          <w:tcPr>
            <w:tcW w:w="80" w:type="dxa"/>
            <w:tcBorders/>
            <w:shd w:fill="CCF2F8" w:val="clear"/>
            <w:vAlign w:val="center"/>
          </w:tcPr>
          <w:p>
            <w:pPr>
              <w:pStyle w:val="TableContents"/>
              <w:bidi w:val="0"/>
              <w:spacing w:before="0" w:after="283"/>
              <w:jc w:val="left"/>
              <w:rPr>
                <w:sz w:val="4"/>
                <w:szCs w:val="4"/>
              </w:rPr>
            </w:pPr>
            <w:r>
              <w:rPr>
                <w:sz w:val="4"/>
                <w:szCs w:val="4"/>
              </w:rPr>
            </w:r>
          </w:p>
        </w:tc>
        <w:tc>
          <w:tcPr>
            <w:tcW w:w="1073" w:type="dxa"/>
            <w:tcBorders/>
            <w:shd w:fill="CCF2F8" w:val="clear"/>
            <w:vAlign w:val="center"/>
          </w:tcPr>
          <w:p>
            <w:pPr>
              <w:pStyle w:val="TableContents"/>
              <w:bidi w:val="0"/>
              <w:spacing w:before="0" w:after="283"/>
              <w:jc w:val="left"/>
              <w:rPr>
                <w:sz w:val="4"/>
                <w:szCs w:val="4"/>
              </w:rPr>
            </w:pPr>
            <w:r>
              <w:rPr>
                <w:sz w:val="4"/>
                <w:szCs w:val="4"/>
              </w:rPr>
            </w:r>
          </w:p>
        </w:tc>
        <w:tc>
          <w:tcPr>
            <w:tcW w:w="32"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pPr>
            <w:r>
              <w:rPr/>
              <w:t> </w:t>
            </w:r>
          </w:p>
        </w:tc>
        <w:tc>
          <w:tcPr>
            <w:tcW w:w="76" w:type="dxa"/>
            <w:tcBorders/>
            <w:shd w:fill="CCF2F8" w:val="clear"/>
            <w:vAlign w:val="center"/>
          </w:tcPr>
          <w:p>
            <w:pPr>
              <w:pStyle w:val="TableContents"/>
              <w:bidi w:val="0"/>
              <w:spacing w:before="0" w:after="283"/>
              <w:jc w:val="left"/>
              <w:rPr>
                <w:sz w:val="4"/>
                <w:szCs w:val="4"/>
              </w:rPr>
            </w:pPr>
            <w:r>
              <w:rPr>
                <w:sz w:val="4"/>
                <w:szCs w:val="4"/>
              </w:rPr>
            </w:r>
          </w:p>
        </w:tc>
        <w:tc>
          <w:tcPr>
            <w:tcW w:w="1018" w:type="dxa"/>
            <w:tcBorders/>
            <w:shd w:fill="CCF2F8" w:val="clear"/>
            <w:vAlign w:val="center"/>
          </w:tcPr>
          <w:p>
            <w:pPr>
              <w:pStyle w:val="TableContents"/>
              <w:bidi w:val="0"/>
              <w:spacing w:before="0" w:after="283"/>
              <w:jc w:val="left"/>
              <w:rPr>
                <w:sz w:val="4"/>
                <w:szCs w:val="4"/>
              </w:rPr>
            </w:pPr>
            <w:r>
              <w:rPr>
                <w:sz w:val="4"/>
                <w:szCs w:val="4"/>
              </w:rPr>
            </w:r>
          </w:p>
        </w:tc>
        <w:tc>
          <w:tcPr>
            <w:tcW w:w="27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283"/>
              <w:jc w:val="left"/>
              <w:rPr>
                <w:sz w:val="4"/>
                <w:szCs w:val="4"/>
              </w:rPr>
            </w:pPr>
            <w:r>
              <w:rPr>
                <w:sz w:val="4"/>
                <w:szCs w:val="4"/>
              </w:rPr>
            </w:r>
          </w:p>
        </w:tc>
        <w:tc>
          <w:tcPr>
            <w:tcW w:w="697" w:type="dxa"/>
            <w:tcBorders/>
            <w:shd w:fill="CCF2F8" w:val="clear"/>
            <w:vAlign w:val="center"/>
          </w:tcPr>
          <w:p>
            <w:pPr>
              <w:pStyle w:val="TableContents"/>
              <w:bidi w:val="0"/>
              <w:spacing w:before="0" w:after="283"/>
              <w:jc w:val="left"/>
              <w:rPr>
                <w:sz w:val="4"/>
                <w:szCs w:val="4"/>
              </w:rPr>
            </w:pPr>
            <w:r>
              <w:rPr>
                <w:sz w:val="4"/>
                <w:szCs w:val="4"/>
              </w:rPr>
            </w:r>
          </w:p>
        </w:tc>
        <w:tc>
          <w:tcPr>
            <w:tcW w:w="3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972" w:type="dxa"/>
            <w:tcBorders/>
            <w:shd w:fill="CCF2F8" w:val="clear"/>
            <w:vAlign w:val="center"/>
          </w:tcPr>
          <w:p>
            <w:pPr>
              <w:pStyle w:val="TableContents"/>
              <w:bidi w:val="0"/>
              <w:spacing w:before="0" w:after="283"/>
              <w:jc w:val="left"/>
              <w:rPr>
                <w:sz w:val="4"/>
                <w:szCs w:val="4"/>
              </w:rPr>
            </w:pPr>
            <w:r>
              <w:rPr>
                <w:sz w:val="4"/>
                <w:szCs w:val="4"/>
              </w:rPr>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00" w:type="dxa"/>
            <w:tcBorders/>
            <w:shd w:fill="CCF2F8" w:val="clear"/>
            <w:vAlign w:val="center"/>
          </w:tcPr>
          <w:p>
            <w:pPr>
              <w:pStyle w:val="TableContents"/>
              <w:bidi w:val="0"/>
              <w:spacing w:before="0" w:after="283"/>
              <w:jc w:val="right"/>
              <w:rPr>
                <w:color w:val="3E3935"/>
              </w:rPr>
            </w:pPr>
            <w:r>
              <w:rPr>
                <w:color w:val="3E3935"/>
              </w:rPr>
              <w:t>436,345</w:t>
            </w:r>
          </w:p>
        </w:tc>
        <w:tc>
          <w:tcPr>
            <w:tcW w:w="225" w:type="dxa"/>
            <w:tcBorders/>
            <w:shd w:fill="CCF2F8" w:val="clear"/>
            <w:vAlign w:val="center"/>
          </w:tcPr>
          <w:p>
            <w:pPr>
              <w:pStyle w:val="TableContents"/>
              <w:bidi w:val="0"/>
              <w:spacing w:before="0" w:after="283"/>
              <w:jc w:val="left"/>
              <w:rPr/>
            </w:pPr>
            <w:r>
              <w:rPr>
                <w:color w:val="3E3935"/>
              </w:rPr>
              <w:t>(6)</w:t>
            </w: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15,673,512</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75" w:type="dxa"/>
            <w:tcBorders/>
            <w:shd w:fill="CCF2F8" w:val="clear"/>
            <w:vAlign w:val="center"/>
          </w:tcPr>
          <w:p>
            <w:pPr>
              <w:pStyle w:val="TableContents"/>
              <w:bidi w:val="0"/>
              <w:spacing w:before="0" w:after="283"/>
              <w:jc w:val="left"/>
              <w:rPr/>
            </w:pPr>
            <w:r>
              <w:rPr/>
              <w:t> </w:t>
            </w:r>
          </w:p>
        </w:tc>
        <w:tc>
          <w:tcPr>
            <w:tcW w:w="75" w:type="dxa"/>
            <w:tcBorders/>
            <w:shd w:fill="CCF2F8" w:val="clear"/>
            <w:vAlign w:val="center"/>
          </w:tcPr>
          <w:p>
            <w:pPr>
              <w:pStyle w:val="TableContents"/>
              <w:bidi w:val="0"/>
              <w:spacing w:before="0" w:after="283"/>
              <w:jc w:val="left"/>
              <w:rPr>
                <w:sz w:val="4"/>
                <w:szCs w:val="4"/>
              </w:rPr>
            </w:pPr>
            <w:r>
              <w:rPr>
                <w:sz w:val="4"/>
                <w:szCs w:val="4"/>
              </w:rPr>
            </w:r>
          </w:p>
        </w:tc>
        <w:tc>
          <w:tcPr>
            <w:tcW w:w="1007" w:type="dxa"/>
            <w:tcBorders/>
            <w:shd w:fill="CCF2F8" w:val="clear"/>
            <w:vAlign w:val="center"/>
          </w:tcPr>
          <w:p>
            <w:pPr>
              <w:pStyle w:val="TableContents"/>
              <w:bidi w:val="0"/>
              <w:spacing w:before="0" w:after="283"/>
              <w:jc w:val="left"/>
              <w:rPr>
                <w:sz w:val="4"/>
                <w:szCs w:val="4"/>
              </w:rPr>
            </w:pPr>
            <w:r>
              <w:rPr>
                <w:sz w:val="4"/>
                <w:szCs w:val="4"/>
              </w:rPr>
            </w:r>
          </w:p>
        </w:tc>
        <w:tc>
          <w:tcPr>
            <w:tcW w:w="273"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100" w:type="dxa"/>
            <w:tcBorders/>
            <w:shd w:fill="CCF2F8" w:val="clear"/>
            <w:vAlign w:val="center"/>
          </w:tcPr>
          <w:p>
            <w:pPr>
              <w:pStyle w:val="TableContents"/>
              <w:bidi w:val="0"/>
              <w:spacing w:before="0" w:after="283"/>
              <w:jc w:val="left"/>
              <w:rPr>
                <w:sz w:val="4"/>
                <w:szCs w:val="4"/>
              </w:rPr>
            </w:pPr>
            <w:r>
              <w:rPr>
                <w:sz w:val="4"/>
                <w:szCs w:val="4"/>
              </w:rPr>
            </w:r>
          </w:p>
        </w:tc>
        <w:tc>
          <w:tcPr>
            <w:tcW w:w="350" w:type="dxa"/>
            <w:tcBorders/>
            <w:shd w:fill="CCF2F8" w:val="clear"/>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30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630"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0"/>
              <w:jc w:val="left"/>
              <w:rPr>
                <w:rFonts w:ascii="arial" w:hAnsi="arial"/>
                <w:b/>
                <w:color w:val="0071CE"/>
                <w:sz w:val="14"/>
              </w:rPr>
            </w:pPr>
            <w:r>
              <w:rPr>
                <w:rFonts w:ascii="arial" w:hAnsi="arial"/>
                <w:b/>
                <w:color w:val="0071CE"/>
                <w:sz w:val="14"/>
              </w:rPr>
              <w:t>Craig B. Glidden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12/13/2023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58,841</w:t>
            </w:r>
          </w:p>
        </w:tc>
        <w:tc>
          <w:tcPr>
            <w:tcW w:w="225" w:type="dxa"/>
            <w:tcBorders/>
            <w:vAlign w:val="center"/>
          </w:tcPr>
          <w:p>
            <w:pPr>
              <w:pStyle w:val="TableContents"/>
              <w:bidi w:val="0"/>
              <w:spacing w:before="0" w:after="283"/>
              <w:jc w:val="left"/>
              <w:rPr/>
            </w:pPr>
            <w:r>
              <w:rPr>
                <w:color w:val="3E3935"/>
              </w:rPr>
              <w:t>(7)</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2,113,569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30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630"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2/7/2023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123,045</w:t>
            </w:r>
          </w:p>
        </w:tc>
        <w:tc>
          <w:tcPr>
            <w:tcW w:w="275" w:type="dxa"/>
            <w:tcBorders/>
            <w:vAlign w:val="center"/>
          </w:tcPr>
          <w:p>
            <w:pPr>
              <w:pStyle w:val="TableContents"/>
              <w:bidi w:val="0"/>
              <w:spacing w:before="0" w:after="283"/>
              <w:jc w:val="left"/>
              <w:rPr/>
            </w:pPr>
            <w:r>
              <w:rPr>
                <w:color w:val="3E3935"/>
              </w:rPr>
              <w:t>(2)</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41.40</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2/7/2033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olor w:val="3E3935"/>
              </w:rPr>
            </w:pPr>
            <w:r>
              <w:rPr>
                <w:color w:val="3E3935"/>
              </w:rPr>
              <w:t> </w:t>
            </w:r>
          </w:p>
        </w:tc>
        <w:tc>
          <w:tcPr>
            <w:tcW w:w="1007" w:type="dxa"/>
            <w:tcBorders/>
            <w:vAlign w:val="center"/>
          </w:tcPr>
          <w:p>
            <w:pPr>
              <w:pStyle w:val="TableContents"/>
              <w:bidi w:val="0"/>
              <w:spacing w:before="0" w:after="283"/>
              <w:jc w:val="right"/>
              <w:rPr>
                <w:color w:val="3E3935"/>
              </w:rPr>
            </w:pPr>
            <w:r>
              <w:rPr>
                <w:color w:val="3E3935"/>
              </w:rPr>
              <w:t>107,877</w:t>
            </w:r>
          </w:p>
        </w:tc>
        <w:tc>
          <w:tcPr>
            <w:tcW w:w="273" w:type="dxa"/>
            <w:tcBorders/>
            <w:vAlign w:val="center"/>
          </w:tcPr>
          <w:p>
            <w:pPr>
              <w:pStyle w:val="TableContents"/>
              <w:bidi w:val="0"/>
              <w:spacing w:before="0" w:after="283"/>
              <w:jc w:val="left"/>
              <w:rPr/>
            </w:pPr>
            <w:r>
              <w:rPr>
                <w:color w:val="3E3935"/>
              </w:rPr>
              <w:t>(8)</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3,874,942</w:t>
            </w:r>
          </w:p>
        </w:tc>
        <w:tc>
          <w:tcPr>
            <w:tcW w:w="350" w:type="dxa"/>
            <w:tcBorders/>
            <w:vAlign w:val="center"/>
          </w:tcPr>
          <w:p>
            <w:pPr>
              <w:pStyle w:val="TableContents"/>
              <w:bidi w:val="0"/>
              <w:spacing w:before="0" w:after="283"/>
              <w:jc w:val="left"/>
              <w:rPr/>
            </w:pPr>
            <w:r>
              <w:rPr>
                <w:color w:val="3E3935"/>
              </w:rPr>
              <w:t>(10)</w:t>
            </w:r>
            <w:r>
              <w:rPr/>
              <w:t> </w:t>
            </w:r>
          </w:p>
        </w:tc>
      </w:tr>
      <w:tr>
        <w:trPr/>
        <w:tc>
          <w:tcPr>
            <w:tcW w:w="635" w:type="dxa"/>
            <w:tcBorders/>
            <w:vAlign w:val="center"/>
          </w:tcPr>
          <w:p>
            <w:pPr>
              <w:pStyle w:val="TableContents"/>
              <w:bidi w:val="0"/>
              <w:spacing w:before="0" w:after="283"/>
              <w:jc w:val="left"/>
              <w:rPr/>
            </w:pPr>
            <w:r>
              <w:rPr/>
              <w:t> </w:t>
            </w:r>
          </w:p>
        </w:tc>
        <w:tc>
          <w:tcPr>
            <w:tcW w:w="703" w:type="dxa"/>
            <w:gridSpan w:val="5"/>
            <w:tcBorders/>
            <w:vAlign w:val="center"/>
          </w:tcPr>
          <w:p>
            <w:pPr>
              <w:pStyle w:val="TableContents"/>
              <w:bidi w:val="0"/>
              <w:spacing w:before="0" w:after="283"/>
              <w:jc w:val="left"/>
              <w:rPr/>
            </w:pPr>
            <w:r>
              <w:rPr/>
              <w:t> </w:t>
            </w:r>
          </w:p>
        </w:tc>
        <w:tc>
          <w:tcPr>
            <w:tcW w:w="1325" w:type="dxa"/>
            <w:gridSpan w:val="5"/>
            <w:tcBorders/>
            <w:vAlign w:val="center"/>
          </w:tcPr>
          <w:p>
            <w:pPr>
              <w:pStyle w:val="TableContents"/>
              <w:bidi w:val="0"/>
              <w:spacing w:before="0" w:after="283"/>
              <w:jc w:val="left"/>
              <w:rPr/>
            </w:pPr>
            <w:r>
              <w:rPr/>
              <w:t> </w:t>
            </w:r>
          </w:p>
        </w:tc>
        <w:tc>
          <w:tcPr>
            <w:tcW w:w="1505" w:type="dxa"/>
            <w:gridSpan w:val="5"/>
            <w:tcBorders/>
            <w:vAlign w:val="center"/>
          </w:tcPr>
          <w:p>
            <w:pPr>
              <w:pStyle w:val="TableContents"/>
              <w:bidi w:val="0"/>
              <w:spacing w:before="0" w:after="283"/>
              <w:jc w:val="left"/>
              <w:rPr/>
            </w:pPr>
            <w:r>
              <w:rPr/>
              <w:t> </w:t>
            </w:r>
          </w:p>
        </w:tc>
        <w:tc>
          <w:tcPr>
            <w:tcW w:w="935" w:type="dxa"/>
            <w:gridSpan w:val="5"/>
            <w:tcBorders/>
            <w:vAlign w:val="center"/>
          </w:tcPr>
          <w:p>
            <w:pPr>
              <w:pStyle w:val="TableContents"/>
              <w:bidi w:val="0"/>
              <w:spacing w:before="0" w:after="283"/>
              <w:jc w:val="left"/>
              <w:rPr/>
            </w:pPr>
            <w:r>
              <w:rPr/>
              <w:t> </w:t>
            </w:r>
          </w:p>
        </w:tc>
        <w:tc>
          <w:tcPr>
            <w:tcW w:w="1175" w:type="dxa"/>
            <w:gridSpan w:val="5"/>
            <w:tcBorders/>
            <w:vAlign w:val="center"/>
          </w:tcPr>
          <w:p>
            <w:pPr>
              <w:pStyle w:val="TableContents"/>
              <w:bidi w:val="0"/>
              <w:spacing w:before="0" w:after="283"/>
              <w:jc w:val="left"/>
              <w:rPr/>
            </w:pPr>
            <w:r>
              <w:rPr/>
              <w:t> </w:t>
            </w:r>
          </w:p>
        </w:tc>
        <w:tc>
          <w:tcPr>
            <w:tcW w:w="300" w:type="dxa"/>
            <w:gridSpan w:val="5"/>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 </w:t>
            </w:r>
          </w:p>
        </w:tc>
        <w:tc>
          <w:tcPr>
            <w:tcW w:w="1303" w:type="dxa"/>
            <w:gridSpan w:val="5"/>
            <w:tcBorders/>
            <w:vAlign w:val="center"/>
          </w:tcPr>
          <w:p>
            <w:pPr>
              <w:pStyle w:val="TableContents"/>
              <w:bidi w:val="0"/>
              <w:spacing w:before="0" w:after="283"/>
              <w:jc w:val="left"/>
              <w:rPr/>
            </w:pPr>
            <w:r>
              <w:rPr/>
              <w:t> </w:t>
            </w:r>
          </w:p>
        </w:tc>
        <w:tc>
          <w:tcPr>
            <w:tcW w:w="1490" w:type="dxa"/>
            <w:gridSpan w:val="5"/>
            <w:tcBorders/>
            <w:vAlign w:val="center"/>
          </w:tcPr>
          <w:p>
            <w:pPr>
              <w:pStyle w:val="TableContents"/>
              <w:bidi w:val="0"/>
              <w:spacing w:before="0" w:after="283"/>
              <w:jc w:val="left"/>
              <w:rPr/>
            </w:pPr>
            <w:r>
              <w:rPr/>
              <w:t> </w:t>
            </w:r>
          </w:p>
        </w:tc>
        <w:tc>
          <w:tcPr>
            <w:tcW w:w="1630" w:type="dxa"/>
            <w:gridSpan w:val="5"/>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2/8/2022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23,931</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47,862</w:t>
            </w:r>
          </w:p>
        </w:tc>
        <w:tc>
          <w:tcPr>
            <w:tcW w:w="275" w:type="dxa"/>
            <w:tcBorders/>
            <w:vAlign w:val="center"/>
          </w:tcPr>
          <w:p>
            <w:pPr>
              <w:pStyle w:val="TableContents"/>
              <w:bidi w:val="0"/>
              <w:spacing w:before="0" w:after="283"/>
              <w:jc w:val="left"/>
              <w:rPr/>
            </w:pPr>
            <w:r>
              <w:rPr>
                <w:color w:val="3E3935"/>
              </w:rPr>
              <w:t>(3)</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49.46</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2/8/2032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olor w:val="3E3935"/>
              </w:rPr>
            </w:pPr>
            <w:r>
              <w:rPr>
                <w:color w:val="3E3935"/>
              </w:rPr>
              <w:t> </w:t>
            </w:r>
          </w:p>
        </w:tc>
        <w:tc>
          <w:tcPr>
            <w:tcW w:w="1007" w:type="dxa"/>
            <w:tcBorders/>
            <w:vAlign w:val="center"/>
          </w:tcPr>
          <w:p>
            <w:pPr>
              <w:pStyle w:val="TableContents"/>
              <w:bidi w:val="0"/>
              <w:spacing w:before="0" w:after="283"/>
              <w:jc w:val="right"/>
              <w:rPr>
                <w:color w:val="3E3935"/>
              </w:rPr>
            </w:pPr>
            <w:r>
              <w:rPr>
                <w:color w:val="3E3935"/>
              </w:rPr>
              <w:t>74,030</w:t>
            </w:r>
          </w:p>
        </w:tc>
        <w:tc>
          <w:tcPr>
            <w:tcW w:w="273" w:type="dxa"/>
            <w:tcBorders/>
            <w:vAlign w:val="center"/>
          </w:tcPr>
          <w:p>
            <w:pPr>
              <w:pStyle w:val="TableContents"/>
              <w:bidi w:val="0"/>
              <w:spacing w:before="0" w:after="283"/>
              <w:jc w:val="left"/>
              <w:rPr/>
            </w:pPr>
            <w:r>
              <w:rPr>
                <w:color w:val="3E3935"/>
              </w:rPr>
              <w:t>(9)</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2,659,158</w:t>
            </w:r>
          </w:p>
        </w:tc>
        <w:tc>
          <w:tcPr>
            <w:tcW w:w="350" w:type="dxa"/>
            <w:tcBorders/>
            <w:vAlign w:val="center"/>
          </w:tcPr>
          <w:p>
            <w:pPr>
              <w:pStyle w:val="TableContents"/>
              <w:bidi w:val="0"/>
              <w:spacing w:before="0" w:after="283"/>
              <w:jc w:val="left"/>
              <w:rPr/>
            </w:pPr>
            <w:r>
              <w:rPr>
                <w:color w:val="3E3935"/>
              </w:rPr>
              <w:t>(11)</w:t>
            </w:r>
            <w:r>
              <w:rPr/>
              <w:t> </w:t>
            </w:r>
          </w:p>
        </w:tc>
      </w:tr>
      <w:tr>
        <w:trPr/>
        <w:tc>
          <w:tcPr>
            <w:tcW w:w="635" w:type="dxa"/>
            <w:tcBorders/>
            <w:vAlign w:val="center"/>
          </w:tcPr>
          <w:p>
            <w:pPr>
              <w:pStyle w:val="TableContents"/>
              <w:bidi w:val="0"/>
              <w:spacing w:before="0" w:after="283"/>
              <w:jc w:val="left"/>
              <w:rPr/>
            </w:pPr>
            <w:r>
              <w:rPr/>
              <w:t> </w:t>
            </w:r>
          </w:p>
        </w:tc>
        <w:tc>
          <w:tcPr>
            <w:tcW w:w="703" w:type="dxa"/>
            <w:gridSpan w:val="5"/>
            <w:tcBorders/>
            <w:vAlign w:val="center"/>
          </w:tcPr>
          <w:p>
            <w:pPr>
              <w:pStyle w:val="TableContents"/>
              <w:bidi w:val="0"/>
              <w:spacing w:before="0" w:after="283"/>
              <w:jc w:val="left"/>
              <w:rPr/>
            </w:pPr>
            <w:r>
              <w:rPr/>
              <w:t> </w:t>
            </w:r>
          </w:p>
        </w:tc>
        <w:tc>
          <w:tcPr>
            <w:tcW w:w="1325" w:type="dxa"/>
            <w:gridSpan w:val="5"/>
            <w:tcBorders/>
            <w:vAlign w:val="center"/>
          </w:tcPr>
          <w:p>
            <w:pPr>
              <w:pStyle w:val="TableContents"/>
              <w:bidi w:val="0"/>
              <w:spacing w:before="0" w:after="283"/>
              <w:jc w:val="left"/>
              <w:rPr/>
            </w:pPr>
            <w:r>
              <w:rPr/>
              <w:t> </w:t>
            </w:r>
          </w:p>
        </w:tc>
        <w:tc>
          <w:tcPr>
            <w:tcW w:w="1505" w:type="dxa"/>
            <w:gridSpan w:val="5"/>
            <w:tcBorders/>
            <w:vAlign w:val="center"/>
          </w:tcPr>
          <w:p>
            <w:pPr>
              <w:pStyle w:val="TableContents"/>
              <w:bidi w:val="0"/>
              <w:spacing w:before="0" w:after="283"/>
              <w:jc w:val="left"/>
              <w:rPr/>
            </w:pPr>
            <w:r>
              <w:rPr/>
              <w:t> </w:t>
            </w:r>
          </w:p>
        </w:tc>
        <w:tc>
          <w:tcPr>
            <w:tcW w:w="935" w:type="dxa"/>
            <w:gridSpan w:val="5"/>
            <w:tcBorders/>
            <w:vAlign w:val="center"/>
          </w:tcPr>
          <w:p>
            <w:pPr>
              <w:pStyle w:val="TableContents"/>
              <w:bidi w:val="0"/>
              <w:spacing w:before="0" w:after="283"/>
              <w:jc w:val="left"/>
              <w:rPr/>
            </w:pPr>
            <w:r>
              <w:rPr/>
              <w:t> </w:t>
            </w:r>
          </w:p>
        </w:tc>
        <w:tc>
          <w:tcPr>
            <w:tcW w:w="1175" w:type="dxa"/>
            <w:gridSpan w:val="5"/>
            <w:tcBorders/>
            <w:vAlign w:val="center"/>
          </w:tcPr>
          <w:p>
            <w:pPr>
              <w:pStyle w:val="TableContents"/>
              <w:bidi w:val="0"/>
              <w:spacing w:before="0" w:after="283"/>
              <w:jc w:val="left"/>
              <w:rPr/>
            </w:pPr>
            <w:r>
              <w:rPr/>
              <w:t> </w:t>
            </w:r>
          </w:p>
        </w:tc>
        <w:tc>
          <w:tcPr>
            <w:tcW w:w="300" w:type="dxa"/>
            <w:gridSpan w:val="5"/>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 </w:t>
            </w:r>
          </w:p>
        </w:tc>
        <w:tc>
          <w:tcPr>
            <w:tcW w:w="1303" w:type="dxa"/>
            <w:gridSpan w:val="5"/>
            <w:tcBorders/>
            <w:vAlign w:val="center"/>
          </w:tcPr>
          <w:p>
            <w:pPr>
              <w:pStyle w:val="TableContents"/>
              <w:bidi w:val="0"/>
              <w:spacing w:before="0" w:after="283"/>
              <w:jc w:val="left"/>
              <w:rPr/>
            </w:pPr>
            <w:r>
              <w:rPr/>
              <w:t> </w:t>
            </w:r>
          </w:p>
        </w:tc>
        <w:tc>
          <w:tcPr>
            <w:tcW w:w="1490" w:type="dxa"/>
            <w:gridSpan w:val="5"/>
            <w:tcBorders/>
            <w:vAlign w:val="center"/>
          </w:tcPr>
          <w:p>
            <w:pPr>
              <w:pStyle w:val="TableContents"/>
              <w:bidi w:val="0"/>
              <w:spacing w:before="0" w:after="283"/>
              <w:jc w:val="left"/>
              <w:rPr/>
            </w:pPr>
            <w:r>
              <w:rPr/>
              <w:t> </w:t>
            </w:r>
          </w:p>
        </w:tc>
        <w:tc>
          <w:tcPr>
            <w:tcW w:w="1630" w:type="dxa"/>
            <w:gridSpan w:val="5"/>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500" w:type="dxa"/>
            <w:tcBorders/>
            <w:vAlign w:val="center"/>
          </w:tcPr>
          <w:p>
            <w:pPr>
              <w:pStyle w:val="TableContents"/>
              <w:bidi w:val="0"/>
              <w:spacing w:before="0" w:after="283"/>
              <w:jc w:val="right"/>
              <w:rPr>
                <w:color w:val="3E3935"/>
              </w:rPr>
            </w:pPr>
            <w:r>
              <w:rPr>
                <w:color w:val="3E3935"/>
              </w:rPr>
              <w:t>7/1/2021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3E3935"/>
              </w:rPr>
            </w:pPr>
            <w:r>
              <w:rPr>
                <w:color w:val="3E3935"/>
              </w:rPr>
              <w:t> </w:t>
            </w:r>
          </w:p>
        </w:tc>
        <w:tc>
          <w:tcPr>
            <w:tcW w:w="1073" w:type="dxa"/>
            <w:tcBorders/>
            <w:vAlign w:val="center"/>
          </w:tcPr>
          <w:p>
            <w:pPr>
              <w:pStyle w:val="TableContents"/>
              <w:bidi w:val="0"/>
              <w:spacing w:before="0" w:after="283"/>
              <w:jc w:val="right"/>
              <w:rPr>
                <w:color w:val="3E3935"/>
              </w:rPr>
            </w:pPr>
            <w:r>
              <w:rPr>
                <w:color w:val="3E3935"/>
              </w:rPr>
              <w:t>9,047</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color w:val="3E3935"/>
              </w:rPr>
            </w:pPr>
            <w:r>
              <w:rPr>
                <w:color w:val="3E3935"/>
              </w:rPr>
              <w:t> </w:t>
            </w:r>
          </w:p>
        </w:tc>
        <w:tc>
          <w:tcPr>
            <w:tcW w:w="1018" w:type="dxa"/>
            <w:tcBorders/>
            <w:vAlign w:val="center"/>
          </w:tcPr>
          <w:p>
            <w:pPr>
              <w:pStyle w:val="TableContents"/>
              <w:bidi w:val="0"/>
              <w:spacing w:before="0" w:after="283"/>
              <w:jc w:val="right"/>
              <w:rPr>
                <w:color w:val="3E3935"/>
              </w:rPr>
            </w:pPr>
            <w:r>
              <w:rPr>
                <w:color w:val="3E3935"/>
              </w:rPr>
              <w:t>4,523</w:t>
            </w:r>
          </w:p>
        </w:tc>
        <w:tc>
          <w:tcPr>
            <w:tcW w:w="275" w:type="dxa"/>
            <w:tcBorders/>
            <w:vAlign w:val="center"/>
          </w:tcPr>
          <w:p>
            <w:pPr>
              <w:pStyle w:val="TableContents"/>
              <w:bidi w:val="0"/>
              <w:spacing w:before="0" w:after="283"/>
              <w:jc w:val="left"/>
              <w:rPr/>
            </w:pPr>
            <w:r>
              <w:rPr>
                <w:color w:val="3E3935"/>
              </w:rPr>
              <w:t>(4)</w:t>
            </w: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color w:val="3E3935"/>
              </w:rPr>
            </w:pPr>
            <w:r>
              <w:rPr>
                <w:color w:val="3E3935"/>
              </w:rPr>
              <w:t> </w:t>
            </w:r>
          </w:p>
        </w:tc>
        <w:tc>
          <w:tcPr>
            <w:tcW w:w="697" w:type="dxa"/>
            <w:tcBorders/>
            <w:vAlign w:val="center"/>
          </w:tcPr>
          <w:p>
            <w:pPr>
              <w:pStyle w:val="TableContents"/>
              <w:bidi w:val="0"/>
              <w:spacing w:before="0" w:after="283"/>
              <w:jc w:val="right"/>
              <w:rPr>
                <w:color w:val="3E3935"/>
              </w:rPr>
            </w:pPr>
            <w:r>
              <w:rPr>
                <w:color w:val="3E3935"/>
              </w:rPr>
              <w:t>59.11</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72" w:type="dxa"/>
            <w:tcBorders/>
            <w:vAlign w:val="center"/>
          </w:tcPr>
          <w:p>
            <w:pPr>
              <w:pStyle w:val="TableContents"/>
              <w:bidi w:val="0"/>
              <w:spacing w:before="0" w:after="283"/>
              <w:jc w:val="right"/>
              <w:rPr>
                <w:color w:val="3E3935"/>
              </w:rPr>
            </w:pPr>
            <w:r>
              <w:rPr>
                <w:color w:val="3E3935"/>
              </w:rPr>
              <w:t>2/18/2031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00" w:type="dxa"/>
            <w:tcBorders/>
            <w:vAlign w:val="center"/>
          </w:tcPr>
          <w:p>
            <w:pPr>
              <w:pStyle w:val="TableContents"/>
              <w:bidi w:val="0"/>
              <w:spacing w:before="0" w:after="283"/>
              <w:jc w:val="right"/>
              <w:rPr>
                <w:color w:val="3E3935"/>
              </w:rPr>
            </w:pPr>
            <w:r>
              <w:rPr>
                <w:color w:val="3E3935"/>
              </w:rPr>
              <w:t>7,981</w:t>
            </w:r>
          </w:p>
        </w:tc>
        <w:tc>
          <w:tcPr>
            <w:tcW w:w="225" w:type="dxa"/>
            <w:tcBorders/>
            <w:vAlign w:val="center"/>
          </w:tcPr>
          <w:p>
            <w:pPr>
              <w:pStyle w:val="TableContents"/>
              <w:bidi w:val="0"/>
              <w:spacing w:before="0" w:after="283"/>
              <w:jc w:val="left"/>
              <w:rPr/>
            </w:pPr>
            <w:r>
              <w:rPr>
                <w:color w:val="3E3935"/>
              </w:rPr>
              <w:t>(5)</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286,678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30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630"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50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2/18/2021</w:t>
            </w:r>
          </w:p>
        </w:tc>
        <w:tc>
          <w:tcPr>
            <w:tcW w:w="23"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073"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24,716</w:t>
            </w:r>
          </w:p>
        </w:tc>
        <w:tc>
          <w:tcPr>
            <w:tcW w:w="32"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018"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12,358</w:t>
            </w:r>
          </w:p>
        </w:tc>
        <w:tc>
          <w:tcPr>
            <w:tcW w:w="275" w:type="dxa"/>
            <w:tcBorders>
              <w:bottom w:val="single" w:sz="6" w:space="0" w:color="0071CE"/>
            </w:tcBorders>
            <w:tcMar>
              <w:bottom w:w="80" w:type="dxa"/>
            </w:tcMar>
            <w:vAlign w:val="center"/>
          </w:tcPr>
          <w:p>
            <w:pPr>
              <w:pStyle w:val="TableContents"/>
              <w:bidi w:val="0"/>
              <w:spacing w:before="0" w:after="283"/>
              <w:jc w:val="left"/>
              <w:rPr/>
            </w:pPr>
            <w:r>
              <w:rPr>
                <w:color w:val="3E3935"/>
              </w:rPr>
              <w:t>(4)</w:t>
            </w: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697"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52.16</w:t>
            </w:r>
          </w:p>
        </w:tc>
        <w:tc>
          <w:tcPr>
            <w:tcW w:w="30"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972"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2/18/2031</w:t>
            </w:r>
          </w:p>
        </w:tc>
        <w:tc>
          <w:tcPr>
            <w:tcW w:w="23"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80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31,922</w:t>
            </w:r>
          </w:p>
        </w:tc>
        <w:tc>
          <w:tcPr>
            <w:tcW w:w="225" w:type="dxa"/>
            <w:tcBorders>
              <w:bottom w:val="single" w:sz="6" w:space="0" w:color="0071CE"/>
            </w:tcBorders>
            <w:tcMar>
              <w:bottom w:w="80" w:type="dxa"/>
            </w:tcMar>
            <w:vAlign w:val="center"/>
          </w:tcPr>
          <w:p>
            <w:pPr>
              <w:pStyle w:val="TableContents"/>
              <w:bidi w:val="0"/>
              <w:spacing w:before="0" w:after="283"/>
              <w:jc w:val="left"/>
              <w:rPr/>
            </w:pPr>
            <w:r>
              <w:rPr>
                <w:color w:val="3E3935"/>
              </w:rPr>
              <w:t>(5)</w:t>
            </w: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10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1,146,638</w:t>
            </w:r>
          </w:p>
        </w:tc>
        <w:tc>
          <w:tcPr>
            <w:tcW w:w="23" w:type="dxa"/>
            <w:tcBorders>
              <w:bottom w:val="single" w:sz="6" w:space="0" w:color="0071CE"/>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c>
          <w:tcPr>
            <w:tcW w:w="1007" w:type="dxa"/>
            <w:tcBorders>
              <w:bottom w:val="single" w:sz="6" w:space="0" w:color="0071CE"/>
            </w:tcBorders>
            <w:tcMar>
              <w:bottom w:w="28" w:type="dxa"/>
            </w:tcMar>
            <w:vAlign w:val="center"/>
          </w:tcPr>
          <w:p>
            <w:pPr>
              <w:pStyle w:val="TableContents"/>
              <w:bidi w:val="0"/>
              <w:spacing w:before="0" w:after="283"/>
              <w:jc w:val="left"/>
              <w:rPr/>
            </w:pPr>
            <w:r>
              <w:rPr/>
              <w:t> </w:t>
            </w:r>
          </w:p>
        </w:tc>
        <w:tc>
          <w:tcPr>
            <w:tcW w:w="273"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00" w:type="dxa"/>
            <w:tcBorders>
              <w:bottom w:val="single" w:sz="6" w:space="0" w:color="0071CE"/>
            </w:tcBorders>
            <w:tcMar>
              <w:bottom w:w="28" w:type="dxa"/>
            </w:tcMar>
            <w:vAlign w:val="center"/>
          </w:tcPr>
          <w:p>
            <w:pPr>
              <w:pStyle w:val="TableContents"/>
              <w:bidi w:val="0"/>
              <w:spacing w:before="0" w:after="283"/>
              <w:jc w:val="left"/>
              <w:rPr/>
            </w:pPr>
            <w:r>
              <w:rPr/>
              <w:t> </w:t>
            </w:r>
          </w:p>
        </w:tc>
        <w:tc>
          <w:tcPr>
            <w:tcW w:w="350" w:type="dxa"/>
            <w:tcBorders>
              <w:bottom w:val="single" w:sz="6" w:space="0" w:color="0071CE"/>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305"/>
        <w:gridCol w:w="9035"/>
      </w:tblGrid>
      <w:tr>
        <w:trPr/>
        <w:tc>
          <w:tcPr>
            <w:tcW w:w="305" w:type="dxa"/>
            <w:tcBorders/>
            <w:vAlign w:val="center"/>
          </w:tcPr>
          <w:p>
            <w:pPr>
              <w:pStyle w:val="TableContents"/>
              <w:bidi w:val="0"/>
              <w:spacing w:before="0" w:after="283"/>
              <w:jc w:val="left"/>
              <w:rPr>
                <w:color w:val="3E3935"/>
              </w:rPr>
            </w:pPr>
            <w:r>
              <w:rPr>
                <w:color w:val="3E3935"/>
              </w:rPr>
              <w:t>(1)</w:t>
            </w:r>
          </w:p>
        </w:tc>
        <w:tc>
          <w:tcPr>
            <w:tcW w:w="90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awards are valued based on the closing price of GM common stock on the NYSE on December 29, 2023, which was $35.92. </w:t>
            </w:r>
          </w:p>
        </w:tc>
      </w:tr>
    </w:tbl>
    <w:tbl>
      <w:tblPr>
        <w:tblW w:w="7300" w:type="dxa"/>
        <w:jc w:val="left"/>
        <w:tblInd w:w="0" w:type="dxa"/>
        <w:tblLayout w:type="fixed"/>
        <w:tblCellMar>
          <w:top w:w="0" w:type="dxa"/>
          <w:left w:w="0" w:type="dxa"/>
          <w:bottom w:w="0" w:type="dxa"/>
          <w:right w:w="0" w:type="dxa"/>
        </w:tblCellMar>
      </w:tblPr>
      <w:tblGrid>
        <w:gridCol w:w="305"/>
        <w:gridCol w:w="6995"/>
      </w:tblGrid>
      <w:tr>
        <w:trPr/>
        <w:tc>
          <w:tcPr>
            <w:tcW w:w="305" w:type="dxa"/>
            <w:tcBorders/>
            <w:vAlign w:val="center"/>
          </w:tcPr>
          <w:p>
            <w:pPr>
              <w:pStyle w:val="TableContents"/>
              <w:bidi w:val="0"/>
              <w:spacing w:before="0" w:after="283"/>
              <w:jc w:val="left"/>
              <w:rPr>
                <w:color w:val="3E3935"/>
              </w:rPr>
            </w:pPr>
            <w:r>
              <w:rPr>
                <w:color w:val="3E3935"/>
              </w:rPr>
              <w:t>(2)</w:t>
            </w:r>
          </w:p>
        </w:tc>
        <w:tc>
          <w:tcPr>
            <w:tcW w:w="69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Stock options granted on February 7, 2023, vest ratably each February 7 of 2024, 2025, and 2026. </w:t>
            </w:r>
          </w:p>
        </w:tc>
      </w:tr>
    </w:tbl>
    <w:tbl>
      <w:tblPr>
        <w:tblW w:w="7300" w:type="dxa"/>
        <w:jc w:val="left"/>
        <w:tblInd w:w="0" w:type="dxa"/>
        <w:tblLayout w:type="fixed"/>
        <w:tblCellMar>
          <w:top w:w="0" w:type="dxa"/>
          <w:left w:w="0" w:type="dxa"/>
          <w:bottom w:w="0" w:type="dxa"/>
          <w:right w:w="0" w:type="dxa"/>
        </w:tblCellMar>
      </w:tblPr>
      <w:tblGrid>
        <w:gridCol w:w="305"/>
        <w:gridCol w:w="6995"/>
      </w:tblGrid>
      <w:tr>
        <w:trPr/>
        <w:tc>
          <w:tcPr>
            <w:tcW w:w="305" w:type="dxa"/>
            <w:tcBorders/>
            <w:vAlign w:val="center"/>
          </w:tcPr>
          <w:p>
            <w:pPr>
              <w:pStyle w:val="TableContents"/>
              <w:bidi w:val="0"/>
              <w:spacing w:before="0" w:after="283"/>
              <w:jc w:val="left"/>
              <w:rPr>
                <w:color w:val="3E3935"/>
              </w:rPr>
            </w:pPr>
            <w:r>
              <w:rPr>
                <w:color w:val="3E3935"/>
              </w:rPr>
              <w:t>(3)</w:t>
            </w:r>
          </w:p>
        </w:tc>
        <w:tc>
          <w:tcPr>
            <w:tcW w:w="69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Stock options granted on February 8, 2022, vest ratably each February 8 of 2023, 2024, and 2025. </w:t>
            </w:r>
          </w:p>
        </w:tc>
      </w:tr>
    </w:tbl>
    <w:tbl>
      <w:tblPr>
        <w:tblW w:w="8740" w:type="dxa"/>
        <w:jc w:val="left"/>
        <w:tblInd w:w="0" w:type="dxa"/>
        <w:tblLayout w:type="fixed"/>
        <w:tblCellMar>
          <w:top w:w="0" w:type="dxa"/>
          <w:left w:w="0" w:type="dxa"/>
          <w:bottom w:w="0" w:type="dxa"/>
          <w:right w:w="0" w:type="dxa"/>
        </w:tblCellMar>
      </w:tblPr>
      <w:tblGrid>
        <w:gridCol w:w="305"/>
        <w:gridCol w:w="8435"/>
      </w:tblGrid>
      <w:tr>
        <w:trPr/>
        <w:tc>
          <w:tcPr>
            <w:tcW w:w="305" w:type="dxa"/>
            <w:tcBorders/>
            <w:vAlign w:val="center"/>
          </w:tcPr>
          <w:p>
            <w:pPr>
              <w:pStyle w:val="TableContents"/>
              <w:bidi w:val="0"/>
              <w:spacing w:before="0" w:after="283"/>
              <w:jc w:val="left"/>
              <w:rPr>
                <w:color w:val="3E3935"/>
              </w:rPr>
            </w:pPr>
            <w:r>
              <w:rPr>
                <w:color w:val="3E3935"/>
              </w:rPr>
              <w:t>(4)</w:t>
            </w:r>
          </w:p>
        </w:tc>
        <w:tc>
          <w:tcPr>
            <w:tcW w:w="84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Stock options granted on February 18, 2021, and July 1, 2021, vest ratably each February 18 of 2022, 2023, and 2024.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color w:val="3E3935"/>
              </w:rPr>
            </w:pPr>
            <w:r>
              <w:rPr>
                <w:color w:val="3E3935"/>
              </w:rPr>
              <w:t>(5)</w:t>
            </w:r>
          </w:p>
        </w:tc>
        <w:tc>
          <w:tcPr>
            <w:tcW w:w="9941"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2021-2023 PSU awards granted on February 18, 2021, and July 1, 2021, cliff-vested on February 18, 2024, upon determination of results for the performance period January 1, 2021–December 31, 2023. The final performance of the 2021–2023 PSU award was 74% and is discussed on page 56.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color w:val="3E3935"/>
              </w:rPr>
            </w:pPr>
            <w:r>
              <w:rPr>
                <w:color w:val="3E3935"/>
              </w:rPr>
              <w:t>(6)</w:t>
            </w:r>
          </w:p>
        </w:tc>
        <w:tc>
          <w:tcPr>
            <w:tcW w:w="9906"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RSU awards granted to Mr. Abbott on July 3, 2023, vest ratably each July 3 of 2024 and 2025, which were subsequently forfeited upon his resignation. </w:t>
            </w:r>
          </w:p>
        </w:tc>
      </w:tr>
    </w:tbl>
    <w:tbl>
      <w:tblPr>
        <w:tblW w:w="6970" w:type="dxa"/>
        <w:jc w:val="left"/>
        <w:tblInd w:w="0" w:type="dxa"/>
        <w:tblLayout w:type="fixed"/>
        <w:tblCellMar>
          <w:top w:w="0" w:type="dxa"/>
          <w:left w:w="0" w:type="dxa"/>
          <w:bottom w:w="0" w:type="dxa"/>
          <w:right w:w="0" w:type="dxa"/>
        </w:tblCellMar>
      </w:tblPr>
      <w:tblGrid>
        <w:gridCol w:w="305"/>
        <w:gridCol w:w="6665"/>
      </w:tblGrid>
      <w:tr>
        <w:trPr/>
        <w:tc>
          <w:tcPr>
            <w:tcW w:w="305" w:type="dxa"/>
            <w:tcBorders/>
            <w:vAlign w:val="center"/>
          </w:tcPr>
          <w:p>
            <w:pPr>
              <w:pStyle w:val="TableContents"/>
              <w:bidi w:val="0"/>
              <w:spacing w:before="0" w:after="283"/>
              <w:jc w:val="left"/>
              <w:rPr>
                <w:color w:val="3E3935"/>
              </w:rPr>
            </w:pPr>
            <w:r>
              <w:rPr>
                <w:color w:val="3E3935"/>
              </w:rPr>
              <w:t>(7)</w:t>
            </w:r>
          </w:p>
        </w:tc>
        <w:tc>
          <w:tcPr>
            <w:tcW w:w="666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RSU awards granted to Mr. Glidden on December 13, 2023, vest in full on December 13, 2025.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color w:val="3E3935"/>
              </w:rPr>
            </w:pPr>
            <w:r>
              <w:rPr>
                <w:color w:val="3E3935"/>
              </w:rPr>
              <w:t>(8)</w:t>
            </w:r>
          </w:p>
        </w:tc>
        <w:tc>
          <w:tcPr>
            <w:tcW w:w="9918"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2023-2025 PSU awards granted on February 7, 2023, cliff-vest on February 7, 2026, upon determination of results for the performance period January 1, 2023–December 31, 2025.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color w:val="3E3935"/>
              </w:rPr>
            </w:pPr>
            <w:r>
              <w:rPr>
                <w:color w:val="3E3935"/>
              </w:rPr>
              <w:t>(9)</w:t>
            </w:r>
          </w:p>
        </w:tc>
        <w:tc>
          <w:tcPr>
            <w:tcW w:w="9918"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2022-2024 PSU awards granted on February 8, 2022, cliff-vest on February 8, 2025, upon determination of results for the performance period January 1, 2022–December 31, 2024.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color w:val="3E3935"/>
              </w:rPr>
            </w:pPr>
            <w:r>
              <w:rPr>
                <w:color w:val="3E3935"/>
              </w:rPr>
              <w:t>(10)</w:t>
            </w:r>
          </w:p>
        </w:tc>
        <w:tc>
          <w:tcPr>
            <w:tcW w:w="9832"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Assumes target-level payout of PSU awards. The number of shares (and market value of such shares) for maximum-level payout with respect to unvested 2023–2025 PSUs granted on February 7, 2023, outstanding as of December 31, 2023, for Ms. Barra is 644,170 ($23,138,586); for Mr. Jacobson is 272,534 ($9,789,421); for Mr. Reuss is 461,242 ($16,567,813); and for Mr. Glidden is 215,754 ($7,749,884).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color w:val="3E3935"/>
              </w:rPr>
            </w:pPr>
            <w:r>
              <w:rPr>
                <w:color w:val="3E3935"/>
              </w:rPr>
              <w:t>(11)</w:t>
            </w:r>
          </w:p>
        </w:tc>
        <w:tc>
          <w:tcPr>
            <w:tcW w:w="9832"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Assumes target-level payout of PSU awards. The number of shares (and market value of such shares) for maximum-level payout with respect to unvested 2022–2024 PSUs granted on February 8, 2022, outstanding as of December 31, 2023, for Ms. Barra is 573,852 ($20,612,764); for Mr. Jacobson is 210,414 ($7,558,071); for Mr. Reuss is 293,180 ($10,531,026); and for Mr. Glidden is 148,060 ($5,318,315). </w:t>
            </w:r>
          </w:p>
        </w:tc>
      </w:tr>
    </w:tbl>
    <w:p>
      <w:pPr>
        <w:pStyle w:val="TextBody"/>
        <w:bidi w:val="0"/>
        <w:spacing w:before="360" w:after="0"/>
        <w:jc w:val="left"/>
        <w:rPr>
          <w:rFonts w:ascii="arial" w:hAnsi="arial"/>
          <w:b/>
          <w:color w:val="0071CE"/>
          <w:sz w:val="28"/>
        </w:rPr>
      </w:pPr>
      <w:bookmarkStart w:id="36" w:name="toc648661_34"/>
      <w:bookmarkEnd w:id="36"/>
      <w:r>
        <w:rPr>
          <w:rFonts w:ascii="arial" w:hAnsi="arial"/>
          <w:b/>
          <w:color w:val="0071CE"/>
          <w:sz w:val="28"/>
        </w:rPr>
        <w:t xml:space="preserve">Option Exercises and Stock Vested </w:t>
      </w:r>
    </w:p>
    <w:p>
      <w:pPr>
        <w:pStyle w:val="TextBody"/>
        <w:bidi w:val="0"/>
        <w:spacing w:before="0" w:after="0"/>
        <w:jc w:val="left"/>
        <w:rPr/>
      </w:pPr>
      <w:r>
        <w:rPr/>
        <w:t> </w:t>
      </w:r>
    </w:p>
    <w:tbl>
      <w:tblPr>
        <w:tblW w:w="7303" w:type="dxa"/>
        <w:jc w:val="left"/>
        <w:tblInd w:w="0" w:type="dxa"/>
        <w:tblLayout w:type="fixed"/>
        <w:tblCellMar>
          <w:top w:w="0" w:type="dxa"/>
          <w:left w:w="0" w:type="dxa"/>
          <w:bottom w:w="0" w:type="dxa"/>
          <w:right w:w="0" w:type="dxa"/>
        </w:tblCellMar>
      </w:tblPr>
      <w:tblGrid>
        <w:gridCol w:w="1415"/>
        <w:gridCol w:w="120"/>
        <w:gridCol w:w="245"/>
        <w:gridCol w:w="1065"/>
        <w:gridCol w:w="136"/>
        <w:gridCol w:w="272"/>
        <w:gridCol w:w="168"/>
        <w:gridCol w:w="737"/>
        <w:gridCol w:w="60"/>
        <w:gridCol w:w="60"/>
        <w:gridCol w:w="60"/>
        <w:gridCol w:w="60"/>
        <w:gridCol w:w="60"/>
        <w:gridCol w:w="120"/>
        <w:gridCol w:w="91"/>
        <w:gridCol w:w="1219"/>
        <w:gridCol w:w="60"/>
        <w:gridCol w:w="120"/>
        <w:gridCol w:w="60"/>
        <w:gridCol w:w="1100"/>
        <w:gridCol w:w="75"/>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623" w:type="dxa"/>
            <w:gridSpan w:val="6"/>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Option Awards(1)</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650" w:type="dxa"/>
            <w:gridSpan w:val="6"/>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Stock Awards(2)</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41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Name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10" w:type="dxa"/>
            <w:gridSpan w:val="2"/>
            <w:tcBorders>
              <w:bottom w:val="single" w:sz="6" w:space="0" w:color="0071CE"/>
            </w:tcBorders>
            <w:tcMar>
              <w:bottom w:w="80" w:type="dxa"/>
            </w:tcMar>
            <w:vAlign w:val="center"/>
          </w:tcPr>
          <w:p>
            <w:pPr>
              <w:pStyle w:val="TableContents"/>
              <w:bidi w:val="0"/>
              <w:spacing w:before="0" w:after="283"/>
              <w:jc w:val="center"/>
              <w:rPr>
                <w:b/>
                <w:color w:val="3E3935"/>
                <w:sz w:val="18"/>
              </w:rPr>
            </w:pPr>
            <w:r>
              <w:rPr>
                <w:b/>
                <w:color w:val="3E3935"/>
                <w:sz w:val="18"/>
              </w:rPr>
              <w:t>Number of</w:t>
              <w:br/>
              <w:t>Shares Acquired</w:t>
              <w:br/>
              <w:t>on Exercise (#)</w:t>
            </w:r>
          </w:p>
        </w:tc>
        <w:tc>
          <w:tcPr>
            <w:tcW w:w="136" w:type="dxa"/>
            <w:tcBorders>
              <w:bottom w:val="single" w:sz="6" w:space="0" w:color="0071CE"/>
            </w:tcBorders>
            <w:tcMar>
              <w:bottom w:w="28" w:type="dxa"/>
            </w:tcMar>
            <w:vAlign w:val="center"/>
          </w:tcPr>
          <w:p>
            <w:pPr>
              <w:pStyle w:val="TableContents"/>
              <w:bidi w:val="0"/>
              <w:spacing w:before="0" w:after="283"/>
              <w:jc w:val="left"/>
              <w:rPr/>
            </w:pPr>
            <w:r>
              <w:rPr/>
              <w:t> </w:t>
            </w:r>
          </w:p>
        </w:tc>
        <w:tc>
          <w:tcPr>
            <w:tcW w:w="272" w:type="dxa"/>
            <w:tcBorders>
              <w:bottom w:val="single" w:sz="6" w:space="0" w:color="0071CE"/>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71CE"/>
            </w:tcBorders>
            <w:tcMar>
              <w:bottom w:w="80" w:type="dxa"/>
            </w:tcMar>
            <w:vAlign w:val="center"/>
          </w:tcPr>
          <w:p>
            <w:pPr>
              <w:pStyle w:val="TableContents"/>
              <w:bidi w:val="0"/>
              <w:spacing w:before="0" w:after="283"/>
              <w:jc w:val="center"/>
              <w:rPr>
                <w:b/>
                <w:color w:val="3E3935"/>
                <w:sz w:val="18"/>
              </w:rPr>
            </w:pPr>
            <w:r>
              <w:rPr>
                <w:b/>
                <w:color w:val="3E3935"/>
                <w:sz w:val="18"/>
              </w:rPr>
              <w:t>Value</w:t>
              <w:br/>
              <w:t>Realized on</w:t>
              <w:br/>
              <w:t>Exercise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10" w:type="dxa"/>
            <w:gridSpan w:val="2"/>
            <w:tcBorders>
              <w:bottom w:val="single" w:sz="6" w:space="0" w:color="0071CE"/>
            </w:tcBorders>
            <w:tcMar>
              <w:bottom w:w="80" w:type="dxa"/>
            </w:tcMar>
            <w:vAlign w:val="center"/>
          </w:tcPr>
          <w:p>
            <w:pPr>
              <w:pStyle w:val="TableContents"/>
              <w:bidi w:val="0"/>
              <w:spacing w:before="0" w:after="283"/>
              <w:jc w:val="center"/>
              <w:rPr>
                <w:b/>
                <w:color w:val="3E3935"/>
                <w:sz w:val="18"/>
              </w:rPr>
            </w:pPr>
            <w:r>
              <w:rPr>
                <w:b/>
                <w:color w:val="3E3935"/>
                <w:sz w:val="18"/>
              </w:rPr>
              <w:t>Number of</w:t>
              <w:br/>
              <w:t>Shares Acquired</w:t>
              <w:br/>
              <w:t>on Vesting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283"/>
              <w:jc w:val="center"/>
              <w:rPr>
                <w:b/>
                <w:color w:val="3E3935"/>
                <w:sz w:val="18"/>
              </w:rPr>
            </w:pPr>
            <w:r>
              <w:rPr>
                <w:b/>
                <w:color w:val="3E3935"/>
                <w:sz w:val="18"/>
              </w:rPr>
              <w:t>Value</w:t>
              <w:br/>
              <w:t>Realized on</w:t>
              <w:br/>
              <w:t>Vesting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566" w:type="dxa"/>
            <w:gridSpan w:val="4"/>
            <w:tcBorders/>
            <w:vAlign w:val="center"/>
          </w:tcPr>
          <w:p>
            <w:pPr>
              <w:pStyle w:val="TableContents"/>
              <w:bidi w:val="0"/>
              <w:spacing w:before="0" w:after="283"/>
              <w:jc w:val="left"/>
              <w:rPr>
                <w:sz w:val="4"/>
                <w:szCs w:val="4"/>
              </w:rPr>
            </w:pPr>
            <w:r>
              <w:rPr>
                <w:sz w:val="4"/>
                <w:szCs w:val="4"/>
              </w:rPr>
            </w:r>
          </w:p>
        </w:tc>
        <w:tc>
          <w:tcPr>
            <w:tcW w:w="1237"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Mary T. Barra</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color w:val="3E3935"/>
              </w:rPr>
            </w:pPr>
            <w:r>
              <w:rPr>
                <w:color w:val="3E3935"/>
              </w:rPr>
              <w:t> </w:t>
            </w:r>
          </w:p>
        </w:tc>
        <w:tc>
          <w:tcPr>
            <w:tcW w:w="1065" w:type="dxa"/>
            <w:tcBorders/>
            <w:vAlign w:val="center"/>
          </w:tcPr>
          <w:p>
            <w:pPr>
              <w:pStyle w:val="TableContents"/>
              <w:bidi w:val="0"/>
              <w:spacing w:before="0" w:after="283"/>
              <w:jc w:val="right"/>
              <w:rPr>
                <w:color w:val="3E3935"/>
              </w:rPr>
            </w:pPr>
            <w:r>
              <w:rPr>
                <w:color w:val="3E3935"/>
              </w:rPr>
              <w:t>—</w:t>
            </w:r>
          </w:p>
        </w:tc>
        <w:tc>
          <w:tcPr>
            <w:tcW w:w="136" w:type="dxa"/>
            <w:tcBorders/>
            <w:vAlign w:val="center"/>
          </w:tcPr>
          <w:p>
            <w:pPr>
              <w:pStyle w:val="TableContents"/>
              <w:bidi w:val="0"/>
              <w:spacing w:before="0" w:after="283"/>
              <w:jc w:val="left"/>
              <w:rPr>
                <w:color w:val="3E3935"/>
              </w:rPr>
            </w:pPr>
            <w:r>
              <w:rPr>
                <w:color w:val="3E3935"/>
              </w:rPr>
              <w:t> </w:t>
            </w:r>
          </w:p>
        </w:tc>
        <w:tc>
          <w:tcPr>
            <w:tcW w:w="2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color w:val="3E3935"/>
              </w:rPr>
            </w:pPr>
            <w:r>
              <w:rPr>
                <w:color w:val="3E3935"/>
              </w:rPr>
              <w:t> </w:t>
            </w:r>
          </w:p>
        </w:tc>
        <w:tc>
          <w:tcPr>
            <w:tcW w:w="737"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color w:val="3E3935"/>
              </w:rPr>
            </w:pPr>
            <w:r>
              <w:rPr>
                <w:color w:val="3E3935"/>
              </w:rPr>
              <w:t> </w:t>
            </w:r>
          </w:p>
        </w:tc>
        <w:tc>
          <w:tcPr>
            <w:tcW w:w="1219" w:type="dxa"/>
            <w:tcBorders/>
            <w:vAlign w:val="center"/>
          </w:tcPr>
          <w:p>
            <w:pPr>
              <w:pStyle w:val="TableContents"/>
              <w:bidi w:val="0"/>
              <w:spacing w:before="0" w:after="283"/>
              <w:jc w:val="right"/>
              <w:rPr>
                <w:color w:val="3E3935"/>
              </w:rPr>
            </w:pPr>
            <w:r>
              <w:rPr>
                <w:color w:val="3E3935"/>
              </w:rPr>
              <w:t>440,618</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18,219,554</w:t>
            </w:r>
          </w:p>
        </w:tc>
        <w:tc>
          <w:tcPr>
            <w:tcW w:w="75" w:type="dxa"/>
            <w:tcBorders/>
            <w:vAlign w:val="center"/>
          </w:tcPr>
          <w:p>
            <w:pPr>
              <w:pStyle w:val="TableContents"/>
              <w:bidi w:val="0"/>
              <w:spacing w:before="0" w:after="283"/>
              <w:jc w:val="left"/>
              <w:rPr>
                <w:color w:val="3E3935"/>
              </w:rPr>
            </w:pPr>
            <w:r>
              <w:rPr>
                <w:color w:val="3E3935"/>
              </w:rPr>
              <w:t> </w:t>
            </w:r>
          </w:p>
        </w:tc>
      </w:tr>
      <w:tr>
        <w:trPr/>
        <w:tc>
          <w:tcPr>
            <w:tcW w:w="1415" w:type="dxa"/>
            <w:tcBorders/>
            <w:shd w:fill="CCF2F8" w:val="clear"/>
            <w:vAlign w:val="center"/>
          </w:tcPr>
          <w:p>
            <w:pPr>
              <w:pStyle w:val="TableContents"/>
              <w:bidi w:val="0"/>
              <w:spacing w:before="0" w:after="283"/>
              <w:jc w:val="left"/>
              <w:rPr>
                <w:sz w:val="4"/>
                <w:szCs w:val="4"/>
              </w:rPr>
            </w:pPr>
            <w:r>
              <w:rPr>
                <w:sz w:val="4"/>
                <w:szCs w:val="4"/>
              </w:rPr>
            </w:r>
          </w:p>
        </w:tc>
        <w:tc>
          <w:tcPr>
            <w:tcW w:w="1566" w:type="dxa"/>
            <w:gridSpan w:val="4"/>
            <w:tcBorders/>
            <w:shd w:fill="CCF2F8" w:val="clear"/>
            <w:vAlign w:val="center"/>
          </w:tcPr>
          <w:p>
            <w:pPr>
              <w:pStyle w:val="TableContents"/>
              <w:bidi w:val="0"/>
              <w:spacing w:before="0" w:after="283"/>
              <w:jc w:val="left"/>
              <w:rPr>
                <w:sz w:val="4"/>
                <w:szCs w:val="4"/>
              </w:rPr>
            </w:pPr>
            <w:r>
              <w:rPr>
                <w:sz w:val="4"/>
                <w:szCs w:val="4"/>
              </w:rPr>
            </w:r>
          </w:p>
        </w:tc>
        <w:tc>
          <w:tcPr>
            <w:tcW w:w="1237"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490"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41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Paul A. Jacobson</w:t>
            </w:r>
          </w:p>
        </w:tc>
        <w:tc>
          <w:tcPr>
            <w:tcW w:w="120" w:type="dxa"/>
            <w:tcBorders/>
            <w:shd w:fill="CCF2F8" w:val="clear"/>
            <w:vAlign w:val="center"/>
          </w:tcPr>
          <w:p>
            <w:pPr>
              <w:pStyle w:val="TableContents"/>
              <w:bidi w:val="0"/>
              <w:spacing w:before="0" w:after="283"/>
              <w:jc w:val="left"/>
              <w:rPr/>
            </w:pPr>
            <w:r>
              <w:rPr/>
              <w:t>  </w:t>
            </w:r>
          </w:p>
        </w:tc>
        <w:tc>
          <w:tcPr>
            <w:tcW w:w="245" w:type="dxa"/>
            <w:tcBorders/>
            <w:shd w:fill="CCF2F8" w:val="clear"/>
            <w:vAlign w:val="center"/>
          </w:tcPr>
          <w:p>
            <w:pPr>
              <w:pStyle w:val="TableContents"/>
              <w:bidi w:val="0"/>
              <w:spacing w:before="0" w:after="283"/>
              <w:jc w:val="left"/>
              <w:rPr>
                <w:color w:val="3E3935"/>
              </w:rPr>
            </w:pPr>
            <w:r>
              <w:rPr>
                <w:color w:val="3E3935"/>
              </w:rPr>
              <w:t> </w:t>
            </w:r>
          </w:p>
        </w:tc>
        <w:tc>
          <w:tcPr>
            <w:tcW w:w="1065" w:type="dxa"/>
            <w:tcBorders/>
            <w:shd w:fill="CCF2F8" w:val="clear"/>
            <w:vAlign w:val="center"/>
          </w:tcPr>
          <w:p>
            <w:pPr>
              <w:pStyle w:val="TableContents"/>
              <w:bidi w:val="0"/>
              <w:spacing w:before="0" w:after="283"/>
              <w:jc w:val="right"/>
              <w:rPr>
                <w:color w:val="3E3935"/>
              </w:rPr>
            </w:pPr>
            <w:r>
              <w:rPr>
                <w:color w:val="3E3935"/>
              </w:rPr>
              <w:t>—</w:t>
            </w:r>
          </w:p>
        </w:tc>
        <w:tc>
          <w:tcPr>
            <w:tcW w:w="136" w:type="dxa"/>
            <w:tcBorders/>
            <w:shd w:fill="CCF2F8" w:val="clear"/>
            <w:vAlign w:val="center"/>
          </w:tcPr>
          <w:p>
            <w:pPr>
              <w:pStyle w:val="TableContents"/>
              <w:bidi w:val="0"/>
              <w:spacing w:before="0" w:after="283"/>
              <w:jc w:val="left"/>
              <w:rPr>
                <w:color w:val="3E3935"/>
              </w:rPr>
            </w:pPr>
            <w:r>
              <w:rPr>
                <w:color w:val="3E3935"/>
              </w:rPr>
              <w:t> </w:t>
            </w:r>
          </w:p>
        </w:tc>
        <w:tc>
          <w:tcPr>
            <w:tcW w:w="272" w:type="dxa"/>
            <w:tcBorders/>
            <w:shd w:fill="CCF2F8" w:val="clear"/>
            <w:vAlign w:val="center"/>
          </w:tcPr>
          <w:p>
            <w:pPr>
              <w:pStyle w:val="TableContents"/>
              <w:bidi w:val="0"/>
              <w:spacing w:before="0" w:after="283"/>
              <w:jc w:val="left"/>
              <w:rPr/>
            </w:pPr>
            <w:r>
              <w:rPr/>
              <w:t>  </w:t>
            </w:r>
          </w:p>
        </w:tc>
        <w:tc>
          <w:tcPr>
            <w:tcW w:w="168" w:type="dxa"/>
            <w:tcBorders/>
            <w:shd w:fill="CCF2F8" w:val="clear"/>
            <w:vAlign w:val="center"/>
          </w:tcPr>
          <w:p>
            <w:pPr>
              <w:pStyle w:val="TableContents"/>
              <w:bidi w:val="0"/>
              <w:spacing w:before="0" w:after="283"/>
              <w:jc w:val="left"/>
              <w:rPr>
                <w:color w:val="3E3935"/>
              </w:rPr>
            </w:pPr>
            <w:r>
              <w:rPr>
                <w:color w:val="3E3935"/>
              </w:rPr>
              <w:t> </w:t>
            </w:r>
          </w:p>
        </w:tc>
        <w:tc>
          <w:tcPr>
            <w:tcW w:w="737"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91" w:type="dxa"/>
            <w:tcBorders/>
            <w:shd w:fill="CCF2F8" w:val="clear"/>
            <w:vAlign w:val="center"/>
          </w:tcPr>
          <w:p>
            <w:pPr>
              <w:pStyle w:val="TableContents"/>
              <w:bidi w:val="0"/>
              <w:spacing w:before="0" w:after="283"/>
              <w:jc w:val="left"/>
              <w:rPr>
                <w:color w:val="3E3935"/>
              </w:rPr>
            </w:pPr>
            <w:r>
              <w:rPr>
                <w:color w:val="3E3935"/>
              </w:rPr>
              <w:t> </w:t>
            </w:r>
          </w:p>
        </w:tc>
        <w:tc>
          <w:tcPr>
            <w:tcW w:w="1219" w:type="dxa"/>
            <w:tcBorders/>
            <w:shd w:fill="CCF2F8" w:val="clear"/>
            <w:vAlign w:val="center"/>
          </w:tcPr>
          <w:p>
            <w:pPr>
              <w:pStyle w:val="TableContents"/>
              <w:bidi w:val="0"/>
              <w:spacing w:before="0" w:after="283"/>
              <w:jc w:val="right"/>
              <w:rPr>
                <w:color w:val="3E3935"/>
              </w:rPr>
            </w:pPr>
            <w:r>
              <w:rPr>
                <w:color w:val="3E3935"/>
              </w:rPr>
              <w:t>76,976</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2,931,444</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566" w:type="dxa"/>
            <w:gridSpan w:val="4"/>
            <w:tcBorders/>
            <w:vAlign w:val="center"/>
          </w:tcPr>
          <w:p>
            <w:pPr>
              <w:pStyle w:val="TableContents"/>
              <w:bidi w:val="0"/>
              <w:spacing w:before="0" w:after="283"/>
              <w:jc w:val="left"/>
              <w:rPr>
                <w:sz w:val="4"/>
                <w:szCs w:val="4"/>
              </w:rPr>
            </w:pPr>
            <w:r>
              <w:rPr>
                <w:sz w:val="4"/>
                <w:szCs w:val="4"/>
              </w:rPr>
            </w:r>
          </w:p>
        </w:tc>
        <w:tc>
          <w:tcPr>
            <w:tcW w:w="1237"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L. Reuss</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color w:val="3E3935"/>
              </w:rPr>
            </w:pPr>
            <w:r>
              <w:rPr>
                <w:color w:val="3E3935"/>
              </w:rPr>
              <w:t> </w:t>
            </w:r>
          </w:p>
        </w:tc>
        <w:tc>
          <w:tcPr>
            <w:tcW w:w="1065" w:type="dxa"/>
            <w:tcBorders/>
            <w:vAlign w:val="center"/>
          </w:tcPr>
          <w:p>
            <w:pPr>
              <w:pStyle w:val="TableContents"/>
              <w:bidi w:val="0"/>
              <w:spacing w:before="0" w:after="283"/>
              <w:jc w:val="right"/>
              <w:rPr>
                <w:color w:val="3E3935"/>
              </w:rPr>
            </w:pPr>
            <w:r>
              <w:rPr>
                <w:color w:val="3E3935"/>
              </w:rPr>
              <w:t>—</w:t>
            </w:r>
          </w:p>
        </w:tc>
        <w:tc>
          <w:tcPr>
            <w:tcW w:w="136" w:type="dxa"/>
            <w:tcBorders/>
            <w:vAlign w:val="center"/>
          </w:tcPr>
          <w:p>
            <w:pPr>
              <w:pStyle w:val="TableContents"/>
              <w:bidi w:val="0"/>
              <w:spacing w:before="0" w:after="283"/>
              <w:jc w:val="left"/>
              <w:rPr>
                <w:color w:val="3E3935"/>
              </w:rPr>
            </w:pPr>
            <w:r>
              <w:rPr>
                <w:color w:val="3E3935"/>
              </w:rPr>
              <w:t> </w:t>
            </w:r>
          </w:p>
        </w:tc>
        <w:tc>
          <w:tcPr>
            <w:tcW w:w="2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color w:val="3E3935"/>
              </w:rPr>
            </w:pPr>
            <w:r>
              <w:rPr>
                <w:color w:val="3E3935"/>
              </w:rPr>
              <w:t> </w:t>
            </w:r>
          </w:p>
        </w:tc>
        <w:tc>
          <w:tcPr>
            <w:tcW w:w="737"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color w:val="3E3935"/>
              </w:rPr>
            </w:pPr>
            <w:r>
              <w:rPr>
                <w:color w:val="3E3935"/>
              </w:rPr>
              <w:t> </w:t>
            </w:r>
          </w:p>
        </w:tc>
        <w:tc>
          <w:tcPr>
            <w:tcW w:w="1219" w:type="dxa"/>
            <w:tcBorders/>
            <w:vAlign w:val="center"/>
          </w:tcPr>
          <w:p>
            <w:pPr>
              <w:pStyle w:val="TableContents"/>
              <w:bidi w:val="0"/>
              <w:spacing w:before="0" w:after="283"/>
              <w:jc w:val="right"/>
              <w:rPr>
                <w:color w:val="3E3935"/>
              </w:rPr>
            </w:pPr>
            <w:r>
              <w:rPr>
                <w:color w:val="3E3935"/>
              </w:rPr>
              <w:t>174,779</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7,227,112</w:t>
            </w:r>
          </w:p>
        </w:tc>
        <w:tc>
          <w:tcPr>
            <w:tcW w:w="75" w:type="dxa"/>
            <w:tcBorders/>
            <w:vAlign w:val="center"/>
          </w:tcPr>
          <w:p>
            <w:pPr>
              <w:pStyle w:val="TableContents"/>
              <w:bidi w:val="0"/>
              <w:spacing w:before="0" w:after="283"/>
              <w:jc w:val="left"/>
              <w:rPr>
                <w:color w:val="3E3935"/>
              </w:rPr>
            </w:pPr>
            <w:r>
              <w:rPr>
                <w:color w:val="3E3935"/>
              </w:rPr>
              <w:t> </w:t>
            </w:r>
          </w:p>
        </w:tc>
      </w:tr>
      <w:tr>
        <w:trPr/>
        <w:tc>
          <w:tcPr>
            <w:tcW w:w="1415" w:type="dxa"/>
            <w:tcBorders/>
            <w:shd w:fill="CCF2F8" w:val="clear"/>
            <w:vAlign w:val="center"/>
          </w:tcPr>
          <w:p>
            <w:pPr>
              <w:pStyle w:val="TableContents"/>
              <w:bidi w:val="0"/>
              <w:spacing w:before="0" w:after="283"/>
              <w:jc w:val="left"/>
              <w:rPr>
                <w:sz w:val="4"/>
                <w:szCs w:val="4"/>
              </w:rPr>
            </w:pPr>
            <w:r>
              <w:rPr>
                <w:sz w:val="4"/>
                <w:szCs w:val="4"/>
              </w:rPr>
            </w:r>
          </w:p>
        </w:tc>
        <w:tc>
          <w:tcPr>
            <w:tcW w:w="1566" w:type="dxa"/>
            <w:gridSpan w:val="4"/>
            <w:tcBorders/>
            <w:shd w:fill="CCF2F8" w:val="clear"/>
            <w:vAlign w:val="center"/>
          </w:tcPr>
          <w:p>
            <w:pPr>
              <w:pStyle w:val="TableContents"/>
              <w:bidi w:val="0"/>
              <w:spacing w:before="0" w:after="283"/>
              <w:jc w:val="left"/>
              <w:rPr>
                <w:sz w:val="4"/>
                <w:szCs w:val="4"/>
              </w:rPr>
            </w:pPr>
            <w:r>
              <w:rPr>
                <w:sz w:val="4"/>
                <w:szCs w:val="4"/>
              </w:rPr>
            </w:r>
          </w:p>
        </w:tc>
        <w:tc>
          <w:tcPr>
            <w:tcW w:w="1237"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490"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41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Michael Abbott</w:t>
            </w:r>
          </w:p>
        </w:tc>
        <w:tc>
          <w:tcPr>
            <w:tcW w:w="120" w:type="dxa"/>
            <w:tcBorders/>
            <w:shd w:fill="CCF2F8" w:val="clear"/>
            <w:vAlign w:val="center"/>
          </w:tcPr>
          <w:p>
            <w:pPr>
              <w:pStyle w:val="TableContents"/>
              <w:bidi w:val="0"/>
              <w:spacing w:before="0" w:after="283"/>
              <w:jc w:val="left"/>
              <w:rPr/>
            </w:pPr>
            <w:r>
              <w:rPr/>
              <w:t>  </w:t>
            </w:r>
          </w:p>
        </w:tc>
        <w:tc>
          <w:tcPr>
            <w:tcW w:w="245" w:type="dxa"/>
            <w:tcBorders/>
            <w:shd w:fill="CCF2F8" w:val="clear"/>
            <w:vAlign w:val="center"/>
          </w:tcPr>
          <w:p>
            <w:pPr>
              <w:pStyle w:val="TableContents"/>
              <w:bidi w:val="0"/>
              <w:spacing w:before="0" w:after="283"/>
              <w:jc w:val="left"/>
              <w:rPr>
                <w:color w:val="3E3935"/>
              </w:rPr>
            </w:pPr>
            <w:r>
              <w:rPr>
                <w:color w:val="3E3935"/>
              </w:rPr>
              <w:t> </w:t>
            </w:r>
          </w:p>
        </w:tc>
        <w:tc>
          <w:tcPr>
            <w:tcW w:w="1065" w:type="dxa"/>
            <w:tcBorders/>
            <w:shd w:fill="CCF2F8" w:val="clear"/>
            <w:vAlign w:val="center"/>
          </w:tcPr>
          <w:p>
            <w:pPr>
              <w:pStyle w:val="TableContents"/>
              <w:bidi w:val="0"/>
              <w:spacing w:before="0" w:after="283"/>
              <w:jc w:val="right"/>
              <w:rPr>
                <w:color w:val="3E3935"/>
              </w:rPr>
            </w:pPr>
            <w:r>
              <w:rPr>
                <w:color w:val="3E3935"/>
              </w:rPr>
              <w:t>—</w:t>
            </w:r>
          </w:p>
        </w:tc>
        <w:tc>
          <w:tcPr>
            <w:tcW w:w="136" w:type="dxa"/>
            <w:tcBorders/>
            <w:shd w:fill="CCF2F8" w:val="clear"/>
            <w:vAlign w:val="center"/>
          </w:tcPr>
          <w:p>
            <w:pPr>
              <w:pStyle w:val="TableContents"/>
              <w:bidi w:val="0"/>
              <w:spacing w:before="0" w:after="283"/>
              <w:jc w:val="left"/>
              <w:rPr>
                <w:color w:val="3E3935"/>
              </w:rPr>
            </w:pPr>
            <w:r>
              <w:rPr>
                <w:color w:val="3E3935"/>
              </w:rPr>
              <w:t> </w:t>
            </w:r>
          </w:p>
        </w:tc>
        <w:tc>
          <w:tcPr>
            <w:tcW w:w="272" w:type="dxa"/>
            <w:tcBorders/>
            <w:shd w:fill="CCF2F8" w:val="clear"/>
            <w:vAlign w:val="center"/>
          </w:tcPr>
          <w:p>
            <w:pPr>
              <w:pStyle w:val="TableContents"/>
              <w:bidi w:val="0"/>
              <w:spacing w:before="0" w:after="283"/>
              <w:jc w:val="left"/>
              <w:rPr/>
            </w:pPr>
            <w:r>
              <w:rPr/>
              <w:t>  </w:t>
            </w:r>
          </w:p>
        </w:tc>
        <w:tc>
          <w:tcPr>
            <w:tcW w:w="168" w:type="dxa"/>
            <w:tcBorders/>
            <w:shd w:fill="CCF2F8" w:val="clear"/>
            <w:vAlign w:val="center"/>
          </w:tcPr>
          <w:p>
            <w:pPr>
              <w:pStyle w:val="TableContents"/>
              <w:bidi w:val="0"/>
              <w:spacing w:before="0" w:after="283"/>
              <w:jc w:val="left"/>
              <w:rPr>
                <w:color w:val="3E3935"/>
              </w:rPr>
            </w:pPr>
            <w:r>
              <w:rPr>
                <w:color w:val="3E3935"/>
              </w:rPr>
              <w:t> </w:t>
            </w:r>
          </w:p>
        </w:tc>
        <w:tc>
          <w:tcPr>
            <w:tcW w:w="737"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91" w:type="dxa"/>
            <w:tcBorders/>
            <w:shd w:fill="CCF2F8" w:val="clear"/>
            <w:vAlign w:val="center"/>
          </w:tcPr>
          <w:p>
            <w:pPr>
              <w:pStyle w:val="TableContents"/>
              <w:bidi w:val="0"/>
              <w:spacing w:before="0" w:after="283"/>
              <w:jc w:val="left"/>
              <w:rPr>
                <w:color w:val="3E3935"/>
              </w:rPr>
            </w:pPr>
            <w:r>
              <w:rPr>
                <w:color w:val="3E3935"/>
              </w:rPr>
              <w:t> </w:t>
            </w:r>
          </w:p>
        </w:tc>
        <w:tc>
          <w:tcPr>
            <w:tcW w:w="1219"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566" w:type="dxa"/>
            <w:gridSpan w:val="4"/>
            <w:tcBorders/>
            <w:vAlign w:val="center"/>
          </w:tcPr>
          <w:p>
            <w:pPr>
              <w:pStyle w:val="TableContents"/>
              <w:bidi w:val="0"/>
              <w:spacing w:before="0" w:after="283"/>
              <w:jc w:val="left"/>
              <w:rPr>
                <w:sz w:val="4"/>
                <w:szCs w:val="4"/>
              </w:rPr>
            </w:pPr>
            <w:r>
              <w:rPr>
                <w:sz w:val="4"/>
                <w:szCs w:val="4"/>
              </w:rPr>
            </w:r>
          </w:p>
        </w:tc>
        <w:tc>
          <w:tcPr>
            <w:tcW w:w="1237"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0071CE"/>
            </w:tcBorders>
            <w:tcMar>
              <w:bottom w:w="6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Craig B. Glidden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45"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065"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136"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272" w:type="dxa"/>
            <w:tcBorders>
              <w:bottom w:val="single" w:sz="6" w:space="0" w:color="0071CE"/>
            </w:tcBorders>
            <w:tcMar>
              <w:bottom w:w="28" w:type="dxa"/>
            </w:tcMar>
            <w:vAlign w:val="center"/>
          </w:tcPr>
          <w:p>
            <w:pPr>
              <w:pStyle w:val="TableContents"/>
              <w:bidi w:val="0"/>
              <w:spacing w:before="0" w:after="283"/>
              <w:jc w:val="left"/>
              <w:rPr/>
            </w:pPr>
            <w:r>
              <w:rPr/>
              <w:t>  </w:t>
            </w:r>
          </w:p>
        </w:tc>
        <w:tc>
          <w:tcPr>
            <w:tcW w:w="168"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737"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1"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219"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82,432</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100"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3,408,563</w:t>
            </w:r>
          </w:p>
        </w:tc>
        <w:tc>
          <w:tcPr>
            <w:tcW w:w="75"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color w:val="3E3935"/>
              </w:rPr>
            </w:pPr>
            <w:r>
              <w:rPr>
                <w:color w:val="3E3935"/>
              </w:rPr>
              <w:t>(1)</w:t>
            </w:r>
          </w:p>
        </w:tc>
        <w:tc>
          <w:tcPr>
            <w:tcW w:w="9927"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aggregate dollar value realized upon exercise is computed by multiplying the number of shares at exercise by the difference between the market price of GM common stock and the exercise price of the options.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color w:val="3E3935"/>
              </w:rPr>
            </w:pPr>
            <w:r>
              <w:rPr>
                <w:color w:val="3E3935"/>
              </w:rPr>
              <w:t>(2)</w:t>
            </w:r>
          </w:p>
        </w:tc>
        <w:tc>
          <w:tcPr>
            <w:tcW w:w="991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aggregate dollar value realized upon vesting is computed by multiplying the number of shares vested by the closing price of GM common stock on the vesting date. </w:t>
            </w:r>
          </w:p>
        </w:tc>
      </w:tr>
    </w:tbl>
    <w:p>
      <w:pPr>
        <w:pStyle w:val="TextBody"/>
        <w:bidi w:val="0"/>
        <w:spacing w:before="0" w:after="0"/>
        <w:jc w:val="left"/>
        <w:rPr/>
      </w:pPr>
      <w:r>
        <w:rPr/>
        <w:t> </w:t>
      </w:r>
    </w:p>
    <w:tbl>
      <w:tblPr>
        <w:tblW w:w="7666" w:type="dxa"/>
        <w:jc w:val="left"/>
        <w:tblInd w:w="0" w:type="dxa"/>
        <w:tblLayout w:type="fixed"/>
        <w:tblCellMar>
          <w:top w:w="0" w:type="dxa"/>
          <w:left w:w="0" w:type="dxa"/>
          <w:bottom w:w="0" w:type="dxa"/>
          <w:right w:w="0" w:type="dxa"/>
        </w:tblCellMar>
      </w:tblPr>
      <w:tblGrid>
        <w:gridCol w:w="38"/>
        <w:gridCol w:w="60"/>
        <w:gridCol w:w="23"/>
        <w:gridCol w:w="60"/>
        <w:gridCol w:w="465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center"/>
              <w:rPr>
                <w:b/>
                <w:color w:val="3E3935"/>
              </w:rPr>
            </w:pPr>
            <w:r>
              <w:rPr>
                <w:b/>
                <w:color w:val="3E3935"/>
              </w:rPr>
              <w:t xml:space="preserve">EXECUTIVE COMPENSATION TABLES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69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37" w:name="toc648661_35"/>
      <w:bookmarkEnd w:id="37"/>
      <w:r>
        <w:rPr>
          <w:rFonts w:ascii="arial" w:hAnsi="arial"/>
          <w:b/>
          <w:color w:val="0071CE"/>
          <w:sz w:val="28"/>
        </w:rPr>
        <w:t xml:space="preserve">Pension Benefits </w:t>
      </w:r>
    </w:p>
    <w:p>
      <w:pPr>
        <w:pStyle w:val="TextBody"/>
        <w:bidi w:val="0"/>
        <w:spacing w:before="360" w:after="0"/>
        <w:jc w:val="left"/>
        <w:rPr>
          <w:rFonts w:ascii="arial" w:hAnsi="arial"/>
          <w:b/>
          <w:color w:val="3E3935"/>
          <w:sz w:val="26"/>
        </w:rPr>
      </w:pPr>
      <w:r>
        <w:rPr>
          <w:rFonts w:ascii="arial" w:hAnsi="arial"/>
          <w:b/>
          <w:color w:val="3E3935"/>
          <w:sz w:val="26"/>
        </w:rPr>
        <w:t xml:space="preserve">GM Salaried Retirement Plan </w:t>
      </w:r>
    </w:p>
    <w:p>
      <w:pPr>
        <w:pStyle w:val="TextBody"/>
        <w:bidi w:val="0"/>
        <w:spacing w:before="120" w:after="0"/>
        <w:jc w:val="both"/>
        <w:rPr>
          <w:rFonts w:ascii="arial" w:hAnsi="arial"/>
          <w:sz w:val="18"/>
        </w:rPr>
      </w:pPr>
      <w:r>
        <w:rPr>
          <w:rFonts w:ascii="arial" w:hAnsi="arial"/>
          <w:b/>
          <w:color w:val="0071CE"/>
          <w:sz w:val="18"/>
        </w:rPr>
        <w:t xml:space="preserve">Eligibility and Vesting: </w:t>
      </w:r>
      <w:r>
        <w:rPr>
          <w:rFonts w:ascii="arial" w:hAnsi="arial"/>
          <w:color w:val="3E3935"/>
          <w:sz w:val="18"/>
        </w:rPr>
        <w:t xml:space="preserve">The GM Salaried Retirement Plan (“SRP”) is a funded, tax-qualified retirement plan that covers eligible employees hired prior to January 1, 2007. Employees who commenced service on or after January 1, 2007, are eligible to participate only in DC plans. Employees are vested in the SRP after five years of qualifying service. The plan permitted employee contributions, which vested immediately, until December 31, 2006. All DB accruals were frozen on September 30, 2012, with service continuing towards eligibility to retire. </w:t>
      </w:r>
    </w:p>
    <w:p>
      <w:pPr>
        <w:pStyle w:val="TextBody"/>
        <w:bidi w:val="0"/>
        <w:spacing w:before="120" w:after="0"/>
        <w:jc w:val="both"/>
        <w:rPr>
          <w:rFonts w:ascii="arial" w:hAnsi="arial"/>
          <w:b/>
          <w:color w:val="3E3935"/>
          <w:sz w:val="18"/>
        </w:rPr>
      </w:pPr>
      <w:r>
        <w:rPr>
          <w:rFonts w:ascii="arial" w:hAnsi="arial"/>
          <w:b/>
          <w:color w:val="3E3935"/>
          <w:sz w:val="18"/>
        </w:rPr>
        <w:t xml:space="preserve">Benefit Formula: </w:t>
      </w:r>
    </w:p>
    <w:p>
      <w:pPr>
        <w:pStyle w:val="TextBody"/>
        <w:bidi w:val="0"/>
        <w:spacing w:before="120" w:after="0"/>
        <w:jc w:val="both"/>
        <w:rPr>
          <w:rFonts w:ascii="arial" w:hAnsi="arial"/>
          <w:sz w:val="18"/>
        </w:rPr>
      </w:pPr>
      <w:r>
        <w:rPr>
          <w:rFonts w:ascii="arial" w:hAnsi="arial"/>
          <w:b/>
          <w:color w:val="0071CE"/>
          <w:sz w:val="18"/>
        </w:rPr>
        <w:t>Service Prior to January 1, 2001:</w:t>
      </w:r>
      <w:r>
        <w:rPr>
          <w:rFonts w:ascii="arial" w:hAnsi="arial"/>
          <w:color w:val="3E3935"/>
          <w:sz w:val="18"/>
        </w:rPr>
        <w:t xml:space="preserve"> The plan provided benefits on both a contributory and noncontributory formula. The contributory formula factors the contributions of the employee and earnings for each fiscal year. The formulas were frozen effective December 31, 2006, and effective January 1, 2007, employees continued to participate in the SRP under a new formula that provided a pension accrual equal to 1.25 percent of the employee’s eligible earnings up to the IRS-prescribed limits for tax-qualified plans. The 1.25 percent accruals were frozen September 30, 2012. </w:t>
      </w:r>
    </w:p>
    <w:p>
      <w:pPr>
        <w:pStyle w:val="TextBody"/>
        <w:bidi w:val="0"/>
        <w:spacing w:before="120" w:after="0"/>
        <w:jc w:val="both"/>
        <w:rPr>
          <w:rFonts w:ascii="arial" w:hAnsi="arial"/>
          <w:sz w:val="18"/>
        </w:rPr>
      </w:pPr>
      <w:r>
        <w:rPr>
          <w:rFonts w:ascii="arial" w:hAnsi="arial"/>
          <w:b/>
          <w:color w:val="0071CE"/>
          <w:sz w:val="18"/>
        </w:rPr>
        <w:t>Service from January 1, 2001, to December 31, 2006:</w:t>
      </w:r>
      <w:r>
        <w:rPr>
          <w:rFonts w:ascii="arial" w:hAnsi="arial"/>
          <w:color w:val="3E3935"/>
          <w:sz w:val="18"/>
        </w:rPr>
        <w:t xml:space="preserve"> The plan provided benefits under a cash balance formula with pay credits based on age through December 31, 2006, when the formula was frozen, with balances continuing to earn interest credits thereafter. </w:t>
      </w:r>
    </w:p>
    <w:p>
      <w:pPr>
        <w:pStyle w:val="TextBody"/>
        <w:bidi w:val="0"/>
        <w:spacing w:before="120" w:after="0"/>
        <w:jc w:val="both"/>
        <w:rPr>
          <w:rFonts w:ascii="arial" w:hAnsi="arial"/>
          <w:sz w:val="18"/>
        </w:rPr>
      </w:pPr>
      <w:r>
        <w:rPr>
          <w:rFonts w:ascii="arial" w:hAnsi="arial"/>
          <w:b/>
          <w:color w:val="0071CE"/>
          <w:sz w:val="18"/>
        </w:rPr>
        <w:t>Time and Form of Payment:</w:t>
      </w:r>
      <w:r>
        <w:rPr>
          <w:rFonts w:ascii="arial" w:hAnsi="arial"/>
          <w:color w:val="3E3935"/>
          <w:sz w:val="18"/>
        </w:rPr>
        <w:t xml:space="preserve"> For employees hired prior to January 1, 2001, the accumulated benefit an employee earns over 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As of December 31, 2023, Ms. Barra and Mr. Reuss were eligible for early retirement. The plan also provides Social Security supplements for those hired prior to 1988. For employees hired on or after January 1, 1988, and prior to December 31, 2000, Social Security supplements are not payable and age-reduction factors are greater for retirements prior to age 62. The plan provides a single-life annuity, a spousal joint and survivor annuity, a contingent annuitant optional form of payment, or a 100 percent lump sum option. For employees hired from January 1, 2001, to December 31, 2006, the plan provides a single-life annuity, a contingent annuitant optional form of payment, or a 100 percent lump sum option. </w:t>
      </w:r>
    </w:p>
    <w:p>
      <w:pPr>
        <w:pStyle w:val="TextBody"/>
        <w:bidi w:val="0"/>
        <w:spacing w:before="120" w:after="0"/>
        <w:jc w:val="both"/>
        <w:rPr>
          <w:rFonts w:ascii="arial" w:hAnsi="arial"/>
          <w:sz w:val="18"/>
        </w:rPr>
      </w:pPr>
      <w:r>
        <w:rPr>
          <w:rFonts w:ascii="arial" w:hAnsi="arial"/>
          <w:b/>
          <w:color w:val="0071CE"/>
          <w:sz w:val="18"/>
        </w:rPr>
        <w:t>Tax Code Limitations on Benefits:</w:t>
      </w:r>
      <w:r>
        <w:rPr>
          <w:rFonts w:ascii="arial" w:hAnsi="arial"/>
          <w:color w:val="3E3935"/>
          <w:sz w:val="18"/>
        </w:rPr>
        <w:t xml:space="preserve"> Section 415(b)(1)(A) of the IRC limits the benefits payable under the SRP. For 2023, the maximum single life annuity an NEO could have received under these limits was $265,000 per year. This ceiling is actuarially adjusted in accordance with IRS rules to reflect employee contributions, actual forms of distribution, and actual retirement dates. </w:t>
      </w:r>
    </w:p>
    <w:p>
      <w:pPr>
        <w:pStyle w:val="TextBody"/>
        <w:bidi w:val="0"/>
        <w:spacing w:before="360" w:after="0"/>
        <w:jc w:val="left"/>
        <w:rPr>
          <w:rFonts w:ascii="arial" w:hAnsi="arial"/>
          <w:b/>
          <w:color w:val="3E3935"/>
          <w:sz w:val="26"/>
        </w:rPr>
      </w:pPr>
      <w:r>
        <w:rPr>
          <w:rFonts w:ascii="arial" w:hAnsi="arial"/>
          <w:b/>
          <w:color w:val="3E3935"/>
          <w:sz w:val="26"/>
        </w:rPr>
        <w:t xml:space="preserve">GM Executive Retirement Plan </w:t>
      </w:r>
    </w:p>
    <w:p>
      <w:pPr>
        <w:pStyle w:val="TextBody"/>
        <w:bidi w:val="0"/>
        <w:spacing w:before="120" w:after="0"/>
        <w:jc w:val="both"/>
        <w:rPr>
          <w:rFonts w:ascii="arial" w:hAnsi="arial"/>
          <w:sz w:val="18"/>
        </w:rPr>
      </w:pPr>
      <w:r>
        <w:rPr>
          <w:rFonts w:ascii="arial" w:hAnsi="arial"/>
          <w:b/>
          <w:color w:val="0071CE"/>
          <w:sz w:val="18"/>
        </w:rPr>
        <w:t>Eligibility and Vesting:</w:t>
      </w:r>
      <w:r>
        <w:rPr>
          <w:rFonts w:ascii="arial" w:hAnsi="arial"/>
          <w:color w:val="3E3935"/>
          <w:sz w:val="18"/>
        </w:rPr>
        <w:t xml:space="preserve"> The GM Executive Retirement Plan (“DB ERP”) is an unfunded, non-tax-qualified retirement plan that covers eligible executives to provide retirement benefits above amounts available under our other pension programs. </w:t>
      </w:r>
    </w:p>
    <w:p>
      <w:pPr>
        <w:pStyle w:val="TextBody"/>
        <w:bidi w:val="0"/>
        <w:spacing w:before="120" w:after="0"/>
        <w:jc w:val="left"/>
        <w:rPr>
          <w:rFonts w:ascii="arial" w:hAnsi="arial"/>
          <w:b/>
          <w:color w:val="3E3935"/>
          <w:sz w:val="18"/>
        </w:rPr>
      </w:pPr>
      <w:r>
        <w:rPr>
          <w:rFonts w:ascii="arial" w:hAnsi="arial"/>
          <w:b/>
          <w:color w:val="3E3935"/>
          <w:sz w:val="18"/>
        </w:rPr>
        <w:t xml:space="preserve">Benefit Formula: </w:t>
      </w:r>
    </w:p>
    <w:p>
      <w:pPr>
        <w:pStyle w:val="TextBody"/>
        <w:bidi w:val="0"/>
        <w:spacing w:before="120" w:after="0"/>
        <w:jc w:val="both"/>
        <w:rPr>
          <w:rFonts w:ascii="arial" w:hAnsi="arial"/>
          <w:sz w:val="18"/>
        </w:rPr>
      </w:pPr>
      <w:r>
        <w:rPr>
          <w:rFonts w:ascii="arial" w:hAnsi="arial"/>
          <w:b/>
          <w:color w:val="0071CE"/>
          <w:sz w:val="18"/>
        </w:rPr>
        <w:t>Service Prior to January 1, 2007:</w:t>
      </w:r>
      <w:r>
        <w:rPr>
          <w:rFonts w:ascii="arial" w:hAnsi="arial"/>
          <w:color w:val="3E3935"/>
          <w:sz w:val="18"/>
        </w:rPr>
        <w:t xml:space="preserve"> The supplemental pension equals the greater of (a) 2 percent of the average monthly base salary multiplied by all years of contributory service less the sum of all benefits payable under the SRP plus the maximum Social Security benefit as of January 2007 multiplied by all years of contributory service or (b) 1.5 percent of the average monthly base salary plus STIP compensation multiplied by all years of contributory service, up to a maximum of 35 years, less the sum of all benefits payable under the SRP plus 100 percent of the maximum Social Security benefit as of January 2007. In both cases, the base salary and STIP payments are determined using the highest 60 months out of the last 120 months as of December 31, 2006. These DB accruals were frozen on December 31, 2006, with service continuing towards eligibility to retire. </w:t>
      </w:r>
    </w:p>
    <w:p>
      <w:pPr>
        <w:pStyle w:val="TextBody"/>
        <w:bidi w:val="0"/>
        <w:spacing w:before="120" w:after="0"/>
        <w:jc w:val="both"/>
        <w:rPr>
          <w:rFonts w:ascii="arial" w:hAnsi="arial"/>
          <w:sz w:val="18"/>
        </w:rPr>
      </w:pPr>
      <w:r>
        <w:rPr>
          <w:rFonts w:ascii="arial" w:hAnsi="arial"/>
          <w:b/>
          <w:color w:val="0071CE"/>
          <w:sz w:val="18"/>
        </w:rPr>
        <w:t>Service from January 1, 2007, to September 30, 2012:</w:t>
      </w:r>
      <w:r>
        <w:rPr>
          <w:rFonts w:ascii="arial" w:hAnsi="arial"/>
          <w:color w:val="3E3935"/>
          <w:sz w:val="18"/>
        </w:rPr>
        <w:t xml:space="preserve"> For employees hired prior to January 1, 2001, the supplemental pension equals 1.25 percent of annual base salary plus short-term incentive payments and is applicable to amounts in excess of the IRS-prescribed limit applicable to tax-qualified plans. These DB accruals were frozen on September 30, 2012, with service continuing towards eligibility to retire. </w:t>
      </w:r>
    </w:p>
    <w:p>
      <w:pPr>
        <w:pStyle w:val="TextBody"/>
        <w:bidi w:val="0"/>
        <w:spacing w:before="120" w:after="0"/>
        <w:jc w:val="both"/>
        <w:rPr>
          <w:rFonts w:ascii="arial" w:hAnsi="arial"/>
          <w:sz w:val="18"/>
        </w:rPr>
      </w:pPr>
      <w:r>
        <w:rPr>
          <w:rFonts w:ascii="arial" w:hAnsi="arial"/>
          <w:b/>
          <w:color w:val="0071CE"/>
          <w:sz w:val="18"/>
        </w:rPr>
        <w:t>Time and Form of Payment:</w:t>
      </w:r>
      <w:r>
        <w:rPr>
          <w:rFonts w:ascii="arial" w:hAnsi="arial"/>
          <w:color w:val="3E3935"/>
          <w:sz w:val="18"/>
        </w:rPr>
        <w:t xml:space="preserve"> Normal retirement age under the plan is age 65; however, employees who commenced service prior to January 1, 2007, may retire at age 60 with 10 or more years of service without any reduction in benefits. Employees may also retire at age 55 with 10 or more years of service with benefits reduced using the same factors as are utilized for early retirement </w:t>
      </w:r>
    </w:p>
    <w:p>
      <w:pPr>
        <w:pStyle w:val="TextBody"/>
        <w:bidi w:val="0"/>
        <w:spacing w:before="0" w:after="0"/>
        <w:jc w:val="left"/>
        <w:rPr/>
      </w:pPr>
      <w:r>
        <w:rPr/>
        <w:t> </w:t>
      </w:r>
    </w:p>
    <w:tbl>
      <w:tblPr>
        <w:tblW w:w="5483" w:type="dxa"/>
        <w:jc w:val="left"/>
        <w:tblInd w:w="0" w:type="dxa"/>
        <w:tblLayout w:type="fixed"/>
        <w:tblCellMar>
          <w:top w:w="0" w:type="dxa"/>
          <w:left w:w="0" w:type="dxa"/>
          <w:bottom w:w="0" w:type="dxa"/>
          <w:right w:w="0" w:type="dxa"/>
        </w:tblCellMar>
      </w:tblPr>
      <w:tblGrid>
        <w:gridCol w:w="275"/>
        <w:gridCol w:w="60"/>
        <w:gridCol w:w="192"/>
        <w:gridCol w:w="60"/>
        <w:gridCol w:w="4655"/>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70</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48"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77" descr=""/>
                          <pic:cNvPicPr>
                            <a:picLocks noChangeAspect="1" noChangeArrowheads="1"/>
                          </pic:cNvPicPr>
                        </pic:nvPicPr>
                        <pic:blipFill>
                          <a:blip r:embed="rId331"/>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center"/>
              <w:rPr>
                <w:b/>
                <w:color w:val="3E3935"/>
              </w:rPr>
            </w:pPr>
            <w:r>
              <w:rPr>
                <w:b/>
                <w:color w:val="3E3935"/>
              </w:rPr>
              <w:t xml:space="preserve">EXECUTIVE COMPENSATION TABLES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under the SRP. As of December 31, 2023, Ms. Barra and Mr. Reuss were eligible for early retirement. The DB ERP is payable as a five-year certain annuity, with payments starting upon the retirement of the executive and continuing for 60 months. </w:t>
      </w:r>
    </w:p>
    <w:p>
      <w:pPr>
        <w:pStyle w:val="TextBody"/>
        <w:bidi w:val="0"/>
        <w:spacing w:before="120" w:after="0"/>
        <w:jc w:val="both"/>
        <w:rPr>
          <w:rFonts w:ascii="arial" w:hAnsi="arial"/>
          <w:color w:val="3E3935"/>
          <w:sz w:val="18"/>
        </w:rPr>
      </w:pPr>
      <w:r>
        <w:rPr>
          <w:rFonts w:ascii="arial" w:hAnsi="arial"/>
          <w:color w:val="3E3935"/>
          <w:sz w:val="18"/>
        </w:rPr>
        <w:t xml:space="preserve">The table below reflects pension benefits as of December 31, 2023, provided by the respective plans. </w:t>
      </w:r>
    </w:p>
    <w:p>
      <w:pPr>
        <w:pStyle w:val="TextBody"/>
        <w:bidi w:val="0"/>
        <w:spacing w:before="0" w:after="0"/>
        <w:jc w:val="left"/>
        <w:rPr/>
      </w:pPr>
      <w:r>
        <w:rPr/>
        <w:t> </w:t>
      </w:r>
    </w:p>
    <w:tbl>
      <w:tblPr>
        <w:tblW w:w="8692" w:type="dxa"/>
        <w:jc w:val="left"/>
        <w:tblInd w:w="0" w:type="dxa"/>
        <w:tblLayout w:type="fixed"/>
        <w:tblCellMar>
          <w:top w:w="0" w:type="dxa"/>
          <w:left w:w="0" w:type="dxa"/>
          <w:bottom w:w="0" w:type="dxa"/>
          <w:right w:w="0" w:type="dxa"/>
        </w:tblCellMar>
      </w:tblPr>
      <w:tblGrid>
        <w:gridCol w:w="1625"/>
        <w:gridCol w:w="120"/>
        <w:gridCol w:w="67"/>
        <w:gridCol w:w="67"/>
        <w:gridCol w:w="984"/>
        <w:gridCol w:w="27"/>
        <w:gridCol w:w="120"/>
        <w:gridCol w:w="227"/>
        <w:gridCol w:w="227"/>
        <w:gridCol w:w="1679"/>
        <w:gridCol w:w="89"/>
        <w:gridCol w:w="120"/>
        <w:gridCol w:w="90"/>
        <w:gridCol w:w="90"/>
        <w:gridCol w:w="1483"/>
        <w:gridCol w:w="37"/>
        <w:gridCol w:w="120"/>
        <w:gridCol w:w="218"/>
        <w:gridCol w:w="218"/>
        <w:gridCol w:w="945"/>
        <w:gridCol w:w="139"/>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Name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Plan Name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222"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Number of Years</w:t>
              <w:br/>
              <w:t>of Eligible Credited</w:t>
              <w:br/>
              <w:t>Service as of</w:t>
              <w:br/>
              <w:t>December 31, 2023(1)</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70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Present Value of</w:t>
              <w:br/>
              <w:t>Accumulated</w:t>
              <w:br/>
              <w:t>Benefits(2)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52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Payments</w:t>
              <w:br/>
              <w:t>During Last</w:t>
              <w:br/>
              <w:t>Fiscal Year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2342" w:type="dxa"/>
            <w:gridSpan w:val="5"/>
            <w:tcBorders/>
            <w:vAlign w:val="center"/>
          </w:tcPr>
          <w:p>
            <w:pPr>
              <w:pStyle w:val="TableContents"/>
              <w:bidi w:val="0"/>
              <w:spacing w:before="0" w:after="283"/>
              <w:jc w:val="left"/>
              <w:rPr>
                <w:sz w:val="4"/>
                <w:szCs w:val="4"/>
              </w:rPr>
            </w:pPr>
            <w:r>
              <w:rPr>
                <w:sz w:val="4"/>
                <w:szCs w:val="4"/>
              </w:rPr>
            </w:r>
          </w:p>
        </w:tc>
        <w:tc>
          <w:tcPr>
            <w:tcW w:w="1820"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Mary T. Barra</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SRP</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color w:val="3E3935"/>
              </w:rPr>
            </w:pPr>
            <w:r>
              <w:rPr>
                <w:color w:val="3E3935"/>
              </w:rPr>
              <w:t> </w:t>
            </w:r>
          </w:p>
        </w:tc>
        <w:tc>
          <w:tcPr>
            <w:tcW w:w="1679" w:type="dxa"/>
            <w:tcBorders/>
            <w:vAlign w:val="center"/>
          </w:tcPr>
          <w:p>
            <w:pPr>
              <w:pStyle w:val="TableContents"/>
              <w:bidi w:val="0"/>
              <w:spacing w:before="0" w:after="283"/>
              <w:jc w:val="right"/>
              <w:rPr>
                <w:color w:val="3E3935"/>
              </w:rPr>
            </w:pPr>
            <w:r>
              <w:rPr>
                <w:color w:val="3E3935"/>
              </w:rPr>
              <w:t>41.3</w:t>
            </w:r>
          </w:p>
        </w:tc>
        <w:tc>
          <w:tcPr>
            <w:tcW w:w="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1,191,304</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color w:val="3E3935"/>
              </w:rPr>
            </w:pPr>
            <w:r>
              <w:rPr>
                <w:color w:val="3E3935"/>
              </w:rPr>
              <w:t> </w:t>
            </w:r>
          </w:p>
        </w:tc>
        <w:tc>
          <w:tcPr>
            <w:tcW w:w="945" w:type="dxa"/>
            <w:tcBorders/>
            <w:vAlign w:val="center"/>
          </w:tcPr>
          <w:p>
            <w:pPr>
              <w:pStyle w:val="TableContents"/>
              <w:bidi w:val="0"/>
              <w:spacing w:before="0" w:after="283"/>
              <w:jc w:val="right"/>
              <w:rPr>
                <w:color w:val="3E3935"/>
              </w:rPr>
            </w:pPr>
            <w:r>
              <w:rPr>
                <w:color w:val="3E3935"/>
              </w:rPr>
              <w:t>—</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2342" w:type="dxa"/>
            <w:gridSpan w:val="5"/>
            <w:tcBorders/>
            <w:vAlign w:val="center"/>
          </w:tcPr>
          <w:p>
            <w:pPr>
              <w:pStyle w:val="TableContents"/>
              <w:bidi w:val="0"/>
              <w:spacing w:before="0" w:after="283"/>
              <w:jc w:val="left"/>
              <w:rPr>
                <w:sz w:val="4"/>
                <w:szCs w:val="4"/>
              </w:rPr>
            </w:pPr>
            <w:r>
              <w:rPr>
                <w:sz w:val="4"/>
                <w:szCs w:val="4"/>
              </w:rPr>
            </w:r>
          </w:p>
        </w:tc>
        <w:tc>
          <w:tcPr>
            <w:tcW w:w="1820"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DB ERP</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color w:val="3E3935"/>
              </w:rPr>
            </w:pPr>
            <w:r>
              <w:rPr>
                <w:color w:val="3E3935"/>
              </w:rPr>
              <w:t> </w:t>
            </w:r>
          </w:p>
        </w:tc>
        <w:tc>
          <w:tcPr>
            <w:tcW w:w="1679" w:type="dxa"/>
            <w:tcBorders/>
            <w:vAlign w:val="center"/>
          </w:tcPr>
          <w:p>
            <w:pPr>
              <w:pStyle w:val="TableContents"/>
              <w:bidi w:val="0"/>
              <w:spacing w:before="0" w:after="283"/>
              <w:jc w:val="right"/>
              <w:rPr>
                <w:color w:val="3E3935"/>
              </w:rPr>
            </w:pPr>
            <w:r>
              <w:rPr>
                <w:color w:val="3E3935"/>
              </w:rPr>
              <w:t>41.3</w:t>
            </w:r>
          </w:p>
        </w:tc>
        <w:tc>
          <w:tcPr>
            <w:tcW w:w="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917,126</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color w:val="3E3935"/>
              </w:rPr>
            </w:pPr>
            <w:r>
              <w:rPr>
                <w:color w:val="3E3935"/>
              </w:rPr>
              <w:t> </w:t>
            </w:r>
          </w:p>
        </w:tc>
        <w:tc>
          <w:tcPr>
            <w:tcW w:w="945" w:type="dxa"/>
            <w:tcBorders/>
            <w:vAlign w:val="center"/>
          </w:tcPr>
          <w:p>
            <w:pPr>
              <w:pStyle w:val="TableContents"/>
              <w:bidi w:val="0"/>
              <w:spacing w:before="0" w:after="283"/>
              <w:jc w:val="right"/>
              <w:rPr>
                <w:color w:val="3E3935"/>
              </w:rPr>
            </w:pPr>
            <w:r>
              <w:rPr>
                <w:color w:val="3E3935"/>
              </w:rPr>
              <w:t>—</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625" w:type="dxa"/>
            <w:tcBorders/>
            <w:shd w:fill="CCF2F8" w:val="clear"/>
            <w:vAlign w:val="center"/>
          </w:tcPr>
          <w:p>
            <w:pPr>
              <w:pStyle w:val="TableContents"/>
              <w:bidi w:val="0"/>
              <w:spacing w:before="0" w:after="283"/>
              <w:jc w:val="left"/>
              <w:rPr>
                <w:sz w:val="4"/>
                <w:szCs w:val="4"/>
              </w:rPr>
            </w:pPr>
            <w:r>
              <w:rPr>
                <w:sz w:val="4"/>
                <w:szCs w:val="4"/>
              </w:rPr>
            </w:r>
          </w:p>
        </w:tc>
        <w:tc>
          <w:tcPr>
            <w:tcW w:w="1265" w:type="dxa"/>
            <w:gridSpan w:val="5"/>
            <w:tcBorders/>
            <w:shd w:fill="CCF2F8" w:val="clear"/>
            <w:vAlign w:val="center"/>
          </w:tcPr>
          <w:p>
            <w:pPr>
              <w:pStyle w:val="TableContents"/>
              <w:bidi w:val="0"/>
              <w:spacing w:before="0" w:after="283"/>
              <w:jc w:val="left"/>
              <w:rPr>
                <w:sz w:val="4"/>
                <w:szCs w:val="4"/>
              </w:rPr>
            </w:pPr>
            <w:r>
              <w:rPr>
                <w:sz w:val="4"/>
                <w:szCs w:val="4"/>
              </w:rPr>
            </w:r>
          </w:p>
        </w:tc>
        <w:tc>
          <w:tcPr>
            <w:tcW w:w="2342" w:type="dxa"/>
            <w:gridSpan w:val="5"/>
            <w:tcBorders/>
            <w:shd w:fill="CCF2F8" w:val="clear"/>
            <w:vAlign w:val="center"/>
          </w:tcPr>
          <w:p>
            <w:pPr>
              <w:pStyle w:val="TableContents"/>
              <w:bidi w:val="0"/>
              <w:spacing w:before="0" w:after="283"/>
              <w:jc w:val="left"/>
              <w:rPr>
                <w:sz w:val="4"/>
                <w:szCs w:val="4"/>
              </w:rPr>
            </w:pPr>
            <w:r>
              <w:rPr>
                <w:sz w:val="4"/>
                <w:szCs w:val="4"/>
              </w:rPr>
            </w:r>
          </w:p>
        </w:tc>
        <w:tc>
          <w:tcPr>
            <w:tcW w:w="1820" w:type="dxa"/>
            <w:gridSpan w:val="5"/>
            <w:tcBorders/>
            <w:shd w:fill="CCF2F8" w:val="clear"/>
            <w:vAlign w:val="center"/>
          </w:tcPr>
          <w:p>
            <w:pPr>
              <w:pStyle w:val="TableContents"/>
              <w:bidi w:val="0"/>
              <w:spacing w:before="0" w:after="283"/>
              <w:jc w:val="left"/>
              <w:rPr>
                <w:sz w:val="4"/>
                <w:szCs w:val="4"/>
              </w:rPr>
            </w:pPr>
            <w:r>
              <w:rPr>
                <w:sz w:val="4"/>
                <w:szCs w:val="4"/>
              </w:rPr>
            </w:r>
          </w:p>
        </w:tc>
        <w:tc>
          <w:tcPr>
            <w:tcW w:w="1640"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162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Paul A. Jacobson(3)</w:t>
            </w:r>
          </w:p>
        </w:tc>
        <w:tc>
          <w:tcPr>
            <w:tcW w:w="12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984" w:type="dxa"/>
            <w:tcBorders/>
            <w:shd w:fill="CCF2F8" w:val="clear"/>
            <w:vAlign w:val="center"/>
          </w:tcPr>
          <w:p>
            <w:pPr>
              <w:pStyle w:val="TableContents"/>
              <w:bidi w:val="0"/>
              <w:spacing w:before="0" w:after="283"/>
              <w:jc w:val="right"/>
              <w:rPr>
                <w:color w:val="3E3935"/>
              </w:rPr>
            </w:pPr>
            <w:r>
              <w:rPr>
                <w:color w:val="3E3935"/>
              </w:rPr>
              <w:t>—</w:t>
            </w:r>
          </w:p>
        </w:tc>
        <w:tc>
          <w:tcPr>
            <w:tcW w:w="27"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227" w:type="dxa"/>
            <w:tcBorders/>
            <w:shd w:fill="CCF2F8" w:val="clear"/>
            <w:vAlign w:val="center"/>
          </w:tcPr>
          <w:p>
            <w:pPr>
              <w:pStyle w:val="TableContents"/>
              <w:bidi w:val="0"/>
              <w:spacing w:before="0" w:after="283"/>
              <w:jc w:val="left"/>
              <w:rPr/>
            </w:pPr>
            <w:r>
              <w:rPr/>
              <w:t> </w:t>
            </w:r>
          </w:p>
        </w:tc>
        <w:tc>
          <w:tcPr>
            <w:tcW w:w="227" w:type="dxa"/>
            <w:tcBorders/>
            <w:shd w:fill="CCF2F8" w:val="clear"/>
            <w:vAlign w:val="center"/>
          </w:tcPr>
          <w:p>
            <w:pPr>
              <w:pStyle w:val="TableContents"/>
              <w:bidi w:val="0"/>
              <w:spacing w:before="0" w:after="283"/>
              <w:jc w:val="left"/>
              <w:rPr>
                <w:color w:val="3E3935"/>
              </w:rPr>
            </w:pPr>
            <w:r>
              <w:rPr>
                <w:color w:val="3E3935"/>
              </w:rPr>
              <w:t> </w:t>
            </w:r>
          </w:p>
        </w:tc>
        <w:tc>
          <w:tcPr>
            <w:tcW w:w="1679" w:type="dxa"/>
            <w:tcBorders/>
            <w:shd w:fill="CCF2F8" w:val="clear"/>
            <w:vAlign w:val="center"/>
          </w:tcPr>
          <w:p>
            <w:pPr>
              <w:pStyle w:val="TableContents"/>
              <w:bidi w:val="0"/>
              <w:spacing w:before="0" w:after="283"/>
              <w:jc w:val="right"/>
              <w:rPr>
                <w:color w:val="3E3935"/>
              </w:rPr>
            </w:pPr>
            <w:r>
              <w:rPr>
                <w:color w:val="3E3935"/>
              </w:rPr>
              <w:t>—</w:t>
            </w:r>
          </w:p>
        </w:tc>
        <w:tc>
          <w:tcPr>
            <w:tcW w:w="89"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color w:val="3E3935"/>
              </w:rPr>
            </w:pPr>
            <w:r>
              <w:rPr>
                <w:color w:val="3E3935"/>
              </w:rPr>
              <w:t> </w:t>
            </w:r>
          </w:p>
        </w:tc>
        <w:tc>
          <w:tcPr>
            <w:tcW w:w="1483" w:type="dxa"/>
            <w:tcBorders/>
            <w:shd w:fill="CCF2F8" w:val="clear"/>
            <w:vAlign w:val="center"/>
          </w:tcPr>
          <w:p>
            <w:pPr>
              <w:pStyle w:val="TableContents"/>
              <w:bidi w:val="0"/>
              <w:spacing w:before="0" w:after="283"/>
              <w:jc w:val="right"/>
              <w:rPr>
                <w:color w:val="3E3935"/>
              </w:rPr>
            </w:pPr>
            <w:r>
              <w:rPr>
                <w:color w:val="3E3935"/>
              </w:rPr>
              <w:t>—</w:t>
            </w:r>
          </w:p>
        </w:tc>
        <w:tc>
          <w:tcPr>
            <w:tcW w:w="37"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218" w:type="dxa"/>
            <w:tcBorders/>
            <w:shd w:fill="CCF2F8" w:val="clear"/>
            <w:vAlign w:val="center"/>
          </w:tcPr>
          <w:p>
            <w:pPr>
              <w:pStyle w:val="TableContents"/>
              <w:bidi w:val="0"/>
              <w:spacing w:before="0" w:after="283"/>
              <w:jc w:val="left"/>
              <w:rPr/>
            </w:pPr>
            <w:r>
              <w:rPr/>
              <w:t> </w:t>
            </w:r>
          </w:p>
        </w:tc>
        <w:tc>
          <w:tcPr>
            <w:tcW w:w="218" w:type="dxa"/>
            <w:tcBorders/>
            <w:shd w:fill="CCF2F8" w:val="clear"/>
            <w:vAlign w:val="center"/>
          </w:tcPr>
          <w:p>
            <w:pPr>
              <w:pStyle w:val="TableContents"/>
              <w:bidi w:val="0"/>
              <w:spacing w:before="0" w:after="283"/>
              <w:jc w:val="left"/>
              <w:rPr>
                <w:color w:val="3E3935"/>
              </w:rPr>
            </w:pPr>
            <w:r>
              <w:rPr>
                <w:color w:val="3E3935"/>
              </w:rPr>
              <w:t> </w:t>
            </w:r>
          </w:p>
        </w:tc>
        <w:tc>
          <w:tcPr>
            <w:tcW w:w="945" w:type="dxa"/>
            <w:tcBorders/>
            <w:shd w:fill="CCF2F8" w:val="clear"/>
            <w:vAlign w:val="center"/>
          </w:tcPr>
          <w:p>
            <w:pPr>
              <w:pStyle w:val="TableContents"/>
              <w:bidi w:val="0"/>
              <w:spacing w:before="0" w:after="283"/>
              <w:jc w:val="right"/>
              <w:rPr>
                <w:color w:val="3E3935"/>
              </w:rPr>
            </w:pPr>
            <w:r>
              <w:rPr>
                <w:color w:val="3E3935"/>
              </w:rPr>
              <w:t>—</w:t>
            </w:r>
          </w:p>
        </w:tc>
        <w:tc>
          <w:tcPr>
            <w:tcW w:w="139" w:type="dxa"/>
            <w:tcBorders/>
            <w:shd w:fill="CCF2F8" w:val="cle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2342" w:type="dxa"/>
            <w:gridSpan w:val="5"/>
            <w:tcBorders/>
            <w:vAlign w:val="center"/>
          </w:tcPr>
          <w:p>
            <w:pPr>
              <w:pStyle w:val="TableContents"/>
              <w:bidi w:val="0"/>
              <w:spacing w:before="0" w:after="283"/>
              <w:jc w:val="left"/>
              <w:rPr>
                <w:sz w:val="4"/>
                <w:szCs w:val="4"/>
              </w:rPr>
            </w:pPr>
            <w:r>
              <w:rPr>
                <w:sz w:val="4"/>
                <w:szCs w:val="4"/>
              </w:rPr>
            </w:r>
          </w:p>
        </w:tc>
        <w:tc>
          <w:tcPr>
            <w:tcW w:w="1820"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L. Reuss</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SRP</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color w:val="3E3935"/>
              </w:rPr>
            </w:pPr>
            <w:r>
              <w:rPr>
                <w:color w:val="3E3935"/>
              </w:rPr>
              <w:t> </w:t>
            </w:r>
          </w:p>
        </w:tc>
        <w:tc>
          <w:tcPr>
            <w:tcW w:w="1679" w:type="dxa"/>
            <w:tcBorders/>
            <w:vAlign w:val="center"/>
          </w:tcPr>
          <w:p>
            <w:pPr>
              <w:pStyle w:val="TableContents"/>
              <w:bidi w:val="0"/>
              <w:spacing w:before="0" w:after="283"/>
              <w:jc w:val="right"/>
              <w:rPr>
                <w:color w:val="3E3935"/>
              </w:rPr>
            </w:pPr>
            <w:r>
              <w:rPr>
                <w:color w:val="3E3935"/>
              </w:rPr>
              <w:t>36.8</w:t>
            </w:r>
          </w:p>
        </w:tc>
        <w:tc>
          <w:tcPr>
            <w:tcW w:w="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954,156</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color w:val="3E3935"/>
              </w:rPr>
            </w:pPr>
            <w:r>
              <w:rPr>
                <w:color w:val="3E3935"/>
              </w:rPr>
              <w:t> </w:t>
            </w:r>
          </w:p>
        </w:tc>
        <w:tc>
          <w:tcPr>
            <w:tcW w:w="945" w:type="dxa"/>
            <w:tcBorders/>
            <w:vAlign w:val="center"/>
          </w:tcPr>
          <w:p>
            <w:pPr>
              <w:pStyle w:val="TableContents"/>
              <w:bidi w:val="0"/>
              <w:spacing w:before="0" w:after="283"/>
              <w:jc w:val="right"/>
              <w:rPr>
                <w:color w:val="3E3935"/>
              </w:rPr>
            </w:pPr>
            <w:r>
              <w:rPr>
                <w:color w:val="3E3935"/>
              </w:rPr>
              <w:t>—</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2342" w:type="dxa"/>
            <w:gridSpan w:val="5"/>
            <w:tcBorders/>
            <w:vAlign w:val="center"/>
          </w:tcPr>
          <w:p>
            <w:pPr>
              <w:pStyle w:val="TableContents"/>
              <w:bidi w:val="0"/>
              <w:spacing w:before="0" w:after="283"/>
              <w:jc w:val="left"/>
              <w:rPr>
                <w:sz w:val="4"/>
                <w:szCs w:val="4"/>
              </w:rPr>
            </w:pPr>
            <w:r>
              <w:rPr>
                <w:sz w:val="4"/>
                <w:szCs w:val="4"/>
              </w:rPr>
            </w:r>
          </w:p>
        </w:tc>
        <w:tc>
          <w:tcPr>
            <w:tcW w:w="1820"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984" w:type="dxa"/>
            <w:tcBorders/>
            <w:vAlign w:val="center"/>
          </w:tcPr>
          <w:p>
            <w:pPr>
              <w:pStyle w:val="TableContents"/>
              <w:bidi w:val="0"/>
              <w:spacing w:before="0" w:after="283"/>
              <w:jc w:val="right"/>
              <w:rPr>
                <w:color w:val="3E3935"/>
              </w:rPr>
            </w:pPr>
            <w:r>
              <w:rPr>
                <w:color w:val="3E3935"/>
              </w:rPr>
              <w:t>DB ERP</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color w:val="3E3935"/>
              </w:rPr>
            </w:pPr>
            <w:r>
              <w:rPr>
                <w:color w:val="3E3935"/>
              </w:rPr>
              <w:t> </w:t>
            </w:r>
          </w:p>
        </w:tc>
        <w:tc>
          <w:tcPr>
            <w:tcW w:w="1679" w:type="dxa"/>
            <w:tcBorders/>
            <w:vAlign w:val="center"/>
          </w:tcPr>
          <w:p>
            <w:pPr>
              <w:pStyle w:val="TableContents"/>
              <w:bidi w:val="0"/>
              <w:spacing w:before="0" w:after="283"/>
              <w:jc w:val="right"/>
              <w:rPr>
                <w:color w:val="3E3935"/>
              </w:rPr>
            </w:pPr>
            <w:r>
              <w:rPr>
                <w:color w:val="3E3935"/>
              </w:rPr>
              <w:t>36.8</w:t>
            </w:r>
          </w:p>
        </w:tc>
        <w:tc>
          <w:tcPr>
            <w:tcW w:w="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3E3935"/>
              </w:rPr>
            </w:pPr>
            <w:r>
              <w:rPr>
                <w:color w:val="3E3935"/>
              </w:rPr>
              <w:t> </w:t>
            </w:r>
          </w:p>
        </w:tc>
        <w:tc>
          <w:tcPr>
            <w:tcW w:w="1483" w:type="dxa"/>
            <w:tcBorders/>
            <w:vAlign w:val="center"/>
          </w:tcPr>
          <w:p>
            <w:pPr>
              <w:pStyle w:val="TableContents"/>
              <w:bidi w:val="0"/>
              <w:spacing w:before="0" w:after="283"/>
              <w:jc w:val="right"/>
              <w:rPr>
                <w:color w:val="3E3935"/>
              </w:rPr>
            </w:pPr>
            <w:r>
              <w:rPr>
                <w:color w:val="3E3935"/>
              </w:rPr>
              <w:t>630,925</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color w:val="3E3935"/>
              </w:rPr>
            </w:pPr>
            <w:r>
              <w:rPr>
                <w:color w:val="3E3935"/>
              </w:rPr>
              <w:t> </w:t>
            </w:r>
          </w:p>
        </w:tc>
        <w:tc>
          <w:tcPr>
            <w:tcW w:w="945" w:type="dxa"/>
            <w:tcBorders/>
            <w:vAlign w:val="center"/>
          </w:tcPr>
          <w:p>
            <w:pPr>
              <w:pStyle w:val="TableContents"/>
              <w:bidi w:val="0"/>
              <w:spacing w:before="0" w:after="283"/>
              <w:jc w:val="right"/>
              <w:rPr>
                <w:color w:val="3E3935"/>
              </w:rPr>
            </w:pPr>
            <w:r>
              <w:rPr>
                <w:color w:val="3E3935"/>
              </w:rPr>
              <w:t>—</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625" w:type="dxa"/>
            <w:tcBorders/>
            <w:shd w:fill="CCF2F8" w:val="clear"/>
            <w:vAlign w:val="center"/>
          </w:tcPr>
          <w:p>
            <w:pPr>
              <w:pStyle w:val="TableContents"/>
              <w:bidi w:val="0"/>
              <w:spacing w:before="0" w:after="283"/>
              <w:jc w:val="left"/>
              <w:rPr>
                <w:sz w:val="4"/>
                <w:szCs w:val="4"/>
              </w:rPr>
            </w:pPr>
            <w:r>
              <w:rPr>
                <w:sz w:val="4"/>
                <w:szCs w:val="4"/>
              </w:rPr>
            </w:r>
          </w:p>
        </w:tc>
        <w:tc>
          <w:tcPr>
            <w:tcW w:w="1265" w:type="dxa"/>
            <w:gridSpan w:val="5"/>
            <w:tcBorders/>
            <w:shd w:fill="CCF2F8" w:val="clear"/>
            <w:vAlign w:val="center"/>
          </w:tcPr>
          <w:p>
            <w:pPr>
              <w:pStyle w:val="TableContents"/>
              <w:bidi w:val="0"/>
              <w:spacing w:before="0" w:after="283"/>
              <w:jc w:val="left"/>
              <w:rPr>
                <w:sz w:val="4"/>
                <w:szCs w:val="4"/>
              </w:rPr>
            </w:pPr>
            <w:r>
              <w:rPr>
                <w:sz w:val="4"/>
                <w:szCs w:val="4"/>
              </w:rPr>
            </w:r>
          </w:p>
        </w:tc>
        <w:tc>
          <w:tcPr>
            <w:tcW w:w="2342" w:type="dxa"/>
            <w:gridSpan w:val="5"/>
            <w:tcBorders/>
            <w:shd w:fill="CCF2F8" w:val="clear"/>
            <w:vAlign w:val="center"/>
          </w:tcPr>
          <w:p>
            <w:pPr>
              <w:pStyle w:val="TableContents"/>
              <w:bidi w:val="0"/>
              <w:spacing w:before="0" w:after="283"/>
              <w:jc w:val="left"/>
              <w:rPr>
                <w:sz w:val="4"/>
                <w:szCs w:val="4"/>
              </w:rPr>
            </w:pPr>
            <w:r>
              <w:rPr>
                <w:sz w:val="4"/>
                <w:szCs w:val="4"/>
              </w:rPr>
            </w:r>
          </w:p>
        </w:tc>
        <w:tc>
          <w:tcPr>
            <w:tcW w:w="1820" w:type="dxa"/>
            <w:gridSpan w:val="5"/>
            <w:tcBorders/>
            <w:shd w:fill="CCF2F8" w:val="clear"/>
            <w:vAlign w:val="center"/>
          </w:tcPr>
          <w:p>
            <w:pPr>
              <w:pStyle w:val="TableContents"/>
              <w:bidi w:val="0"/>
              <w:spacing w:before="0" w:after="283"/>
              <w:jc w:val="left"/>
              <w:rPr>
                <w:sz w:val="4"/>
                <w:szCs w:val="4"/>
              </w:rPr>
            </w:pPr>
            <w:r>
              <w:rPr>
                <w:sz w:val="4"/>
                <w:szCs w:val="4"/>
              </w:rPr>
            </w:r>
          </w:p>
        </w:tc>
        <w:tc>
          <w:tcPr>
            <w:tcW w:w="1640"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162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Michael Abbott(3)</w:t>
            </w:r>
          </w:p>
        </w:tc>
        <w:tc>
          <w:tcPr>
            <w:tcW w:w="12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984" w:type="dxa"/>
            <w:tcBorders/>
            <w:shd w:fill="CCF2F8" w:val="clear"/>
            <w:vAlign w:val="center"/>
          </w:tcPr>
          <w:p>
            <w:pPr>
              <w:pStyle w:val="TableContents"/>
              <w:bidi w:val="0"/>
              <w:spacing w:before="0" w:after="283"/>
              <w:jc w:val="right"/>
              <w:rPr>
                <w:color w:val="3E3935"/>
              </w:rPr>
            </w:pPr>
            <w:r>
              <w:rPr>
                <w:color w:val="3E3935"/>
              </w:rPr>
              <w:t>—</w:t>
            </w:r>
          </w:p>
        </w:tc>
        <w:tc>
          <w:tcPr>
            <w:tcW w:w="27"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227" w:type="dxa"/>
            <w:tcBorders/>
            <w:shd w:fill="CCF2F8" w:val="clear"/>
            <w:vAlign w:val="center"/>
          </w:tcPr>
          <w:p>
            <w:pPr>
              <w:pStyle w:val="TableContents"/>
              <w:bidi w:val="0"/>
              <w:spacing w:before="0" w:after="283"/>
              <w:jc w:val="left"/>
              <w:rPr/>
            </w:pPr>
            <w:r>
              <w:rPr/>
              <w:t> </w:t>
            </w:r>
          </w:p>
        </w:tc>
        <w:tc>
          <w:tcPr>
            <w:tcW w:w="227" w:type="dxa"/>
            <w:tcBorders/>
            <w:shd w:fill="CCF2F8" w:val="clear"/>
            <w:vAlign w:val="center"/>
          </w:tcPr>
          <w:p>
            <w:pPr>
              <w:pStyle w:val="TableContents"/>
              <w:bidi w:val="0"/>
              <w:spacing w:before="0" w:after="283"/>
              <w:jc w:val="left"/>
              <w:rPr>
                <w:color w:val="3E3935"/>
              </w:rPr>
            </w:pPr>
            <w:r>
              <w:rPr>
                <w:color w:val="3E3935"/>
              </w:rPr>
              <w:t> </w:t>
            </w:r>
          </w:p>
        </w:tc>
        <w:tc>
          <w:tcPr>
            <w:tcW w:w="1679" w:type="dxa"/>
            <w:tcBorders/>
            <w:shd w:fill="CCF2F8" w:val="clear"/>
            <w:vAlign w:val="center"/>
          </w:tcPr>
          <w:p>
            <w:pPr>
              <w:pStyle w:val="TableContents"/>
              <w:bidi w:val="0"/>
              <w:spacing w:before="0" w:after="283"/>
              <w:jc w:val="right"/>
              <w:rPr>
                <w:color w:val="3E3935"/>
              </w:rPr>
            </w:pPr>
            <w:r>
              <w:rPr>
                <w:color w:val="3E3935"/>
              </w:rPr>
              <w:t>—</w:t>
            </w:r>
          </w:p>
        </w:tc>
        <w:tc>
          <w:tcPr>
            <w:tcW w:w="89"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pPr>
            <w:r>
              <w:rPr/>
              <w:t> </w:t>
            </w:r>
          </w:p>
        </w:tc>
        <w:tc>
          <w:tcPr>
            <w:tcW w:w="90" w:type="dxa"/>
            <w:tcBorders/>
            <w:shd w:fill="CCF2F8" w:val="clear"/>
            <w:vAlign w:val="center"/>
          </w:tcPr>
          <w:p>
            <w:pPr>
              <w:pStyle w:val="TableContents"/>
              <w:bidi w:val="0"/>
              <w:spacing w:before="0" w:after="283"/>
              <w:jc w:val="left"/>
              <w:rPr>
                <w:color w:val="3E3935"/>
              </w:rPr>
            </w:pPr>
            <w:r>
              <w:rPr>
                <w:color w:val="3E3935"/>
              </w:rPr>
              <w:t> </w:t>
            </w:r>
          </w:p>
        </w:tc>
        <w:tc>
          <w:tcPr>
            <w:tcW w:w="1483" w:type="dxa"/>
            <w:tcBorders/>
            <w:shd w:fill="CCF2F8" w:val="clear"/>
            <w:vAlign w:val="center"/>
          </w:tcPr>
          <w:p>
            <w:pPr>
              <w:pStyle w:val="TableContents"/>
              <w:bidi w:val="0"/>
              <w:spacing w:before="0" w:after="283"/>
              <w:jc w:val="right"/>
              <w:rPr>
                <w:color w:val="3E3935"/>
              </w:rPr>
            </w:pPr>
            <w:r>
              <w:rPr>
                <w:color w:val="3E3935"/>
              </w:rPr>
              <w:t>—</w:t>
            </w:r>
          </w:p>
        </w:tc>
        <w:tc>
          <w:tcPr>
            <w:tcW w:w="37"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218" w:type="dxa"/>
            <w:tcBorders/>
            <w:shd w:fill="CCF2F8" w:val="clear"/>
            <w:vAlign w:val="center"/>
          </w:tcPr>
          <w:p>
            <w:pPr>
              <w:pStyle w:val="TableContents"/>
              <w:bidi w:val="0"/>
              <w:spacing w:before="0" w:after="283"/>
              <w:jc w:val="left"/>
              <w:rPr/>
            </w:pPr>
            <w:r>
              <w:rPr/>
              <w:t> </w:t>
            </w:r>
          </w:p>
        </w:tc>
        <w:tc>
          <w:tcPr>
            <w:tcW w:w="218" w:type="dxa"/>
            <w:tcBorders/>
            <w:shd w:fill="CCF2F8" w:val="clear"/>
            <w:vAlign w:val="center"/>
          </w:tcPr>
          <w:p>
            <w:pPr>
              <w:pStyle w:val="TableContents"/>
              <w:bidi w:val="0"/>
              <w:spacing w:before="0" w:after="283"/>
              <w:jc w:val="left"/>
              <w:rPr>
                <w:color w:val="3E3935"/>
              </w:rPr>
            </w:pPr>
            <w:r>
              <w:rPr>
                <w:color w:val="3E3935"/>
              </w:rPr>
              <w:t> </w:t>
            </w:r>
          </w:p>
        </w:tc>
        <w:tc>
          <w:tcPr>
            <w:tcW w:w="945" w:type="dxa"/>
            <w:tcBorders/>
            <w:shd w:fill="CCF2F8" w:val="clear"/>
            <w:vAlign w:val="center"/>
          </w:tcPr>
          <w:p>
            <w:pPr>
              <w:pStyle w:val="TableContents"/>
              <w:bidi w:val="0"/>
              <w:spacing w:before="0" w:after="283"/>
              <w:jc w:val="right"/>
              <w:rPr>
                <w:color w:val="3E3935"/>
              </w:rPr>
            </w:pPr>
            <w:r>
              <w:rPr>
                <w:color w:val="3E3935"/>
              </w:rPr>
              <w:t>—</w:t>
            </w:r>
          </w:p>
        </w:tc>
        <w:tc>
          <w:tcPr>
            <w:tcW w:w="139" w:type="dxa"/>
            <w:tcBorders/>
            <w:shd w:fill="CCF2F8" w:val="cle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2342" w:type="dxa"/>
            <w:gridSpan w:val="5"/>
            <w:tcBorders/>
            <w:vAlign w:val="center"/>
          </w:tcPr>
          <w:p>
            <w:pPr>
              <w:pStyle w:val="TableContents"/>
              <w:bidi w:val="0"/>
              <w:spacing w:before="0" w:after="283"/>
              <w:jc w:val="left"/>
              <w:rPr>
                <w:sz w:val="4"/>
                <w:szCs w:val="4"/>
              </w:rPr>
            </w:pPr>
            <w:r>
              <w:rPr>
                <w:sz w:val="4"/>
                <w:szCs w:val="4"/>
              </w:rPr>
            </w:r>
          </w:p>
        </w:tc>
        <w:tc>
          <w:tcPr>
            <w:tcW w:w="1820"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71CE"/>
            </w:tcBorders>
            <w:tcMar>
              <w:bottom w:w="6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Craig B. Glidden(3)</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7" w:type="dxa"/>
            <w:tcBorders>
              <w:bottom w:val="single" w:sz="6" w:space="0" w:color="0071CE"/>
            </w:tcBorders>
            <w:tcMar>
              <w:bottom w:w="28" w:type="dxa"/>
            </w:tcMar>
            <w:vAlign w:val="center"/>
          </w:tcPr>
          <w:p>
            <w:pPr>
              <w:pStyle w:val="TableContents"/>
              <w:bidi w:val="0"/>
              <w:spacing w:before="0" w:after="283"/>
              <w:jc w:val="left"/>
              <w:rPr/>
            </w:pPr>
            <w:r>
              <w:rPr/>
              <w:t> </w:t>
            </w:r>
          </w:p>
        </w:tc>
        <w:tc>
          <w:tcPr>
            <w:tcW w:w="67"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984"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27"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27" w:type="dxa"/>
            <w:tcBorders>
              <w:bottom w:val="single" w:sz="6" w:space="0" w:color="0071CE"/>
            </w:tcBorders>
            <w:tcMar>
              <w:bottom w:w="28" w:type="dxa"/>
            </w:tcMar>
            <w:vAlign w:val="center"/>
          </w:tcPr>
          <w:p>
            <w:pPr>
              <w:pStyle w:val="TableContents"/>
              <w:bidi w:val="0"/>
              <w:spacing w:before="0" w:after="283"/>
              <w:jc w:val="left"/>
              <w:rPr/>
            </w:pPr>
            <w:r>
              <w:rPr/>
              <w:t> </w:t>
            </w:r>
          </w:p>
        </w:tc>
        <w:tc>
          <w:tcPr>
            <w:tcW w:w="227"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679"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89"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0" w:type="dxa"/>
            <w:tcBorders>
              <w:bottom w:val="single" w:sz="6" w:space="0" w:color="0071CE"/>
            </w:tcBorders>
            <w:tcMar>
              <w:bottom w:w="28" w:type="dxa"/>
            </w:tcMar>
            <w:vAlign w:val="center"/>
          </w:tcPr>
          <w:p>
            <w:pPr>
              <w:pStyle w:val="TableContents"/>
              <w:bidi w:val="0"/>
              <w:spacing w:before="0" w:after="283"/>
              <w:jc w:val="left"/>
              <w:rPr/>
            </w:pPr>
            <w:r>
              <w:rPr/>
              <w:t> </w:t>
            </w:r>
          </w:p>
        </w:tc>
        <w:tc>
          <w:tcPr>
            <w:tcW w:w="9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483"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37"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18" w:type="dxa"/>
            <w:tcBorders>
              <w:bottom w:val="single" w:sz="6" w:space="0" w:color="0071CE"/>
            </w:tcBorders>
            <w:tcMar>
              <w:bottom w:w="28" w:type="dxa"/>
            </w:tcMar>
            <w:vAlign w:val="center"/>
          </w:tcPr>
          <w:p>
            <w:pPr>
              <w:pStyle w:val="TableContents"/>
              <w:bidi w:val="0"/>
              <w:spacing w:before="0" w:after="283"/>
              <w:jc w:val="left"/>
              <w:rPr/>
            </w:pPr>
            <w:r>
              <w:rPr/>
              <w:t> </w:t>
            </w:r>
          </w:p>
        </w:tc>
        <w:tc>
          <w:tcPr>
            <w:tcW w:w="218"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945"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139"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305"/>
        <w:gridCol w:w="9440"/>
      </w:tblGrid>
      <w:tr>
        <w:trPr/>
        <w:tc>
          <w:tcPr>
            <w:tcW w:w="305" w:type="dxa"/>
            <w:tcBorders/>
            <w:vAlign w:val="center"/>
          </w:tcPr>
          <w:p>
            <w:pPr>
              <w:pStyle w:val="TableContents"/>
              <w:bidi w:val="0"/>
              <w:spacing w:before="0" w:after="283"/>
              <w:jc w:val="left"/>
              <w:rPr>
                <w:color w:val="3E3935"/>
              </w:rPr>
            </w:pPr>
            <w:r>
              <w:rPr>
                <w:color w:val="3E3935"/>
              </w:rPr>
              <w:t>(1)</w:t>
            </w:r>
          </w:p>
        </w:tc>
        <w:tc>
          <w:tcPr>
            <w:tcW w:w="944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Eligible service recognizes credited service under the frozen qualified SRP in addition to future service to determine retirement eligibility.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3E3935"/>
              </w:rPr>
            </w:pPr>
            <w:r>
              <w:rPr>
                <w:color w:val="3E3935"/>
              </w:rPr>
              <w:t>(2)</w:t>
            </w:r>
          </w:p>
        </w:tc>
        <w:tc>
          <w:tcPr>
            <w:tcW w:w="9961"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2023, FASB ASC Topic 715, “Compensation-Retirement Benefits,” except where needed to meet proxy statement requirements. The discount rates used for calculations as of December 31, 2023, for the SRP is 5.18% and for the DB ERP is 5.07%.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color w:val="3E3935"/>
              </w:rPr>
            </w:pPr>
            <w:r>
              <w:rPr>
                <w:color w:val="3E3935"/>
              </w:rPr>
              <w:t>(3)</w:t>
            </w:r>
          </w:p>
        </w:tc>
        <w:tc>
          <w:tcPr>
            <w:tcW w:w="9901"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Messrs. Jacobson, Abbott, and Glidden are only eligible to participate in DC ERP plan offered by the Company based on their date of service. </w:t>
            </w:r>
          </w:p>
        </w:tc>
      </w:tr>
    </w:tbl>
    <w:p>
      <w:pPr>
        <w:pStyle w:val="TextBody"/>
        <w:bidi w:val="0"/>
        <w:spacing w:before="360" w:after="0"/>
        <w:jc w:val="left"/>
        <w:rPr>
          <w:rFonts w:ascii="arial" w:hAnsi="arial"/>
          <w:b/>
          <w:color w:val="0071CE"/>
          <w:sz w:val="28"/>
        </w:rPr>
      </w:pPr>
      <w:bookmarkStart w:id="38" w:name="toc648661_36"/>
      <w:bookmarkEnd w:id="38"/>
      <w:r>
        <w:rPr>
          <w:rFonts w:ascii="arial" w:hAnsi="arial"/>
          <w:b/>
          <w:color w:val="0071CE"/>
          <w:sz w:val="28"/>
        </w:rPr>
        <w:t xml:space="preserve">Nonqualified Deferred Compensation Plan </w:t>
      </w:r>
    </w:p>
    <w:p>
      <w:pPr>
        <w:pStyle w:val="TextBody"/>
        <w:bidi w:val="0"/>
        <w:spacing w:before="120" w:after="0"/>
        <w:jc w:val="both"/>
        <w:rPr>
          <w:rFonts w:ascii="arial" w:hAnsi="arial"/>
          <w:color w:val="3E3935"/>
          <w:sz w:val="18"/>
        </w:rPr>
      </w:pPr>
      <w:r>
        <w:rPr>
          <w:rFonts w:ascii="arial" w:hAnsi="arial"/>
          <w:color w:val="3E3935"/>
          <w:sz w:val="18"/>
        </w:rPr>
        <w:t xml:space="preserve">We maintain certain deferred compensation programs and arrangements for executives. </w:t>
      </w:r>
    </w:p>
    <w:p>
      <w:pPr>
        <w:pStyle w:val="TextBody"/>
        <w:bidi w:val="0"/>
        <w:spacing w:before="120" w:after="0"/>
        <w:jc w:val="both"/>
        <w:rPr>
          <w:rFonts w:ascii="arial" w:hAnsi="arial"/>
          <w:color w:val="3E3935"/>
          <w:sz w:val="18"/>
        </w:rPr>
      </w:pPr>
      <w:r>
        <w:rPr>
          <w:rFonts w:ascii="arial" w:hAnsi="arial"/>
          <w:color w:val="3E3935"/>
          <w:sz w:val="18"/>
        </w:rPr>
        <w:t xml:space="preserve">The Defined Contribution Executive Retirement Plan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415(c)(1)(A) of the IRC, as amended. The DC ERP is maintained as an unfunded plan, and we bear all expenses for administration of the plan and payment of amounts to participants. </w:t>
      </w:r>
    </w:p>
    <w:p>
      <w:pPr>
        <w:pStyle w:val="TextBody"/>
        <w:bidi w:val="0"/>
        <w:spacing w:before="120" w:after="0"/>
        <w:jc w:val="both"/>
        <w:rPr>
          <w:rFonts w:ascii="arial" w:hAnsi="arial"/>
          <w:color w:val="3E3935"/>
          <w:sz w:val="18"/>
        </w:rPr>
      </w:pPr>
      <w:r>
        <w:rPr>
          <w:rFonts w:ascii="arial" w:hAnsi="arial"/>
          <w:color w:val="3E3935"/>
          <w:sz w:val="18"/>
        </w:rPr>
        <w:t xml:space="preserve">Aggregate account balances disclosed below include both vested and unvested contributions made by the Company. Contributions made prior to 2007 vested immediately. Contributions made between January 1, 2007, and September 30, 2012, vest when the participant attains age 55 with 10 years of service, and the benefit is payable as a five-year certain annuity with payments starting upon the retirement of the executive and continuing for 60 months. Contributions made on or after October 1, 2012, vest when the participant attains three years of service, regardless of age, and the benefit is payable as a 100 percent lump sum upon the retirement of the executive. </w:t>
      </w:r>
    </w:p>
    <w:p>
      <w:pPr>
        <w:pStyle w:val="TextBody"/>
        <w:bidi w:val="0"/>
        <w:spacing w:before="120" w:after="0"/>
        <w:jc w:val="both"/>
        <w:rPr>
          <w:rFonts w:ascii="arial" w:hAnsi="arial"/>
          <w:color w:val="3E3935"/>
          <w:sz w:val="18"/>
        </w:rPr>
      </w:pPr>
      <w:r>
        <w:rPr>
          <w:rFonts w:ascii="arial" w:hAnsi="arial"/>
          <w:color w:val="3E3935"/>
          <w:sz w:val="18"/>
        </w:rPr>
        <w:t xml:space="preserve">The table below reflects December 31, 2023, balances for the nonqualified deferred compensation plan and any contributions, earnings, or withdrawals during the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08"/>
        <w:gridCol w:w="120"/>
        <w:gridCol w:w="60"/>
        <w:gridCol w:w="60"/>
        <w:gridCol w:w="875"/>
        <w:gridCol w:w="23"/>
        <w:gridCol w:w="120"/>
        <w:gridCol w:w="224"/>
        <w:gridCol w:w="224"/>
        <w:gridCol w:w="970"/>
        <w:gridCol w:w="87"/>
        <w:gridCol w:w="120"/>
        <w:gridCol w:w="97"/>
        <w:gridCol w:w="97"/>
        <w:gridCol w:w="1314"/>
        <w:gridCol w:w="40"/>
        <w:gridCol w:w="120"/>
        <w:gridCol w:w="89"/>
        <w:gridCol w:w="89"/>
        <w:gridCol w:w="1203"/>
        <w:gridCol w:w="36"/>
        <w:gridCol w:w="120"/>
        <w:gridCol w:w="248"/>
        <w:gridCol w:w="248"/>
        <w:gridCol w:w="1077"/>
        <w:gridCol w:w="97"/>
        <w:gridCol w:w="120"/>
        <w:gridCol w:w="69"/>
        <w:gridCol w:w="69"/>
        <w:gridCol w:w="1130"/>
        <w:gridCol w:w="51"/>
      </w:tblGrid>
      <w:tr>
        <w:trPr/>
        <w:tc>
          <w:tcPr>
            <w:tcW w:w="10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r>
      <w:tr>
        <w:trPr/>
        <w:tc>
          <w:tcPr>
            <w:tcW w:w="1008"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Name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18"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Plan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505"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Executive</w:t>
              <w:br/>
              <w:t>Contributions</w:t>
              <w:br/>
              <w:t>in the Last</w:t>
              <w:br/>
              <w:t>Fiscal Year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548"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Registrant</w:t>
              <w:br/>
              <w:t>Contributions</w:t>
              <w:br/>
              <w:t>in the Last</w:t>
              <w:br/>
              <w:t>Fiscal Year(1)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417"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Aggregate</w:t>
              <w:br/>
              <w:t>Earnings</w:t>
              <w:br/>
              <w:t>in the Last</w:t>
              <w:br/>
              <w:t>Fiscal Year(2)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670"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Aggregate</w:t>
              <w:br/>
              <w:t>Withdrawals</w:t>
              <w:br/>
              <w:t>and</w:t>
              <w:br/>
              <w:t>Distributions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19" w:type="dxa"/>
            <w:gridSpan w:val="4"/>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Aggregate</w:t>
              <w:br/>
              <w:t>Balance at</w:t>
              <w:br/>
              <w:t>2023 Fiscal</w:t>
              <w:br/>
              <w:t>Year End(3) ($)</w:t>
            </w:r>
          </w:p>
        </w:tc>
      </w:tr>
      <w:tr>
        <w:trPr/>
        <w:tc>
          <w:tcPr>
            <w:tcW w:w="1008"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668" w:type="dxa"/>
            <w:gridSpan w:val="5"/>
            <w:tcBorders/>
            <w:vAlign w:val="center"/>
          </w:tcPr>
          <w:p>
            <w:pPr>
              <w:pStyle w:val="TableContents"/>
              <w:bidi w:val="0"/>
              <w:spacing w:before="0" w:after="283"/>
              <w:jc w:val="left"/>
              <w:rPr>
                <w:sz w:val="4"/>
                <w:szCs w:val="4"/>
              </w:rPr>
            </w:pPr>
            <w:r>
              <w:rPr>
                <w:sz w:val="4"/>
                <w:szCs w:val="4"/>
              </w:rPr>
            </w:r>
          </w:p>
        </w:tc>
        <w:tc>
          <w:tcPr>
            <w:tcW w:w="1537" w:type="dxa"/>
            <w:gridSpan w:val="5"/>
            <w:tcBorders/>
            <w:vAlign w:val="center"/>
          </w:tcPr>
          <w:p>
            <w:pPr>
              <w:pStyle w:val="TableContents"/>
              <w:bidi w:val="0"/>
              <w:spacing w:before="0" w:after="283"/>
              <w:jc w:val="left"/>
              <w:rPr>
                <w:sz w:val="4"/>
                <w:szCs w:val="4"/>
              </w:rPr>
            </w:pPr>
            <w:r>
              <w:rPr>
                <w:sz w:val="4"/>
                <w:szCs w:val="4"/>
              </w:rPr>
            </w:r>
          </w:p>
        </w:tc>
        <w:tc>
          <w:tcPr>
            <w:tcW w:w="1790" w:type="dxa"/>
            <w:gridSpan w:val="5"/>
            <w:tcBorders/>
            <w:vAlign w:val="center"/>
          </w:tcPr>
          <w:p>
            <w:pPr>
              <w:pStyle w:val="TableContents"/>
              <w:bidi w:val="0"/>
              <w:spacing w:before="0" w:after="283"/>
              <w:jc w:val="left"/>
              <w:rPr>
                <w:sz w:val="4"/>
                <w:szCs w:val="4"/>
              </w:rPr>
            </w:pPr>
            <w:r>
              <w:rPr>
                <w:sz w:val="4"/>
                <w:szCs w:val="4"/>
              </w:rPr>
            </w:r>
          </w:p>
        </w:tc>
        <w:tc>
          <w:tcPr>
            <w:tcW w:w="1439" w:type="dxa"/>
            <w:gridSpan w:val="5"/>
            <w:tcBorders/>
            <w:vAlign w:val="center"/>
          </w:tcPr>
          <w:p>
            <w:pPr>
              <w:pStyle w:val="TableContents"/>
              <w:bidi w:val="0"/>
              <w:spacing w:before="0" w:after="283"/>
              <w:jc w:val="left"/>
              <w:rPr>
                <w:sz w:val="4"/>
                <w:szCs w:val="4"/>
              </w:rPr>
            </w:pPr>
            <w:r>
              <w:rPr>
                <w:sz w:val="4"/>
                <w:szCs w:val="4"/>
              </w:rPr>
            </w:r>
          </w:p>
        </w:tc>
      </w:tr>
      <w:tr>
        <w:trPr/>
        <w:tc>
          <w:tcPr>
            <w:tcW w:w="1008"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Mary T. Barra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75" w:type="dxa"/>
            <w:tcBorders/>
            <w:vAlign w:val="center"/>
          </w:tcPr>
          <w:p>
            <w:pPr>
              <w:pStyle w:val="TableContents"/>
              <w:bidi w:val="0"/>
              <w:spacing w:before="0" w:after="283"/>
              <w:jc w:val="right"/>
              <w:rPr>
                <w:color w:val="3E3935"/>
              </w:rPr>
            </w:pPr>
            <w:r>
              <w:rPr>
                <w:color w:val="3E3935"/>
              </w:rPr>
              <w:t>DC ERP</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color w:val="3E3935"/>
              </w:rPr>
            </w:pPr>
            <w:r>
              <w:rPr>
                <w:color w:val="3E3935"/>
              </w:rPr>
              <w:t> </w:t>
            </w:r>
          </w:p>
        </w:tc>
        <w:tc>
          <w:tcPr>
            <w:tcW w:w="970" w:type="dxa"/>
            <w:tcBorders/>
            <w:vAlign w:val="center"/>
          </w:tcPr>
          <w:p>
            <w:pPr>
              <w:pStyle w:val="TableContents"/>
              <w:bidi w:val="0"/>
              <w:spacing w:before="0" w:after="283"/>
              <w:jc w:val="right"/>
              <w:rPr>
                <w:color w:val="3E3935"/>
              </w:rPr>
            </w:pPr>
            <w:r>
              <w:rPr>
                <w:color w:val="3E3935"/>
              </w:rPr>
              <w:t>—</w:t>
            </w:r>
          </w:p>
        </w:tc>
        <w:tc>
          <w:tcPr>
            <w:tcW w:w="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color w:val="3E3935"/>
              </w:rPr>
            </w:pPr>
            <w:r>
              <w:rPr>
                <w:color w:val="3E3935"/>
              </w:rPr>
              <w:t> </w:t>
            </w:r>
          </w:p>
        </w:tc>
        <w:tc>
          <w:tcPr>
            <w:tcW w:w="1314" w:type="dxa"/>
            <w:tcBorders/>
            <w:vAlign w:val="center"/>
          </w:tcPr>
          <w:p>
            <w:pPr>
              <w:pStyle w:val="TableContents"/>
              <w:bidi w:val="0"/>
              <w:spacing w:before="0" w:after="283"/>
              <w:jc w:val="right"/>
              <w:rPr>
                <w:color w:val="3E3935"/>
              </w:rPr>
            </w:pPr>
            <w:r>
              <w:rPr>
                <w:color w:val="3E3935"/>
              </w:rPr>
              <w:t>567,980</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color w:val="3E3935"/>
              </w:rPr>
            </w:pPr>
            <w:r>
              <w:rPr>
                <w:color w:val="3E3935"/>
              </w:rPr>
              <w:t> </w:t>
            </w:r>
          </w:p>
        </w:tc>
        <w:tc>
          <w:tcPr>
            <w:tcW w:w="1203" w:type="dxa"/>
            <w:tcBorders/>
            <w:vAlign w:val="center"/>
          </w:tcPr>
          <w:p>
            <w:pPr>
              <w:pStyle w:val="TableContents"/>
              <w:bidi w:val="0"/>
              <w:spacing w:before="0" w:after="283"/>
              <w:jc w:val="right"/>
              <w:rPr>
                <w:color w:val="3E3935"/>
              </w:rPr>
            </w:pPr>
            <w:r>
              <w:rPr>
                <w:color w:val="3E3935"/>
              </w:rPr>
              <w:t>698,647</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color w:val="3E3935"/>
              </w:rPr>
            </w:pPr>
            <w:r>
              <w:rPr>
                <w:color w:val="3E3935"/>
              </w:rPr>
              <w:t> </w:t>
            </w:r>
          </w:p>
        </w:tc>
        <w:tc>
          <w:tcPr>
            <w:tcW w:w="1077" w:type="dxa"/>
            <w:tcBorders/>
            <w:vAlign w:val="center"/>
          </w:tcPr>
          <w:p>
            <w:pPr>
              <w:pStyle w:val="TableContents"/>
              <w:bidi w:val="0"/>
              <w:spacing w:before="0" w:after="283"/>
              <w:jc w:val="right"/>
              <w:rPr>
                <w:color w:val="3E3935"/>
              </w:rPr>
            </w:pPr>
            <w:r>
              <w:rPr>
                <w:color w:val="3E3935"/>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color w:val="3E3935"/>
              </w:rPr>
            </w:pPr>
            <w:r>
              <w:rPr>
                <w:color w:val="3E3935"/>
              </w:rPr>
              <w:t> </w:t>
            </w:r>
          </w:p>
        </w:tc>
        <w:tc>
          <w:tcPr>
            <w:tcW w:w="1130" w:type="dxa"/>
            <w:tcBorders/>
            <w:vAlign w:val="center"/>
          </w:tcPr>
          <w:p>
            <w:pPr>
              <w:pStyle w:val="TableContents"/>
              <w:bidi w:val="0"/>
              <w:spacing w:before="0" w:after="283"/>
              <w:jc w:val="right"/>
              <w:rPr>
                <w:color w:val="3E3935"/>
              </w:rPr>
            </w:pPr>
            <w:r>
              <w:rPr>
                <w:color w:val="3E3935"/>
              </w:rPr>
              <w:t>6,002,924</w:t>
            </w:r>
          </w:p>
        </w:tc>
        <w:tc>
          <w:tcPr>
            <w:tcW w:w="51" w:type="dxa"/>
            <w:tcBorders/>
            <w:vAlign w:val="center"/>
          </w:tcPr>
          <w:p>
            <w:pPr>
              <w:pStyle w:val="TableContents"/>
              <w:bidi w:val="0"/>
              <w:spacing w:before="0" w:after="283"/>
              <w:jc w:val="left"/>
              <w:rPr>
                <w:sz w:val="4"/>
                <w:szCs w:val="4"/>
              </w:rPr>
            </w:pPr>
            <w:r>
              <w:rPr>
                <w:sz w:val="4"/>
                <w:szCs w:val="4"/>
              </w:rPr>
            </w:r>
          </w:p>
        </w:tc>
      </w:tr>
      <w:tr>
        <w:trPr/>
        <w:tc>
          <w:tcPr>
            <w:tcW w:w="1008" w:type="dxa"/>
            <w:tcBorders/>
            <w:shd w:fill="CCF2F8" w:val="clear"/>
            <w:vAlign w:val="center"/>
          </w:tcPr>
          <w:p>
            <w:pPr>
              <w:pStyle w:val="TableContents"/>
              <w:bidi w:val="0"/>
              <w:spacing w:before="0" w:after="283"/>
              <w:jc w:val="left"/>
              <w:rPr>
                <w:sz w:val="4"/>
                <w:szCs w:val="4"/>
              </w:rPr>
            </w:pPr>
            <w:r>
              <w:rPr>
                <w:sz w:val="4"/>
                <w:szCs w:val="4"/>
              </w:rPr>
            </w:r>
          </w:p>
        </w:tc>
        <w:tc>
          <w:tcPr>
            <w:tcW w:w="1138" w:type="dxa"/>
            <w:gridSpan w:val="5"/>
            <w:tcBorders/>
            <w:shd w:fill="CCF2F8" w:val="clear"/>
            <w:vAlign w:val="center"/>
          </w:tcPr>
          <w:p>
            <w:pPr>
              <w:pStyle w:val="TableContents"/>
              <w:bidi w:val="0"/>
              <w:spacing w:before="0" w:after="283"/>
              <w:jc w:val="left"/>
              <w:rPr>
                <w:sz w:val="4"/>
                <w:szCs w:val="4"/>
              </w:rPr>
            </w:pPr>
            <w:r>
              <w:rPr>
                <w:sz w:val="4"/>
                <w:szCs w:val="4"/>
              </w:rPr>
            </w:r>
          </w:p>
        </w:tc>
        <w:tc>
          <w:tcPr>
            <w:tcW w:w="1625" w:type="dxa"/>
            <w:gridSpan w:val="5"/>
            <w:tcBorders/>
            <w:shd w:fill="CCF2F8" w:val="clear"/>
            <w:vAlign w:val="center"/>
          </w:tcPr>
          <w:p>
            <w:pPr>
              <w:pStyle w:val="TableContents"/>
              <w:bidi w:val="0"/>
              <w:spacing w:before="0" w:after="283"/>
              <w:jc w:val="left"/>
              <w:rPr>
                <w:sz w:val="4"/>
                <w:szCs w:val="4"/>
              </w:rPr>
            </w:pPr>
            <w:r>
              <w:rPr>
                <w:sz w:val="4"/>
                <w:szCs w:val="4"/>
              </w:rPr>
            </w:r>
          </w:p>
        </w:tc>
        <w:tc>
          <w:tcPr>
            <w:tcW w:w="1668" w:type="dxa"/>
            <w:gridSpan w:val="5"/>
            <w:tcBorders/>
            <w:shd w:fill="CCF2F8" w:val="clear"/>
            <w:vAlign w:val="center"/>
          </w:tcPr>
          <w:p>
            <w:pPr>
              <w:pStyle w:val="TableContents"/>
              <w:bidi w:val="0"/>
              <w:spacing w:before="0" w:after="283"/>
              <w:jc w:val="left"/>
              <w:rPr>
                <w:sz w:val="4"/>
                <w:szCs w:val="4"/>
              </w:rPr>
            </w:pPr>
            <w:r>
              <w:rPr>
                <w:sz w:val="4"/>
                <w:szCs w:val="4"/>
              </w:rPr>
            </w:r>
          </w:p>
        </w:tc>
        <w:tc>
          <w:tcPr>
            <w:tcW w:w="1537" w:type="dxa"/>
            <w:gridSpan w:val="5"/>
            <w:tcBorders/>
            <w:shd w:fill="CCF2F8" w:val="clear"/>
            <w:vAlign w:val="center"/>
          </w:tcPr>
          <w:p>
            <w:pPr>
              <w:pStyle w:val="TableContents"/>
              <w:bidi w:val="0"/>
              <w:spacing w:before="0" w:after="283"/>
              <w:jc w:val="left"/>
              <w:rPr>
                <w:sz w:val="4"/>
                <w:szCs w:val="4"/>
              </w:rPr>
            </w:pPr>
            <w:r>
              <w:rPr>
                <w:sz w:val="4"/>
                <w:szCs w:val="4"/>
              </w:rPr>
            </w:r>
          </w:p>
        </w:tc>
        <w:tc>
          <w:tcPr>
            <w:tcW w:w="1790" w:type="dxa"/>
            <w:gridSpan w:val="5"/>
            <w:tcBorders/>
            <w:shd w:fill="CCF2F8" w:val="clear"/>
            <w:vAlign w:val="center"/>
          </w:tcPr>
          <w:p>
            <w:pPr>
              <w:pStyle w:val="TableContents"/>
              <w:bidi w:val="0"/>
              <w:spacing w:before="0" w:after="283"/>
              <w:jc w:val="left"/>
              <w:rPr>
                <w:sz w:val="4"/>
                <w:szCs w:val="4"/>
              </w:rPr>
            </w:pPr>
            <w:r>
              <w:rPr>
                <w:sz w:val="4"/>
                <w:szCs w:val="4"/>
              </w:rPr>
            </w:r>
          </w:p>
        </w:tc>
        <w:tc>
          <w:tcPr>
            <w:tcW w:w="1439"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1008"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Paul A. Jacobson</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75" w:type="dxa"/>
            <w:tcBorders/>
            <w:shd w:fill="CCF2F8" w:val="clear"/>
            <w:vAlign w:val="center"/>
          </w:tcPr>
          <w:p>
            <w:pPr>
              <w:pStyle w:val="TableContents"/>
              <w:bidi w:val="0"/>
              <w:spacing w:before="0" w:after="283"/>
              <w:jc w:val="right"/>
              <w:rPr>
                <w:color w:val="3E3935"/>
              </w:rPr>
            </w:pPr>
            <w:r>
              <w:rPr>
                <w:color w:val="3E3935"/>
              </w:rPr>
              <w:t>DC ERP</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224" w:type="dxa"/>
            <w:tcBorders/>
            <w:shd w:fill="CCF2F8" w:val="clear"/>
            <w:vAlign w:val="center"/>
          </w:tcPr>
          <w:p>
            <w:pPr>
              <w:pStyle w:val="TableContents"/>
              <w:bidi w:val="0"/>
              <w:spacing w:before="0" w:after="283"/>
              <w:jc w:val="left"/>
              <w:rPr/>
            </w:pPr>
            <w:r>
              <w:rPr/>
              <w:t> </w:t>
            </w:r>
          </w:p>
        </w:tc>
        <w:tc>
          <w:tcPr>
            <w:tcW w:w="224" w:type="dxa"/>
            <w:tcBorders/>
            <w:shd w:fill="CCF2F8" w:val="clear"/>
            <w:vAlign w:val="center"/>
          </w:tcPr>
          <w:p>
            <w:pPr>
              <w:pStyle w:val="TableContents"/>
              <w:bidi w:val="0"/>
              <w:spacing w:before="0" w:after="283"/>
              <w:jc w:val="left"/>
              <w:rPr>
                <w:color w:val="3E3935"/>
              </w:rPr>
            </w:pPr>
            <w:r>
              <w:rPr>
                <w:color w:val="3E3935"/>
              </w:rPr>
              <w:t> </w:t>
            </w:r>
          </w:p>
        </w:tc>
        <w:tc>
          <w:tcPr>
            <w:tcW w:w="970" w:type="dxa"/>
            <w:tcBorders/>
            <w:shd w:fill="CCF2F8" w:val="clear"/>
            <w:vAlign w:val="center"/>
          </w:tcPr>
          <w:p>
            <w:pPr>
              <w:pStyle w:val="TableContents"/>
              <w:bidi w:val="0"/>
              <w:spacing w:before="0" w:after="283"/>
              <w:jc w:val="right"/>
              <w:rPr>
                <w:color w:val="3E3935"/>
              </w:rPr>
            </w:pPr>
            <w:r>
              <w:rPr>
                <w:color w:val="3E3935"/>
              </w:rPr>
              <w:t>—</w:t>
            </w:r>
          </w:p>
        </w:tc>
        <w:tc>
          <w:tcPr>
            <w:tcW w:w="87"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color w:val="3E3935"/>
              </w:rPr>
            </w:pPr>
            <w:r>
              <w:rPr>
                <w:color w:val="3E3935"/>
              </w:rPr>
              <w:t> </w:t>
            </w:r>
          </w:p>
        </w:tc>
        <w:tc>
          <w:tcPr>
            <w:tcW w:w="1314" w:type="dxa"/>
            <w:tcBorders/>
            <w:shd w:fill="CCF2F8" w:val="clear"/>
            <w:vAlign w:val="center"/>
          </w:tcPr>
          <w:p>
            <w:pPr>
              <w:pStyle w:val="TableContents"/>
              <w:bidi w:val="0"/>
              <w:spacing w:before="0" w:after="283"/>
              <w:jc w:val="right"/>
              <w:rPr>
                <w:color w:val="3E3935"/>
              </w:rPr>
            </w:pPr>
            <w:r>
              <w:rPr>
                <w:color w:val="3E3935"/>
              </w:rPr>
              <w:t>134,633</w:t>
            </w:r>
          </w:p>
        </w:tc>
        <w:tc>
          <w:tcPr>
            <w:tcW w:w="4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89" w:type="dxa"/>
            <w:tcBorders/>
            <w:shd w:fill="CCF2F8" w:val="clear"/>
            <w:vAlign w:val="center"/>
          </w:tcPr>
          <w:p>
            <w:pPr>
              <w:pStyle w:val="TableContents"/>
              <w:bidi w:val="0"/>
              <w:spacing w:before="0" w:after="283"/>
              <w:jc w:val="left"/>
              <w:rPr/>
            </w:pPr>
            <w:r>
              <w:rPr/>
              <w:t> </w:t>
            </w:r>
          </w:p>
        </w:tc>
        <w:tc>
          <w:tcPr>
            <w:tcW w:w="89" w:type="dxa"/>
            <w:tcBorders/>
            <w:shd w:fill="CCF2F8" w:val="clear"/>
            <w:vAlign w:val="center"/>
          </w:tcPr>
          <w:p>
            <w:pPr>
              <w:pStyle w:val="TableContents"/>
              <w:bidi w:val="0"/>
              <w:spacing w:before="0" w:after="283"/>
              <w:jc w:val="left"/>
              <w:rPr>
                <w:color w:val="3E3935"/>
              </w:rPr>
            </w:pPr>
            <w:r>
              <w:rPr>
                <w:color w:val="3E3935"/>
              </w:rPr>
              <w:t> </w:t>
            </w:r>
          </w:p>
        </w:tc>
        <w:tc>
          <w:tcPr>
            <w:tcW w:w="1203" w:type="dxa"/>
            <w:tcBorders/>
            <w:shd w:fill="CCF2F8" w:val="clear"/>
            <w:vAlign w:val="center"/>
          </w:tcPr>
          <w:p>
            <w:pPr>
              <w:pStyle w:val="TableContents"/>
              <w:bidi w:val="0"/>
              <w:spacing w:before="0" w:after="283"/>
              <w:jc w:val="right"/>
              <w:rPr>
                <w:color w:val="3E3935"/>
              </w:rPr>
            </w:pPr>
            <w:r>
              <w:rPr>
                <w:color w:val="3E3935"/>
              </w:rPr>
              <w:t>46,847</w:t>
            </w:r>
          </w:p>
        </w:tc>
        <w:tc>
          <w:tcPr>
            <w:tcW w:w="36"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248" w:type="dxa"/>
            <w:tcBorders/>
            <w:shd w:fill="CCF2F8" w:val="clear"/>
            <w:vAlign w:val="center"/>
          </w:tcPr>
          <w:p>
            <w:pPr>
              <w:pStyle w:val="TableContents"/>
              <w:bidi w:val="0"/>
              <w:spacing w:before="0" w:after="283"/>
              <w:jc w:val="left"/>
              <w:rPr/>
            </w:pPr>
            <w:r>
              <w:rPr/>
              <w:t> </w:t>
            </w:r>
          </w:p>
        </w:tc>
        <w:tc>
          <w:tcPr>
            <w:tcW w:w="248" w:type="dxa"/>
            <w:tcBorders/>
            <w:shd w:fill="CCF2F8" w:val="clear"/>
            <w:vAlign w:val="center"/>
          </w:tcPr>
          <w:p>
            <w:pPr>
              <w:pStyle w:val="TableContents"/>
              <w:bidi w:val="0"/>
              <w:spacing w:before="0" w:after="283"/>
              <w:jc w:val="left"/>
              <w:rPr>
                <w:color w:val="3E3935"/>
              </w:rPr>
            </w:pPr>
            <w:r>
              <w:rPr>
                <w:color w:val="3E3935"/>
              </w:rPr>
              <w:t> </w:t>
            </w:r>
          </w:p>
        </w:tc>
        <w:tc>
          <w:tcPr>
            <w:tcW w:w="1077" w:type="dxa"/>
            <w:tcBorders/>
            <w:shd w:fill="CCF2F8" w:val="clear"/>
            <w:vAlign w:val="center"/>
          </w:tcPr>
          <w:p>
            <w:pPr>
              <w:pStyle w:val="TableContents"/>
              <w:bidi w:val="0"/>
              <w:spacing w:before="0" w:after="283"/>
              <w:jc w:val="right"/>
              <w:rPr>
                <w:color w:val="3E3935"/>
              </w:rPr>
            </w:pPr>
            <w:r>
              <w:rPr>
                <w:color w:val="3E3935"/>
              </w:rPr>
              <w:t>—</w:t>
            </w:r>
          </w:p>
        </w:tc>
        <w:tc>
          <w:tcPr>
            <w:tcW w:w="97"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9" w:type="dxa"/>
            <w:tcBorders/>
            <w:shd w:fill="CCF2F8" w:val="clear"/>
            <w:vAlign w:val="center"/>
          </w:tcPr>
          <w:p>
            <w:pPr>
              <w:pStyle w:val="TableContents"/>
              <w:bidi w:val="0"/>
              <w:spacing w:before="0" w:after="283"/>
              <w:jc w:val="left"/>
              <w:rPr/>
            </w:pPr>
            <w:r>
              <w:rPr/>
              <w:t> </w:t>
            </w:r>
          </w:p>
        </w:tc>
        <w:tc>
          <w:tcPr>
            <w:tcW w:w="69" w:type="dxa"/>
            <w:tcBorders/>
            <w:shd w:fill="CCF2F8" w:val="clear"/>
            <w:vAlign w:val="center"/>
          </w:tcPr>
          <w:p>
            <w:pPr>
              <w:pStyle w:val="TableContents"/>
              <w:bidi w:val="0"/>
              <w:spacing w:before="0" w:after="283"/>
              <w:jc w:val="left"/>
              <w:rPr>
                <w:color w:val="3E3935"/>
              </w:rPr>
            </w:pPr>
            <w:r>
              <w:rPr>
                <w:color w:val="3E3935"/>
              </w:rPr>
              <w:t> </w:t>
            </w:r>
          </w:p>
        </w:tc>
        <w:tc>
          <w:tcPr>
            <w:tcW w:w="1130" w:type="dxa"/>
            <w:tcBorders/>
            <w:shd w:fill="CCF2F8" w:val="clear"/>
            <w:vAlign w:val="center"/>
          </w:tcPr>
          <w:p>
            <w:pPr>
              <w:pStyle w:val="TableContents"/>
              <w:bidi w:val="0"/>
              <w:spacing w:before="0" w:after="283"/>
              <w:jc w:val="right"/>
              <w:rPr>
                <w:color w:val="3E3935"/>
              </w:rPr>
            </w:pPr>
            <w:r>
              <w:rPr>
                <w:color w:val="3E3935"/>
              </w:rPr>
              <w:t>375,149</w:t>
            </w:r>
          </w:p>
        </w:tc>
        <w:tc>
          <w:tcPr>
            <w:tcW w:w="51" w:type="dxa"/>
            <w:tcBorders/>
            <w:shd w:fill="CCF2F8" w:val="clear"/>
            <w:vAlign w:val="center"/>
          </w:tcPr>
          <w:p>
            <w:pPr>
              <w:pStyle w:val="TableContents"/>
              <w:bidi w:val="0"/>
              <w:spacing w:before="0" w:after="283"/>
              <w:jc w:val="left"/>
              <w:rPr>
                <w:sz w:val="4"/>
                <w:szCs w:val="4"/>
              </w:rPr>
            </w:pPr>
            <w:r>
              <w:rPr>
                <w:sz w:val="4"/>
                <w:szCs w:val="4"/>
              </w:rPr>
            </w:r>
          </w:p>
        </w:tc>
      </w:tr>
      <w:tr>
        <w:trPr/>
        <w:tc>
          <w:tcPr>
            <w:tcW w:w="1008"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668" w:type="dxa"/>
            <w:gridSpan w:val="5"/>
            <w:tcBorders/>
            <w:vAlign w:val="center"/>
          </w:tcPr>
          <w:p>
            <w:pPr>
              <w:pStyle w:val="TableContents"/>
              <w:bidi w:val="0"/>
              <w:spacing w:before="0" w:after="283"/>
              <w:jc w:val="left"/>
              <w:rPr>
                <w:sz w:val="4"/>
                <w:szCs w:val="4"/>
              </w:rPr>
            </w:pPr>
            <w:r>
              <w:rPr>
                <w:sz w:val="4"/>
                <w:szCs w:val="4"/>
              </w:rPr>
            </w:r>
          </w:p>
        </w:tc>
        <w:tc>
          <w:tcPr>
            <w:tcW w:w="1537" w:type="dxa"/>
            <w:gridSpan w:val="5"/>
            <w:tcBorders/>
            <w:vAlign w:val="center"/>
          </w:tcPr>
          <w:p>
            <w:pPr>
              <w:pStyle w:val="TableContents"/>
              <w:bidi w:val="0"/>
              <w:spacing w:before="0" w:after="283"/>
              <w:jc w:val="left"/>
              <w:rPr>
                <w:sz w:val="4"/>
                <w:szCs w:val="4"/>
              </w:rPr>
            </w:pPr>
            <w:r>
              <w:rPr>
                <w:sz w:val="4"/>
                <w:szCs w:val="4"/>
              </w:rPr>
            </w:r>
          </w:p>
        </w:tc>
        <w:tc>
          <w:tcPr>
            <w:tcW w:w="1790" w:type="dxa"/>
            <w:gridSpan w:val="5"/>
            <w:tcBorders/>
            <w:vAlign w:val="center"/>
          </w:tcPr>
          <w:p>
            <w:pPr>
              <w:pStyle w:val="TableContents"/>
              <w:bidi w:val="0"/>
              <w:spacing w:before="0" w:after="283"/>
              <w:jc w:val="left"/>
              <w:rPr>
                <w:sz w:val="4"/>
                <w:szCs w:val="4"/>
              </w:rPr>
            </w:pPr>
            <w:r>
              <w:rPr>
                <w:sz w:val="4"/>
                <w:szCs w:val="4"/>
              </w:rPr>
            </w:r>
          </w:p>
        </w:tc>
        <w:tc>
          <w:tcPr>
            <w:tcW w:w="1439" w:type="dxa"/>
            <w:gridSpan w:val="5"/>
            <w:tcBorders/>
            <w:vAlign w:val="center"/>
          </w:tcPr>
          <w:p>
            <w:pPr>
              <w:pStyle w:val="TableContents"/>
              <w:bidi w:val="0"/>
              <w:spacing w:before="0" w:after="283"/>
              <w:jc w:val="left"/>
              <w:rPr>
                <w:sz w:val="4"/>
                <w:szCs w:val="4"/>
              </w:rPr>
            </w:pPr>
            <w:r>
              <w:rPr>
                <w:sz w:val="4"/>
                <w:szCs w:val="4"/>
              </w:rPr>
            </w:r>
          </w:p>
        </w:tc>
      </w:tr>
      <w:tr>
        <w:trPr/>
        <w:tc>
          <w:tcPr>
            <w:tcW w:w="1008"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L. Reuss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875" w:type="dxa"/>
            <w:tcBorders/>
            <w:vAlign w:val="center"/>
          </w:tcPr>
          <w:p>
            <w:pPr>
              <w:pStyle w:val="TableContents"/>
              <w:bidi w:val="0"/>
              <w:spacing w:before="0" w:after="283"/>
              <w:jc w:val="right"/>
              <w:rPr>
                <w:color w:val="3E3935"/>
              </w:rPr>
            </w:pPr>
            <w:r>
              <w:rPr>
                <w:color w:val="3E3935"/>
              </w:rPr>
              <w:t>DC ERP</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color w:val="3E3935"/>
              </w:rPr>
            </w:pPr>
            <w:r>
              <w:rPr>
                <w:color w:val="3E3935"/>
              </w:rPr>
              <w:t> </w:t>
            </w:r>
          </w:p>
        </w:tc>
        <w:tc>
          <w:tcPr>
            <w:tcW w:w="970" w:type="dxa"/>
            <w:tcBorders/>
            <w:vAlign w:val="center"/>
          </w:tcPr>
          <w:p>
            <w:pPr>
              <w:pStyle w:val="TableContents"/>
              <w:bidi w:val="0"/>
              <w:spacing w:before="0" w:after="283"/>
              <w:jc w:val="right"/>
              <w:rPr>
                <w:color w:val="3E3935"/>
              </w:rPr>
            </w:pPr>
            <w:r>
              <w:rPr>
                <w:color w:val="3E3935"/>
              </w:rPr>
              <w:t>—</w:t>
            </w:r>
          </w:p>
        </w:tc>
        <w:tc>
          <w:tcPr>
            <w:tcW w:w="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color w:val="3E3935"/>
              </w:rPr>
            </w:pPr>
            <w:r>
              <w:rPr>
                <w:color w:val="3E3935"/>
              </w:rPr>
              <w:t> </w:t>
            </w:r>
          </w:p>
        </w:tc>
        <w:tc>
          <w:tcPr>
            <w:tcW w:w="1314" w:type="dxa"/>
            <w:tcBorders/>
            <w:vAlign w:val="center"/>
          </w:tcPr>
          <w:p>
            <w:pPr>
              <w:pStyle w:val="TableContents"/>
              <w:bidi w:val="0"/>
              <w:spacing w:before="0" w:after="283"/>
              <w:jc w:val="right"/>
              <w:rPr>
                <w:color w:val="3E3935"/>
              </w:rPr>
            </w:pPr>
            <w:r>
              <w:rPr>
                <w:color w:val="3E3935"/>
              </w:rPr>
              <w:t>278,794</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color w:val="3E3935"/>
              </w:rPr>
            </w:pPr>
            <w:r>
              <w:rPr>
                <w:color w:val="3E3935"/>
              </w:rPr>
              <w:t> </w:t>
            </w:r>
          </w:p>
        </w:tc>
        <w:tc>
          <w:tcPr>
            <w:tcW w:w="1203" w:type="dxa"/>
            <w:tcBorders/>
            <w:vAlign w:val="center"/>
          </w:tcPr>
          <w:p>
            <w:pPr>
              <w:pStyle w:val="TableContents"/>
              <w:bidi w:val="0"/>
              <w:spacing w:before="0" w:after="283"/>
              <w:jc w:val="right"/>
              <w:rPr>
                <w:color w:val="3E3935"/>
              </w:rPr>
            </w:pPr>
            <w:r>
              <w:rPr>
                <w:color w:val="3E3935"/>
              </w:rPr>
              <w:t>369,988</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color w:val="3E3935"/>
              </w:rPr>
            </w:pPr>
            <w:r>
              <w:rPr>
                <w:color w:val="3E3935"/>
              </w:rPr>
              <w:t> </w:t>
            </w:r>
          </w:p>
        </w:tc>
        <w:tc>
          <w:tcPr>
            <w:tcW w:w="1077" w:type="dxa"/>
            <w:tcBorders/>
            <w:vAlign w:val="center"/>
          </w:tcPr>
          <w:p>
            <w:pPr>
              <w:pStyle w:val="TableContents"/>
              <w:bidi w:val="0"/>
              <w:spacing w:before="0" w:after="283"/>
              <w:jc w:val="right"/>
              <w:rPr>
                <w:color w:val="3E3935"/>
              </w:rPr>
            </w:pPr>
            <w:r>
              <w:rPr>
                <w:color w:val="3E3935"/>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color w:val="3E3935"/>
              </w:rPr>
            </w:pPr>
            <w:r>
              <w:rPr>
                <w:color w:val="3E3935"/>
              </w:rPr>
              <w:t> </w:t>
            </w:r>
          </w:p>
        </w:tc>
        <w:tc>
          <w:tcPr>
            <w:tcW w:w="1130" w:type="dxa"/>
            <w:tcBorders/>
            <w:vAlign w:val="center"/>
          </w:tcPr>
          <w:p>
            <w:pPr>
              <w:pStyle w:val="TableContents"/>
              <w:bidi w:val="0"/>
              <w:spacing w:before="0" w:after="283"/>
              <w:jc w:val="right"/>
              <w:rPr>
                <w:color w:val="3E3935"/>
              </w:rPr>
            </w:pPr>
            <w:r>
              <w:rPr>
                <w:color w:val="3E3935"/>
              </w:rPr>
              <w:t>2,806,034</w:t>
            </w:r>
          </w:p>
        </w:tc>
        <w:tc>
          <w:tcPr>
            <w:tcW w:w="51" w:type="dxa"/>
            <w:tcBorders/>
            <w:vAlign w:val="center"/>
          </w:tcPr>
          <w:p>
            <w:pPr>
              <w:pStyle w:val="TableContents"/>
              <w:bidi w:val="0"/>
              <w:spacing w:before="0" w:after="283"/>
              <w:jc w:val="left"/>
              <w:rPr>
                <w:sz w:val="4"/>
                <w:szCs w:val="4"/>
              </w:rPr>
            </w:pPr>
            <w:r>
              <w:rPr>
                <w:sz w:val="4"/>
                <w:szCs w:val="4"/>
              </w:rPr>
            </w:r>
          </w:p>
        </w:tc>
      </w:tr>
      <w:tr>
        <w:trPr/>
        <w:tc>
          <w:tcPr>
            <w:tcW w:w="1008" w:type="dxa"/>
            <w:tcBorders/>
            <w:shd w:fill="CCF2F8" w:val="clear"/>
            <w:vAlign w:val="center"/>
          </w:tcPr>
          <w:p>
            <w:pPr>
              <w:pStyle w:val="TableContents"/>
              <w:bidi w:val="0"/>
              <w:spacing w:before="0" w:after="283"/>
              <w:jc w:val="left"/>
              <w:rPr>
                <w:sz w:val="4"/>
                <w:szCs w:val="4"/>
              </w:rPr>
            </w:pPr>
            <w:r>
              <w:rPr>
                <w:sz w:val="4"/>
                <w:szCs w:val="4"/>
              </w:rPr>
            </w:r>
          </w:p>
        </w:tc>
        <w:tc>
          <w:tcPr>
            <w:tcW w:w="1138" w:type="dxa"/>
            <w:gridSpan w:val="5"/>
            <w:tcBorders/>
            <w:shd w:fill="CCF2F8" w:val="clear"/>
            <w:vAlign w:val="center"/>
          </w:tcPr>
          <w:p>
            <w:pPr>
              <w:pStyle w:val="TableContents"/>
              <w:bidi w:val="0"/>
              <w:spacing w:before="0" w:after="283"/>
              <w:jc w:val="left"/>
              <w:rPr>
                <w:sz w:val="4"/>
                <w:szCs w:val="4"/>
              </w:rPr>
            </w:pPr>
            <w:r>
              <w:rPr>
                <w:sz w:val="4"/>
                <w:szCs w:val="4"/>
              </w:rPr>
            </w:r>
          </w:p>
        </w:tc>
        <w:tc>
          <w:tcPr>
            <w:tcW w:w="1625" w:type="dxa"/>
            <w:gridSpan w:val="5"/>
            <w:tcBorders/>
            <w:shd w:fill="CCF2F8" w:val="clear"/>
            <w:vAlign w:val="center"/>
          </w:tcPr>
          <w:p>
            <w:pPr>
              <w:pStyle w:val="TableContents"/>
              <w:bidi w:val="0"/>
              <w:spacing w:before="0" w:after="283"/>
              <w:jc w:val="left"/>
              <w:rPr>
                <w:sz w:val="4"/>
                <w:szCs w:val="4"/>
              </w:rPr>
            </w:pPr>
            <w:r>
              <w:rPr>
                <w:sz w:val="4"/>
                <w:szCs w:val="4"/>
              </w:rPr>
            </w:r>
          </w:p>
        </w:tc>
        <w:tc>
          <w:tcPr>
            <w:tcW w:w="1668" w:type="dxa"/>
            <w:gridSpan w:val="5"/>
            <w:tcBorders/>
            <w:shd w:fill="CCF2F8" w:val="clear"/>
            <w:vAlign w:val="center"/>
          </w:tcPr>
          <w:p>
            <w:pPr>
              <w:pStyle w:val="TableContents"/>
              <w:bidi w:val="0"/>
              <w:spacing w:before="0" w:after="283"/>
              <w:jc w:val="left"/>
              <w:rPr>
                <w:sz w:val="4"/>
                <w:szCs w:val="4"/>
              </w:rPr>
            </w:pPr>
            <w:r>
              <w:rPr>
                <w:sz w:val="4"/>
                <w:szCs w:val="4"/>
              </w:rPr>
            </w:r>
          </w:p>
        </w:tc>
        <w:tc>
          <w:tcPr>
            <w:tcW w:w="1537" w:type="dxa"/>
            <w:gridSpan w:val="5"/>
            <w:tcBorders/>
            <w:shd w:fill="CCF2F8" w:val="clear"/>
            <w:vAlign w:val="center"/>
          </w:tcPr>
          <w:p>
            <w:pPr>
              <w:pStyle w:val="TableContents"/>
              <w:bidi w:val="0"/>
              <w:spacing w:before="0" w:after="283"/>
              <w:jc w:val="left"/>
              <w:rPr>
                <w:sz w:val="4"/>
                <w:szCs w:val="4"/>
              </w:rPr>
            </w:pPr>
            <w:r>
              <w:rPr>
                <w:sz w:val="4"/>
                <w:szCs w:val="4"/>
              </w:rPr>
            </w:r>
          </w:p>
        </w:tc>
        <w:tc>
          <w:tcPr>
            <w:tcW w:w="1790" w:type="dxa"/>
            <w:gridSpan w:val="5"/>
            <w:tcBorders/>
            <w:shd w:fill="CCF2F8" w:val="clear"/>
            <w:vAlign w:val="center"/>
          </w:tcPr>
          <w:p>
            <w:pPr>
              <w:pStyle w:val="TableContents"/>
              <w:bidi w:val="0"/>
              <w:spacing w:before="0" w:after="283"/>
              <w:jc w:val="left"/>
              <w:rPr>
                <w:sz w:val="4"/>
                <w:szCs w:val="4"/>
              </w:rPr>
            </w:pPr>
            <w:r>
              <w:rPr>
                <w:sz w:val="4"/>
                <w:szCs w:val="4"/>
              </w:rPr>
            </w:r>
          </w:p>
        </w:tc>
        <w:tc>
          <w:tcPr>
            <w:tcW w:w="1439" w:type="dxa"/>
            <w:gridSpan w:val="5"/>
            <w:tcBorders/>
            <w:shd w:fill="CCF2F8" w:val="clear"/>
            <w:vAlign w:val="center"/>
          </w:tcPr>
          <w:p>
            <w:pPr>
              <w:pStyle w:val="TableContents"/>
              <w:bidi w:val="0"/>
              <w:spacing w:before="0" w:after="283"/>
              <w:jc w:val="left"/>
              <w:rPr>
                <w:sz w:val="4"/>
                <w:szCs w:val="4"/>
              </w:rPr>
            </w:pPr>
            <w:r>
              <w:rPr>
                <w:sz w:val="4"/>
                <w:szCs w:val="4"/>
              </w:rPr>
            </w:r>
          </w:p>
        </w:tc>
      </w:tr>
      <w:tr>
        <w:trPr/>
        <w:tc>
          <w:tcPr>
            <w:tcW w:w="1008"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Michael Abbott</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875" w:type="dxa"/>
            <w:tcBorders/>
            <w:shd w:fill="CCF2F8" w:val="clear"/>
            <w:vAlign w:val="center"/>
          </w:tcPr>
          <w:p>
            <w:pPr>
              <w:pStyle w:val="TableContents"/>
              <w:bidi w:val="0"/>
              <w:spacing w:before="0" w:after="283"/>
              <w:jc w:val="right"/>
              <w:rPr>
                <w:color w:val="3E3935"/>
              </w:rPr>
            </w:pPr>
            <w:r>
              <w:rPr>
                <w:color w:val="3E3935"/>
              </w:rPr>
              <w:t>DC ERP</w:t>
            </w:r>
          </w:p>
        </w:tc>
        <w:tc>
          <w:tcPr>
            <w:tcW w:w="23"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224" w:type="dxa"/>
            <w:tcBorders/>
            <w:shd w:fill="CCF2F8" w:val="clear"/>
            <w:vAlign w:val="center"/>
          </w:tcPr>
          <w:p>
            <w:pPr>
              <w:pStyle w:val="TableContents"/>
              <w:bidi w:val="0"/>
              <w:spacing w:before="0" w:after="283"/>
              <w:jc w:val="left"/>
              <w:rPr/>
            </w:pPr>
            <w:r>
              <w:rPr/>
              <w:t> </w:t>
            </w:r>
          </w:p>
        </w:tc>
        <w:tc>
          <w:tcPr>
            <w:tcW w:w="224" w:type="dxa"/>
            <w:tcBorders/>
            <w:shd w:fill="CCF2F8" w:val="clear"/>
            <w:vAlign w:val="center"/>
          </w:tcPr>
          <w:p>
            <w:pPr>
              <w:pStyle w:val="TableContents"/>
              <w:bidi w:val="0"/>
              <w:spacing w:before="0" w:after="283"/>
              <w:jc w:val="left"/>
              <w:rPr>
                <w:color w:val="3E3935"/>
              </w:rPr>
            </w:pPr>
            <w:r>
              <w:rPr>
                <w:color w:val="3E3935"/>
              </w:rPr>
              <w:t> </w:t>
            </w:r>
          </w:p>
        </w:tc>
        <w:tc>
          <w:tcPr>
            <w:tcW w:w="970" w:type="dxa"/>
            <w:tcBorders/>
            <w:shd w:fill="CCF2F8" w:val="clear"/>
            <w:vAlign w:val="center"/>
          </w:tcPr>
          <w:p>
            <w:pPr>
              <w:pStyle w:val="TableContents"/>
              <w:bidi w:val="0"/>
              <w:spacing w:before="0" w:after="283"/>
              <w:jc w:val="right"/>
              <w:rPr>
                <w:color w:val="3E3935"/>
              </w:rPr>
            </w:pPr>
            <w:r>
              <w:rPr>
                <w:color w:val="3E3935"/>
              </w:rPr>
              <w:t>—</w:t>
            </w:r>
          </w:p>
        </w:tc>
        <w:tc>
          <w:tcPr>
            <w:tcW w:w="87"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pPr>
            <w:r>
              <w:rPr/>
              <w:t> </w:t>
            </w:r>
          </w:p>
        </w:tc>
        <w:tc>
          <w:tcPr>
            <w:tcW w:w="97" w:type="dxa"/>
            <w:tcBorders/>
            <w:shd w:fill="CCF2F8" w:val="clear"/>
            <w:vAlign w:val="center"/>
          </w:tcPr>
          <w:p>
            <w:pPr>
              <w:pStyle w:val="TableContents"/>
              <w:bidi w:val="0"/>
              <w:spacing w:before="0" w:after="283"/>
              <w:jc w:val="left"/>
              <w:rPr>
                <w:color w:val="3E3935"/>
              </w:rPr>
            </w:pPr>
            <w:r>
              <w:rPr>
                <w:color w:val="3E3935"/>
              </w:rPr>
              <w:t> </w:t>
            </w:r>
          </w:p>
        </w:tc>
        <w:tc>
          <w:tcPr>
            <w:tcW w:w="1314" w:type="dxa"/>
            <w:tcBorders/>
            <w:shd w:fill="CCF2F8" w:val="clear"/>
            <w:vAlign w:val="center"/>
          </w:tcPr>
          <w:p>
            <w:pPr>
              <w:pStyle w:val="TableContents"/>
              <w:bidi w:val="0"/>
              <w:spacing w:before="0" w:after="283"/>
              <w:jc w:val="right"/>
              <w:rPr>
                <w:color w:val="3E3935"/>
              </w:rPr>
            </w:pPr>
            <w:r>
              <w:rPr>
                <w:color w:val="3E3935"/>
              </w:rPr>
              <w:t>12,711</w:t>
            </w:r>
          </w:p>
        </w:tc>
        <w:tc>
          <w:tcPr>
            <w:tcW w:w="4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89" w:type="dxa"/>
            <w:tcBorders/>
            <w:shd w:fill="CCF2F8" w:val="clear"/>
            <w:vAlign w:val="center"/>
          </w:tcPr>
          <w:p>
            <w:pPr>
              <w:pStyle w:val="TableContents"/>
              <w:bidi w:val="0"/>
              <w:spacing w:before="0" w:after="283"/>
              <w:jc w:val="left"/>
              <w:rPr/>
            </w:pPr>
            <w:r>
              <w:rPr/>
              <w:t> </w:t>
            </w:r>
          </w:p>
        </w:tc>
        <w:tc>
          <w:tcPr>
            <w:tcW w:w="89" w:type="dxa"/>
            <w:tcBorders/>
            <w:shd w:fill="CCF2F8" w:val="clear"/>
            <w:vAlign w:val="center"/>
          </w:tcPr>
          <w:p>
            <w:pPr>
              <w:pStyle w:val="TableContents"/>
              <w:bidi w:val="0"/>
              <w:spacing w:before="0" w:after="283"/>
              <w:jc w:val="left"/>
              <w:rPr>
                <w:color w:val="3E3935"/>
              </w:rPr>
            </w:pPr>
            <w:r>
              <w:rPr>
                <w:color w:val="3E3935"/>
              </w:rPr>
              <w:t> </w:t>
            </w:r>
          </w:p>
        </w:tc>
        <w:tc>
          <w:tcPr>
            <w:tcW w:w="1203" w:type="dxa"/>
            <w:tcBorders/>
            <w:shd w:fill="CCF2F8" w:val="clear"/>
            <w:vAlign w:val="center"/>
          </w:tcPr>
          <w:p>
            <w:pPr>
              <w:pStyle w:val="TableContents"/>
              <w:bidi w:val="0"/>
              <w:spacing w:before="0" w:after="283"/>
              <w:jc w:val="right"/>
              <w:rPr>
                <w:color w:val="3E3935"/>
              </w:rPr>
            </w:pPr>
            <w:r>
              <w:rPr>
                <w:color w:val="3E3935"/>
              </w:rPr>
              <w:t>669</w:t>
            </w:r>
          </w:p>
        </w:tc>
        <w:tc>
          <w:tcPr>
            <w:tcW w:w="36"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248" w:type="dxa"/>
            <w:tcBorders/>
            <w:shd w:fill="CCF2F8" w:val="clear"/>
            <w:vAlign w:val="center"/>
          </w:tcPr>
          <w:p>
            <w:pPr>
              <w:pStyle w:val="TableContents"/>
              <w:bidi w:val="0"/>
              <w:spacing w:before="0" w:after="283"/>
              <w:jc w:val="left"/>
              <w:rPr/>
            </w:pPr>
            <w:r>
              <w:rPr/>
              <w:t> </w:t>
            </w:r>
          </w:p>
        </w:tc>
        <w:tc>
          <w:tcPr>
            <w:tcW w:w="248" w:type="dxa"/>
            <w:tcBorders/>
            <w:shd w:fill="CCF2F8" w:val="clear"/>
            <w:vAlign w:val="center"/>
          </w:tcPr>
          <w:p>
            <w:pPr>
              <w:pStyle w:val="TableContents"/>
              <w:bidi w:val="0"/>
              <w:spacing w:before="0" w:after="283"/>
              <w:jc w:val="left"/>
              <w:rPr>
                <w:color w:val="3E3935"/>
              </w:rPr>
            </w:pPr>
            <w:r>
              <w:rPr>
                <w:color w:val="3E3935"/>
              </w:rPr>
              <w:t> </w:t>
            </w:r>
          </w:p>
        </w:tc>
        <w:tc>
          <w:tcPr>
            <w:tcW w:w="1077" w:type="dxa"/>
            <w:tcBorders/>
            <w:shd w:fill="CCF2F8" w:val="clear"/>
            <w:vAlign w:val="center"/>
          </w:tcPr>
          <w:p>
            <w:pPr>
              <w:pStyle w:val="TableContents"/>
              <w:bidi w:val="0"/>
              <w:spacing w:before="0" w:after="283"/>
              <w:jc w:val="right"/>
              <w:rPr>
                <w:color w:val="3E3935"/>
              </w:rPr>
            </w:pPr>
            <w:r>
              <w:rPr>
                <w:color w:val="3E3935"/>
              </w:rPr>
              <w:t>—</w:t>
            </w:r>
          </w:p>
        </w:tc>
        <w:tc>
          <w:tcPr>
            <w:tcW w:w="97"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9" w:type="dxa"/>
            <w:tcBorders/>
            <w:shd w:fill="CCF2F8" w:val="clear"/>
            <w:vAlign w:val="center"/>
          </w:tcPr>
          <w:p>
            <w:pPr>
              <w:pStyle w:val="TableContents"/>
              <w:bidi w:val="0"/>
              <w:spacing w:before="0" w:after="283"/>
              <w:jc w:val="left"/>
              <w:rPr/>
            </w:pPr>
            <w:r>
              <w:rPr/>
              <w:t> </w:t>
            </w:r>
          </w:p>
        </w:tc>
        <w:tc>
          <w:tcPr>
            <w:tcW w:w="69" w:type="dxa"/>
            <w:tcBorders/>
            <w:shd w:fill="CCF2F8" w:val="clear"/>
            <w:vAlign w:val="center"/>
          </w:tcPr>
          <w:p>
            <w:pPr>
              <w:pStyle w:val="TableContents"/>
              <w:bidi w:val="0"/>
              <w:spacing w:before="0" w:after="283"/>
              <w:jc w:val="left"/>
              <w:rPr>
                <w:color w:val="3E3935"/>
              </w:rPr>
            </w:pPr>
            <w:r>
              <w:rPr>
                <w:color w:val="3E3935"/>
              </w:rPr>
              <w:t> </w:t>
            </w:r>
          </w:p>
        </w:tc>
        <w:tc>
          <w:tcPr>
            <w:tcW w:w="1130" w:type="dxa"/>
            <w:tcBorders/>
            <w:shd w:fill="CCF2F8" w:val="clear"/>
            <w:vAlign w:val="center"/>
          </w:tcPr>
          <w:p>
            <w:pPr>
              <w:pStyle w:val="TableContents"/>
              <w:bidi w:val="0"/>
              <w:spacing w:before="0" w:after="283"/>
              <w:jc w:val="right"/>
              <w:rPr>
                <w:color w:val="3E3935"/>
              </w:rPr>
            </w:pPr>
            <w:r>
              <w:rPr>
                <w:color w:val="3E3935"/>
              </w:rPr>
              <w:t>13,380</w:t>
            </w:r>
          </w:p>
        </w:tc>
        <w:tc>
          <w:tcPr>
            <w:tcW w:w="51" w:type="dxa"/>
            <w:tcBorders/>
            <w:shd w:fill="CCF2F8" w:val="clear"/>
            <w:vAlign w:val="center"/>
          </w:tcPr>
          <w:p>
            <w:pPr>
              <w:pStyle w:val="TableContents"/>
              <w:bidi w:val="0"/>
              <w:spacing w:before="0" w:after="283"/>
              <w:jc w:val="left"/>
              <w:rPr>
                <w:sz w:val="4"/>
                <w:szCs w:val="4"/>
              </w:rPr>
            </w:pPr>
            <w:r>
              <w:rPr>
                <w:sz w:val="4"/>
                <w:szCs w:val="4"/>
              </w:rPr>
            </w:r>
          </w:p>
        </w:tc>
      </w:tr>
      <w:tr>
        <w:trPr/>
        <w:tc>
          <w:tcPr>
            <w:tcW w:w="1008"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668" w:type="dxa"/>
            <w:gridSpan w:val="5"/>
            <w:tcBorders/>
            <w:vAlign w:val="center"/>
          </w:tcPr>
          <w:p>
            <w:pPr>
              <w:pStyle w:val="TableContents"/>
              <w:bidi w:val="0"/>
              <w:spacing w:before="0" w:after="283"/>
              <w:jc w:val="left"/>
              <w:rPr>
                <w:sz w:val="4"/>
                <w:szCs w:val="4"/>
              </w:rPr>
            </w:pPr>
            <w:r>
              <w:rPr>
                <w:sz w:val="4"/>
                <w:szCs w:val="4"/>
              </w:rPr>
            </w:r>
          </w:p>
        </w:tc>
        <w:tc>
          <w:tcPr>
            <w:tcW w:w="1537" w:type="dxa"/>
            <w:gridSpan w:val="5"/>
            <w:tcBorders/>
            <w:vAlign w:val="center"/>
          </w:tcPr>
          <w:p>
            <w:pPr>
              <w:pStyle w:val="TableContents"/>
              <w:bidi w:val="0"/>
              <w:spacing w:before="0" w:after="283"/>
              <w:jc w:val="left"/>
              <w:rPr>
                <w:sz w:val="4"/>
                <w:szCs w:val="4"/>
              </w:rPr>
            </w:pPr>
            <w:r>
              <w:rPr>
                <w:sz w:val="4"/>
                <w:szCs w:val="4"/>
              </w:rPr>
            </w:r>
          </w:p>
        </w:tc>
        <w:tc>
          <w:tcPr>
            <w:tcW w:w="1790" w:type="dxa"/>
            <w:gridSpan w:val="5"/>
            <w:tcBorders/>
            <w:vAlign w:val="center"/>
          </w:tcPr>
          <w:p>
            <w:pPr>
              <w:pStyle w:val="TableContents"/>
              <w:bidi w:val="0"/>
              <w:spacing w:before="0" w:after="283"/>
              <w:jc w:val="left"/>
              <w:rPr>
                <w:sz w:val="4"/>
                <w:szCs w:val="4"/>
              </w:rPr>
            </w:pPr>
            <w:r>
              <w:rPr>
                <w:sz w:val="4"/>
                <w:szCs w:val="4"/>
              </w:rPr>
            </w:r>
          </w:p>
        </w:tc>
        <w:tc>
          <w:tcPr>
            <w:tcW w:w="1439" w:type="dxa"/>
            <w:gridSpan w:val="5"/>
            <w:tcBorders/>
            <w:vAlign w:val="center"/>
          </w:tcPr>
          <w:p>
            <w:pPr>
              <w:pStyle w:val="TableContents"/>
              <w:bidi w:val="0"/>
              <w:spacing w:before="0" w:after="283"/>
              <w:jc w:val="left"/>
              <w:rPr>
                <w:sz w:val="4"/>
                <w:szCs w:val="4"/>
              </w:rPr>
            </w:pPr>
            <w:r>
              <w:rPr>
                <w:sz w:val="4"/>
                <w:szCs w:val="4"/>
              </w:rPr>
            </w:r>
          </w:p>
        </w:tc>
      </w:tr>
      <w:tr>
        <w:trPr/>
        <w:tc>
          <w:tcPr>
            <w:tcW w:w="1008" w:type="dxa"/>
            <w:tcBorders>
              <w:bottom w:val="single" w:sz="6" w:space="0" w:color="0071CE"/>
            </w:tcBorders>
            <w:tcMar>
              <w:bottom w:w="6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Craig B. Glidden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875"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DC ERP</w:t>
            </w:r>
          </w:p>
        </w:tc>
        <w:tc>
          <w:tcPr>
            <w:tcW w:w="23"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24" w:type="dxa"/>
            <w:tcBorders>
              <w:bottom w:val="single" w:sz="6" w:space="0" w:color="0071CE"/>
            </w:tcBorders>
            <w:tcMar>
              <w:bottom w:w="28" w:type="dxa"/>
            </w:tcMar>
            <w:vAlign w:val="center"/>
          </w:tcPr>
          <w:p>
            <w:pPr>
              <w:pStyle w:val="TableContents"/>
              <w:bidi w:val="0"/>
              <w:spacing w:before="0" w:after="283"/>
              <w:jc w:val="left"/>
              <w:rPr/>
            </w:pPr>
            <w:r>
              <w:rPr/>
              <w:t> </w:t>
            </w:r>
          </w:p>
        </w:tc>
        <w:tc>
          <w:tcPr>
            <w:tcW w:w="224"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970"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87"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97" w:type="dxa"/>
            <w:tcBorders>
              <w:bottom w:val="single" w:sz="6" w:space="0" w:color="0071CE"/>
            </w:tcBorders>
            <w:tcMar>
              <w:bottom w:w="28" w:type="dxa"/>
            </w:tcMar>
            <w:vAlign w:val="center"/>
          </w:tcPr>
          <w:p>
            <w:pPr>
              <w:pStyle w:val="TableContents"/>
              <w:bidi w:val="0"/>
              <w:spacing w:before="0" w:after="283"/>
              <w:jc w:val="left"/>
              <w:rPr/>
            </w:pPr>
            <w:r>
              <w:rPr/>
              <w:t> </w:t>
            </w:r>
          </w:p>
        </w:tc>
        <w:tc>
          <w:tcPr>
            <w:tcW w:w="97"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314"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126,067</w:t>
            </w:r>
          </w:p>
        </w:tc>
        <w:tc>
          <w:tcPr>
            <w:tcW w:w="40"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9" w:type="dxa"/>
            <w:tcBorders>
              <w:bottom w:val="single" w:sz="6" w:space="0" w:color="0071CE"/>
            </w:tcBorders>
            <w:tcMar>
              <w:bottom w:w="28" w:type="dxa"/>
            </w:tcMar>
            <w:vAlign w:val="center"/>
          </w:tcPr>
          <w:p>
            <w:pPr>
              <w:pStyle w:val="TableContents"/>
              <w:bidi w:val="0"/>
              <w:spacing w:before="0" w:after="283"/>
              <w:jc w:val="left"/>
              <w:rPr/>
            </w:pPr>
            <w:r>
              <w:rPr/>
              <w:t> </w:t>
            </w:r>
          </w:p>
        </w:tc>
        <w:tc>
          <w:tcPr>
            <w:tcW w:w="89"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203"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122,341</w:t>
            </w:r>
          </w:p>
        </w:tc>
        <w:tc>
          <w:tcPr>
            <w:tcW w:w="36"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48" w:type="dxa"/>
            <w:tcBorders>
              <w:bottom w:val="single" w:sz="6" w:space="0" w:color="0071CE"/>
            </w:tcBorders>
            <w:tcMar>
              <w:bottom w:w="28" w:type="dxa"/>
            </w:tcMar>
            <w:vAlign w:val="center"/>
          </w:tcPr>
          <w:p>
            <w:pPr>
              <w:pStyle w:val="TableContents"/>
              <w:bidi w:val="0"/>
              <w:spacing w:before="0" w:after="283"/>
              <w:jc w:val="left"/>
              <w:rPr/>
            </w:pPr>
            <w:r>
              <w:rPr/>
              <w:t> </w:t>
            </w:r>
          </w:p>
        </w:tc>
        <w:tc>
          <w:tcPr>
            <w:tcW w:w="248"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077"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97"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9" w:type="dxa"/>
            <w:tcBorders>
              <w:bottom w:val="single" w:sz="6" w:space="0" w:color="0071CE"/>
            </w:tcBorders>
            <w:tcMar>
              <w:bottom w:w="28" w:type="dxa"/>
            </w:tcMar>
            <w:vAlign w:val="center"/>
          </w:tcPr>
          <w:p>
            <w:pPr>
              <w:pStyle w:val="TableContents"/>
              <w:bidi w:val="0"/>
              <w:spacing w:before="0" w:after="283"/>
              <w:jc w:val="left"/>
              <w:rPr/>
            </w:pPr>
            <w:r>
              <w:rPr/>
              <w:t> </w:t>
            </w:r>
          </w:p>
        </w:tc>
        <w:tc>
          <w:tcPr>
            <w:tcW w:w="69"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130"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1,108,530</w:t>
            </w:r>
          </w:p>
        </w:tc>
        <w:tc>
          <w:tcPr>
            <w:tcW w:w="51" w:type="dxa"/>
            <w:tcBorders>
              <w:bottom w:val="single" w:sz="6" w:space="0" w:color="0071CE"/>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305"/>
        <w:gridCol w:w="6905"/>
      </w:tblGrid>
      <w:tr>
        <w:trPr/>
        <w:tc>
          <w:tcPr>
            <w:tcW w:w="305" w:type="dxa"/>
            <w:tcBorders/>
            <w:vAlign w:val="center"/>
          </w:tcPr>
          <w:p>
            <w:pPr>
              <w:pStyle w:val="TableContents"/>
              <w:bidi w:val="0"/>
              <w:spacing w:before="0" w:after="283"/>
              <w:jc w:val="left"/>
              <w:rPr>
                <w:color w:val="3E3935"/>
              </w:rPr>
            </w:pPr>
            <w:r>
              <w:rPr>
                <w:color w:val="3E3935"/>
              </w:rPr>
              <w:t>(1)</w:t>
            </w:r>
          </w:p>
        </w:tc>
        <w:tc>
          <w:tcPr>
            <w:tcW w:w="690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amounts shown are included in All Other Compensation in the Summary Compensation Table.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color w:val="3E3935"/>
              </w:rPr>
            </w:pPr>
            <w:r>
              <w:rPr>
                <w:color w:val="3E3935"/>
              </w:rPr>
              <w:t>(2)</w:t>
            </w:r>
          </w:p>
        </w:tc>
        <w:tc>
          <w:tcPr>
            <w:tcW w:w="99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amounts shown are not reported in Change in Pension Value and Nonqualified Deferred Compensation Earnings in the Summary Compensation Table because we do not pay above-market earnings on deferred compensation in retirement plans.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color w:val="3E3935"/>
              </w:rPr>
            </w:pPr>
            <w:r>
              <w:rPr>
                <w:color w:val="3E3935"/>
              </w:rPr>
              <w:t>(3)</w:t>
            </w:r>
          </w:p>
        </w:tc>
        <w:tc>
          <w:tcPr>
            <w:tcW w:w="9924"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following amounts have been included in the Summary Compensation Table in prior years: $3,772,324 (Ms. Barra), $215,021 (Mr. Jacobson), $1,763,928 (Mr. Reuss), and $120,793 (Mr. Glidden). </w:t>
            </w:r>
          </w:p>
        </w:tc>
      </w:tr>
    </w:tbl>
    <w:p>
      <w:pPr>
        <w:pStyle w:val="TextBody"/>
        <w:bidi w:val="0"/>
        <w:spacing w:before="0" w:after="0"/>
        <w:jc w:val="left"/>
        <w:rPr/>
      </w:pPr>
      <w:r>
        <w:rPr/>
        <w:t> </w:t>
      </w:r>
    </w:p>
    <w:tbl>
      <w:tblPr>
        <w:tblW w:w="7666" w:type="dxa"/>
        <w:jc w:val="left"/>
        <w:tblInd w:w="0" w:type="dxa"/>
        <w:tblLayout w:type="fixed"/>
        <w:tblCellMar>
          <w:top w:w="0" w:type="dxa"/>
          <w:left w:w="0" w:type="dxa"/>
          <w:bottom w:w="0" w:type="dxa"/>
          <w:right w:w="0" w:type="dxa"/>
        </w:tblCellMar>
      </w:tblPr>
      <w:tblGrid>
        <w:gridCol w:w="38"/>
        <w:gridCol w:w="60"/>
        <w:gridCol w:w="23"/>
        <w:gridCol w:w="60"/>
        <w:gridCol w:w="465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center"/>
              <w:rPr>
                <w:b/>
                <w:color w:val="3E3935"/>
              </w:rPr>
            </w:pPr>
            <w:r>
              <w:rPr>
                <w:b/>
                <w:color w:val="3E3935"/>
              </w:rPr>
              <w:t xml:space="preserve">EXECUTIVE COMPENSATION TABLES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71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39" w:name="toc648661_37"/>
      <w:bookmarkEnd w:id="39"/>
      <w:r>
        <w:rPr>
          <w:rFonts w:ascii="arial" w:hAnsi="arial"/>
          <w:b/>
          <w:color w:val="0071CE"/>
          <w:sz w:val="28"/>
        </w:rPr>
        <w:t xml:space="preserve">Potential Payments Upon Termination </w:t>
      </w:r>
    </w:p>
    <w:p>
      <w:pPr>
        <w:pStyle w:val="TextBody"/>
        <w:bidi w:val="0"/>
        <w:spacing w:before="120" w:after="0"/>
        <w:jc w:val="both"/>
        <w:rPr>
          <w:rFonts w:ascii="arial" w:hAnsi="arial"/>
          <w:color w:val="3E3935"/>
          <w:sz w:val="18"/>
        </w:rPr>
      </w:pPr>
      <w:r>
        <w:rPr>
          <w:rFonts w:ascii="arial" w:hAnsi="arial"/>
          <w:color w:val="3E3935"/>
          <w:sz w:val="18"/>
        </w:rPr>
        <w:t xml:space="preserve">The Company does not maintain individual employment agreements with any NEO that provide guaranteed payments in the event of a termination of employment or change in control. In the event that an NEO’s position with the Company is eliminated, including the elimination of the NEO’s position as a result of a change in control, the NEO would be eligible for a severance payment under the Executive Severance Program. </w:t>
      </w:r>
    </w:p>
    <w:p>
      <w:pPr>
        <w:pStyle w:val="TextBody"/>
        <w:bidi w:val="0"/>
        <w:spacing w:before="120" w:after="0"/>
        <w:jc w:val="both"/>
        <w:rPr>
          <w:rFonts w:ascii="arial" w:hAnsi="arial"/>
          <w:color w:val="3E3935"/>
          <w:sz w:val="18"/>
        </w:rPr>
      </w:pPr>
      <w:r>
        <w:rPr>
          <w:rFonts w:ascii="arial" w:hAnsi="arial"/>
          <w:color w:val="3E3935"/>
          <w:sz w:val="18"/>
        </w:rPr>
        <w:t xml:space="preserve">The table below shows the potential payments to each NEO assuming a termination of employment on December 31, 2023, due to the following events: voluntary separation or termination for cause, qualifying termination under the Executive Severance Program, full career status retirement, disability, death, or change in control with termination of employment. Each of the separation events is described in more detail below. These provisions are generally applicable to participants in each of the respective plans and are not reserved only for NEOs. The payments below are in addition to the present value of the accumulated benefits from each NEO’s qualified and nonqualified pension plans shown in the “Pension Benefits” table on page 70 and the aggregate balance due to each NEO that is shown in the Nonqualified Deferred Compensation Plan table above. </w:t>
      </w:r>
    </w:p>
    <w:p>
      <w:pPr>
        <w:pStyle w:val="TextBody"/>
        <w:bidi w:val="0"/>
        <w:spacing w:before="120" w:after="0"/>
        <w:jc w:val="both"/>
        <w:rPr>
          <w:rFonts w:ascii="arial" w:hAnsi="arial"/>
          <w:color w:val="3E3935"/>
          <w:sz w:val="18"/>
        </w:rPr>
      </w:pPr>
      <w:r>
        <w:rPr>
          <w:rFonts w:ascii="arial" w:hAnsi="arial"/>
          <w:color w:val="3E3935"/>
          <w:sz w:val="18"/>
        </w:rPr>
        <w:t xml:space="preserve">For purposes of the following table, the Company describes these terminations and potential payments: </w:t>
      </w:r>
    </w:p>
    <w:p>
      <w:pPr>
        <w:pStyle w:val="TextBody"/>
        <w:bidi w:val="0"/>
        <w:spacing w:before="120" w:after="0"/>
        <w:jc w:val="both"/>
        <w:rPr>
          <w:rFonts w:ascii="arial" w:hAnsi="arial"/>
          <w:sz w:val="18"/>
        </w:rPr>
      </w:pPr>
      <w:r>
        <w:rPr>
          <w:rFonts w:ascii="arial" w:hAnsi="arial"/>
          <w:b/>
          <w:color w:val="0071CE"/>
          <w:sz w:val="18"/>
        </w:rPr>
        <w:t>Voluntary Separation or Termination for Cause</w:t>
      </w:r>
      <w:r>
        <w:rPr>
          <w:rFonts w:ascii="arial" w:hAnsi="arial"/>
          <w:color w:val="3E3935"/>
          <w:sz w:val="18"/>
        </w:rPr>
        <w:t xml:space="preserve"> — A voluntary separation occurs when an executive voluntarily terminates employment with the 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the executive generally forfeits all outstanding equity awards and is not eligible for any award or payment under the STIP. </w:t>
      </w:r>
    </w:p>
    <w:p>
      <w:pPr>
        <w:pStyle w:val="TextBody"/>
        <w:bidi w:val="0"/>
        <w:spacing w:before="120" w:after="0"/>
        <w:jc w:val="both"/>
        <w:rPr>
          <w:rFonts w:ascii="arial" w:hAnsi="arial"/>
          <w:sz w:val="18"/>
        </w:rPr>
      </w:pPr>
      <w:r>
        <w:rPr>
          <w:rFonts w:ascii="arial" w:hAnsi="arial"/>
          <w:b/>
          <w:color w:val="0071CE"/>
          <w:sz w:val="18"/>
        </w:rPr>
        <w:t>Executive Severance Program</w:t>
      </w:r>
      <w:r>
        <w:rPr>
          <w:rFonts w:ascii="arial" w:hAnsi="arial"/>
          <w:color w:val="3E3935"/>
          <w:sz w:val="18"/>
        </w:rPr>
        <w:t xml:space="preserve"> — A separation occurs when an executive’s position is eliminated, or the Company and an executive agree to mutually end the employment relationship. An executive will be eligible to receive a severance payment from the Company calculated based on his or her position and reflected as a multiple of base salary, COBRA, and a STIP award at target. An executive may receive cash payments of the value of the equity awards that are scheduled to vest within the next year after separation at the time of vesting. Unvested stock options are usually forfeited. An executive is also eligible for outplacement assistance based on position. All potential payments are contingent upon the executive entering into a mutual separation agreement. </w:t>
      </w:r>
    </w:p>
    <w:p>
      <w:pPr>
        <w:pStyle w:val="TextBody"/>
        <w:bidi w:val="0"/>
        <w:spacing w:before="120" w:after="0"/>
        <w:jc w:val="both"/>
        <w:rPr>
          <w:rFonts w:ascii="arial" w:hAnsi="arial"/>
          <w:sz w:val="18"/>
        </w:rPr>
      </w:pPr>
      <w:r>
        <w:rPr>
          <w:rFonts w:ascii="arial" w:hAnsi="arial"/>
          <w:b/>
          <w:color w:val="0071CE"/>
          <w:sz w:val="18"/>
        </w:rPr>
        <w:t>Full Career Status Retirement</w:t>
      </w:r>
      <w:r>
        <w:rPr>
          <w:rFonts w:ascii="arial" w:hAnsi="arial"/>
          <w:color w:val="3E3935"/>
          <w:sz w:val="18"/>
        </w:rPr>
        <w:t xml:space="preserve"> — A full career status retirement occurs when an executive reaches the age of 55 with 10 or more years of continuous service with the Company, or reaches the age of 62 or older, at which time the executive voluntarily separates from the Company. An executive who enters into a separation or severance agreement cannot also elect full career status retirement. </w:t>
      </w:r>
    </w:p>
    <w:p>
      <w:pPr>
        <w:pStyle w:val="TextBody"/>
        <w:bidi w:val="0"/>
        <w:spacing w:before="120" w:after="0"/>
        <w:jc w:val="both"/>
        <w:rPr>
          <w:rFonts w:ascii="arial" w:hAnsi="arial"/>
          <w:color w:val="3E3935"/>
          <w:sz w:val="18"/>
        </w:rPr>
      </w:pPr>
      <w:r>
        <w:rPr>
          <w:rFonts w:ascii="arial" w:hAnsi="arial"/>
          <w:color w:val="3E3935"/>
          <w:sz w:val="18"/>
        </w:rPr>
        <w:t xml:space="preserve">In the event of a full career status retirement, the executive is generally eligible for a prorated STIP award based on his or her retirement date in the performance year and once final performance has been determined. RSUs granted in the year of the retirement date are prorated based on the retirement date, and continue to vest in accordance with the vesting schedule. RSUs granted prior to the year of the retirement date will continue to vest in accordance with the vesting schedule. PSUs granted in the year of the retirement date are prorated based on the retirement date, and will be adjusted for final Company performance and be settled following approval of such performance. PSUs granted prior to the year of the retirement date will remain outstanding until the end of the performance period, at which time they will be adjusted for final Company performance and be settled following approval of such performance. Stock options granted in the year of the retirement date are prorated based on the retirement date, and continue to vest in accordance with the vesting schedule. Stock options granted prior to the year of the retirement date will continue to vest in accordance with the vesting schedule. </w:t>
      </w:r>
    </w:p>
    <w:p>
      <w:pPr>
        <w:pStyle w:val="TextBody"/>
        <w:bidi w:val="0"/>
        <w:spacing w:before="120" w:after="0"/>
        <w:jc w:val="both"/>
        <w:rPr>
          <w:rFonts w:ascii="arial" w:hAnsi="arial"/>
          <w:sz w:val="18"/>
        </w:rPr>
      </w:pPr>
      <w:r>
        <w:rPr>
          <w:rFonts w:ascii="arial" w:hAnsi="arial"/>
          <w:b/>
          <w:color w:val="0071CE"/>
          <w:sz w:val="18"/>
        </w:rPr>
        <w:t>Disability</w:t>
      </w:r>
      <w:r>
        <w:rPr>
          <w:rFonts w:ascii="arial" w:hAnsi="arial"/>
          <w:color w:val="3E3935"/>
          <w:sz w:val="18"/>
        </w:rPr>
        <w:t xml:space="preserve"> — Disability occurs when an executive terminates employment by reason of his or her inability to engage in any gainful activity due to a medically determinable physical or mental impairment that can be expected to result in death or can be expected to last for a continuous period of not less than 12 months. The executive is eligible for a full-year STIP award related to the year in which termination occurs once final Company performance has been determined. RSUs will continue to vest in accordance with the vesting schedule. PSUs will remain outstanding until the end of the performance period, at which time they will be adjusted for final Company performance and be settled following approval of such performance. Stock options will continue to vest in accordance with the vesting schedule. </w:t>
      </w:r>
    </w:p>
    <w:p>
      <w:pPr>
        <w:pStyle w:val="TextBody"/>
        <w:bidi w:val="0"/>
        <w:spacing w:before="120" w:after="0"/>
        <w:jc w:val="both"/>
        <w:rPr>
          <w:rFonts w:ascii="arial" w:hAnsi="arial"/>
          <w:sz w:val="18"/>
        </w:rPr>
      </w:pPr>
      <w:r>
        <w:rPr>
          <w:rFonts w:ascii="arial" w:hAnsi="arial"/>
          <w:b/>
          <w:color w:val="0071CE"/>
          <w:sz w:val="18"/>
        </w:rPr>
        <w:t>Death</w:t>
      </w:r>
      <w:r>
        <w:rPr>
          <w:rFonts w:ascii="arial" w:hAnsi="arial"/>
          <w:color w:val="3E3935"/>
          <w:sz w:val="18"/>
        </w:rPr>
        <w:t xml:space="preserve"> — Following the death of an executive, the beneficiary of the executive is eligible to receive the full-year STIP award subject to adjustment for final Company performance. RSUs immediately vest in full and are settled within 90 days of death. PSUs will remain outstanding until the end of the performance period, at which time they will be adjusted for final Company performance and be settled following approval of such performance. Stock options immediately vest upon death. </w:t>
      </w:r>
    </w:p>
    <w:p>
      <w:pPr>
        <w:pStyle w:val="TextBody"/>
        <w:bidi w:val="0"/>
        <w:spacing w:before="0" w:after="0"/>
        <w:jc w:val="left"/>
        <w:rPr/>
      </w:pPr>
      <w:r>
        <w:rPr/>
        <w:t> </w:t>
      </w:r>
    </w:p>
    <w:tbl>
      <w:tblPr>
        <w:tblW w:w="5483" w:type="dxa"/>
        <w:jc w:val="left"/>
        <w:tblInd w:w="0" w:type="dxa"/>
        <w:tblLayout w:type="fixed"/>
        <w:tblCellMar>
          <w:top w:w="0" w:type="dxa"/>
          <w:left w:w="0" w:type="dxa"/>
          <w:bottom w:w="0" w:type="dxa"/>
          <w:right w:w="0" w:type="dxa"/>
        </w:tblCellMar>
      </w:tblPr>
      <w:tblGrid>
        <w:gridCol w:w="275"/>
        <w:gridCol w:w="60"/>
        <w:gridCol w:w="192"/>
        <w:gridCol w:w="60"/>
        <w:gridCol w:w="4655"/>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72</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49"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78" descr=""/>
                          <pic:cNvPicPr>
                            <a:picLocks noChangeAspect="1" noChangeArrowheads="1"/>
                          </pic:cNvPicPr>
                        </pic:nvPicPr>
                        <pic:blipFill>
                          <a:blip r:embed="rId332"/>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center"/>
              <w:rPr>
                <w:b/>
                <w:color w:val="3E3935"/>
              </w:rPr>
            </w:pPr>
            <w:r>
              <w:rPr>
                <w:b/>
                <w:color w:val="3E3935"/>
              </w:rPr>
              <w:t xml:space="preserve">EXECUTIVE COMPENSATION TABLES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sz w:val="18"/>
        </w:rPr>
      </w:pPr>
      <w:r>
        <w:rPr>
          <w:rFonts w:ascii="arial" w:hAnsi="arial"/>
          <w:b/>
          <w:color w:val="0071CE"/>
          <w:sz w:val="18"/>
        </w:rPr>
        <w:t>Change in Control (Double Trigger)</w:t>
      </w:r>
      <w:r>
        <w:rPr>
          <w:rFonts w:ascii="arial" w:hAnsi="arial"/>
          <w:color w:val="3E3935"/>
          <w:sz w:val="18"/>
        </w:rPr>
        <w:t xml:space="preserve"> — In the event of a termination of employment resulting from a change in control, an executive will be eligible for severance under the Executive Severance Program that provides a severance payment based on position and a multiple of base salary and COBRA. An executive will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Stock options immediately vest and are exercisable upon termination as a result of a change in control. </w:t>
      </w:r>
    </w:p>
    <w:p>
      <w:pPr>
        <w:pStyle w:val="TextBody"/>
        <w:bidi w:val="0"/>
        <w:spacing w:before="120" w:after="0"/>
        <w:jc w:val="both"/>
        <w:rPr>
          <w:rFonts w:ascii="arial" w:hAnsi="arial"/>
          <w:color w:val="3E3935"/>
          <w:sz w:val="18"/>
        </w:rPr>
      </w:pPr>
      <w:r>
        <w:rPr>
          <w:rFonts w:ascii="arial" w:hAnsi="arial"/>
          <w:color w:val="3E3935"/>
          <w:sz w:val="18"/>
        </w:rPr>
        <w:t xml:space="preserve">Amounts shown below are calculated by assuming that the relevant employment termination event occurred on December 31, 2023. </w:t>
      </w:r>
    </w:p>
    <w:p>
      <w:pPr>
        <w:pStyle w:val="TextBody"/>
        <w:bidi w:val="0"/>
        <w:spacing w:before="0" w:after="0"/>
        <w:jc w:val="left"/>
        <w:rPr/>
      </w:pPr>
      <w:r>
        <w:rPr/>
        <w:t> </w:t>
      </w:r>
    </w:p>
    <w:tbl>
      <w:tblPr>
        <w:tblW w:w="11110" w:type="dxa"/>
        <w:jc w:val="left"/>
        <w:tblInd w:w="0" w:type="dxa"/>
        <w:tblLayout w:type="fixed"/>
        <w:tblCellMar>
          <w:top w:w="0" w:type="dxa"/>
          <w:left w:w="0" w:type="dxa"/>
          <w:bottom w:w="0" w:type="dxa"/>
          <w:right w:w="0" w:type="dxa"/>
        </w:tblCellMar>
      </w:tblPr>
      <w:tblGrid>
        <w:gridCol w:w="815"/>
        <w:gridCol w:w="60"/>
        <w:gridCol w:w="1490"/>
        <w:gridCol w:w="60"/>
        <w:gridCol w:w="265"/>
        <w:gridCol w:w="1150"/>
        <w:gridCol w:w="60"/>
        <w:gridCol w:w="60"/>
        <w:gridCol w:w="65"/>
        <w:gridCol w:w="1200"/>
        <w:gridCol w:w="60"/>
        <w:gridCol w:w="60"/>
        <w:gridCol w:w="63"/>
        <w:gridCol w:w="1172"/>
        <w:gridCol w:w="60"/>
        <w:gridCol w:w="60"/>
        <w:gridCol w:w="67"/>
        <w:gridCol w:w="1243"/>
        <w:gridCol w:w="60"/>
        <w:gridCol w:w="60"/>
        <w:gridCol w:w="60"/>
        <w:gridCol w:w="1100"/>
        <w:gridCol w:w="60"/>
        <w:gridCol w:w="60"/>
        <w:gridCol w:w="84"/>
        <w:gridCol w:w="1541"/>
        <w:gridCol w:w="7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Name</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9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Compensation</w:t>
              <w:br/>
              <w:t>Element(1)(2)(3)</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Voluntary</w:t>
              <w:br/>
              <w:t>Separation or</w:t>
              <w:br/>
              <w:t>Termination</w:t>
              <w:br/>
              <w:t>for Cause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6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Executive</w:t>
              <w:br/>
              <w:t>Severance</w:t>
              <w:br/>
              <w:t>Program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Retirement(4)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31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Disability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Death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62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Change in</w:t>
              <w:br/>
              <w:t>Control with</w:t>
              <w:br/>
              <w:t>Termination ($)</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Mary T. Barra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Cash</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4,253,798</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4,238,798</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STIP</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4,200,000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5,250,000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5,250,000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5,250,000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4,200,000</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LTIP</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6,019,689</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27,895,364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27,895,364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27,895,364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27,895,364</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b/>
                <w:color w:val="3E3935"/>
              </w:rPr>
            </w:pPr>
            <w:r>
              <w:rPr>
                <w:b/>
                <w:color w:val="3E3935"/>
              </w:rPr>
              <w:t>TOTAL</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b/>
                <w:color w:val="3E3935"/>
              </w:rPr>
            </w:pPr>
            <w:r>
              <w:rPr>
                <w:b/>
                <w:color w:val="3E3935"/>
              </w:rPr>
              <w:t>14,473,487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b/>
                <w:color w:val="3E3935"/>
              </w:rPr>
            </w:pPr>
            <w:r>
              <w:rPr>
                <w:b/>
                <w:color w:val="3E3935"/>
              </w:rPr>
              <w:t>33,145,364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b/>
                <w:color w:val="3E3935"/>
              </w:rPr>
            </w:pPr>
            <w:r>
              <w:rPr>
                <w:b/>
                <w:color w:val="3E3935"/>
              </w:rPr>
              <w:t>33,145,364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b/>
                <w:color w:val="3E3935"/>
              </w:rPr>
            </w:pPr>
            <w:r>
              <w:rPr>
                <w:b/>
                <w:color w:val="3E3935"/>
              </w:rPr>
              <w:t>33,145,364</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b/>
                <w:color w:val="3E3935"/>
              </w:rPr>
            </w:pPr>
            <w:r>
              <w:rPr>
                <w:b/>
                <w:color w:val="3E3935"/>
              </w:rPr>
              <w:t>36,334,162</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1550" w:type="dxa"/>
            <w:gridSpan w:val="2"/>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c>
          <w:tcPr>
            <w:tcW w:w="143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76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Paul A. Jacobson</w:t>
            </w:r>
          </w:p>
        </w:tc>
        <w:tc>
          <w:tcPr>
            <w:tcW w:w="60" w:type="dxa"/>
            <w:tcBorders/>
            <w:shd w:fill="CCF2F8" w:val="clear"/>
            <w:vAlign w:val="center"/>
          </w:tcPr>
          <w:p>
            <w:pPr>
              <w:pStyle w:val="TableContents"/>
              <w:bidi w:val="0"/>
              <w:spacing w:before="0" w:after="283"/>
              <w:jc w:val="left"/>
              <w:rPr/>
            </w:pPr>
            <w:r>
              <w:rPr/>
              <w:t> </w:t>
            </w:r>
          </w:p>
        </w:tc>
        <w:tc>
          <w:tcPr>
            <w:tcW w:w="1490" w:type="dxa"/>
            <w:tcBorders/>
            <w:shd w:fill="CCF2F8" w:val="clear"/>
            <w:vAlign w:val="center"/>
          </w:tcPr>
          <w:p>
            <w:pPr>
              <w:pStyle w:val="TableContents"/>
              <w:bidi w:val="0"/>
              <w:spacing w:before="0" w:after="283"/>
              <w:jc w:val="left"/>
              <w:rPr>
                <w:color w:val="3E3935"/>
              </w:rPr>
            </w:pPr>
            <w:r>
              <w:rPr>
                <w:color w:val="3E3935"/>
              </w:rPr>
              <w:t>Cash</w:t>
            </w:r>
          </w:p>
        </w:tc>
        <w:tc>
          <w:tcPr>
            <w:tcW w:w="60" w:type="dxa"/>
            <w:tcBorders/>
            <w:shd w:fill="CCF2F8" w:val="clear"/>
            <w:vAlign w:val="center"/>
          </w:tcPr>
          <w:p>
            <w:pPr>
              <w:pStyle w:val="TableContents"/>
              <w:bidi w:val="0"/>
              <w:spacing w:before="0" w:after="283"/>
              <w:jc w:val="left"/>
              <w:rPr/>
            </w:pPr>
            <w:r>
              <w:rPr/>
              <w:t> </w:t>
            </w:r>
          </w:p>
        </w:tc>
        <w:tc>
          <w:tcPr>
            <w:tcW w:w="265" w:type="dxa"/>
            <w:tcBorders/>
            <w:shd w:fill="CCF2F8" w:val="clear"/>
            <w:vAlign w:val="center"/>
          </w:tcPr>
          <w:p>
            <w:pPr>
              <w:pStyle w:val="TableContents"/>
              <w:bidi w:val="0"/>
              <w:spacing w:before="0" w:after="283"/>
              <w:jc w:val="left"/>
              <w:rPr>
                <w:color w:val="3E3935"/>
              </w:rPr>
            </w:pPr>
            <w:r>
              <w:rPr>
                <w:color w:val="3E3935"/>
              </w:rPr>
              <w:t> </w:t>
            </w:r>
          </w:p>
        </w:tc>
        <w:tc>
          <w:tcPr>
            <w:tcW w:w="115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5" w:type="dxa"/>
            <w:tcBorders/>
            <w:shd w:fill="CCF2F8" w:val="clear"/>
            <w:vAlign w:val="center"/>
          </w:tcPr>
          <w:p>
            <w:pPr>
              <w:pStyle w:val="TableContents"/>
              <w:bidi w:val="0"/>
              <w:spacing w:before="0" w:after="283"/>
              <w:jc w:val="left"/>
              <w:rPr>
                <w:color w:val="3E3935"/>
              </w:rPr>
            </w:pPr>
            <w:r>
              <w:rPr>
                <w:color w:val="3E3935"/>
              </w:rPr>
              <w:t> </w:t>
            </w:r>
          </w:p>
        </w:tc>
        <w:tc>
          <w:tcPr>
            <w:tcW w:w="1200" w:type="dxa"/>
            <w:tcBorders/>
            <w:shd w:fill="CCF2F8" w:val="clear"/>
            <w:vAlign w:val="center"/>
          </w:tcPr>
          <w:p>
            <w:pPr>
              <w:pStyle w:val="TableContents"/>
              <w:bidi w:val="0"/>
              <w:spacing w:before="0" w:after="283"/>
              <w:jc w:val="right"/>
              <w:rPr>
                <w:color w:val="3E3935"/>
              </w:rPr>
            </w:pPr>
            <w:r>
              <w:rPr>
                <w:color w:val="3E3935"/>
              </w:rPr>
              <w:t>1,534,820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3" w:type="dxa"/>
            <w:tcBorders/>
            <w:shd w:fill="CCF2F8" w:val="clear"/>
            <w:vAlign w:val="center"/>
          </w:tcPr>
          <w:p>
            <w:pPr>
              <w:pStyle w:val="TableContents"/>
              <w:bidi w:val="0"/>
              <w:spacing w:before="0" w:after="283"/>
              <w:jc w:val="left"/>
              <w:rPr>
                <w:color w:val="3E3935"/>
              </w:rPr>
            </w:pPr>
            <w:r>
              <w:rPr>
                <w:color w:val="3E3935"/>
              </w:rPr>
              <w:t> </w:t>
            </w:r>
          </w:p>
        </w:tc>
        <w:tc>
          <w:tcPr>
            <w:tcW w:w="1172"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1243"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541" w:type="dxa"/>
            <w:tcBorders/>
            <w:shd w:fill="CCF2F8" w:val="clear"/>
            <w:vAlign w:val="center"/>
          </w:tcPr>
          <w:p>
            <w:pPr>
              <w:pStyle w:val="TableContents"/>
              <w:bidi w:val="0"/>
              <w:spacing w:before="0" w:after="283"/>
              <w:jc w:val="right"/>
              <w:rPr>
                <w:color w:val="3E3935"/>
              </w:rPr>
            </w:pPr>
            <w:r>
              <w:rPr>
                <w:color w:val="3E3935"/>
              </w:rPr>
              <w:t>1,519,820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1550" w:type="dxa"/>
            <w:gridSpan w:val="2"/>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c>
          <w:tcPr>
            <w:tcW w:w="143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76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90" w:type="dxa"/>
            <w:tcBorders/>
            <w:shd w:fill="CCF2F8" w:val="clear"/>
            <w:vAlign w:val="center"/>
          </w:tcPr>
          <w:p>
            <w:pPr>
              <w:pStyle w:val="TableContents"/>
              <w:bidi w:val="0"/>
              <w:spacing w:before="0" w:after="283"/>
              <w:jc w:val="left"/>
              <w:rPr>
                <w:color w:val="3E3935"/>
              </w:rPr>
            </w:pPr>
            <w:r>
              <w:rPr>
                <w:color w:val="3E3935"/>
              </w:rPr>
              <w:t>STIP</w:t>
            </w:r>
          </w:p>
        </w:tc>
        <w:tc>
          <w:tcPr>
            <w:tcW w:w="60" w:type="dxa"/>
            <w:tcBorders/>
            <w:shd w:fill="CCF2F8" w:val="clear"/>
            <w:vAlign w:val="center"/>
          </w:tcPr>
          <w:p>
            <w:pPr>
              <w:pStyle w:val="TableContents"/>
              <w:bidi w:val="0"/>
              <w:spacing w:before="0" w:after="283"/>
              <w:jc w:val="left"/>
              <w:rPr/>
            </w:pPr>
            <w:r>
              <w:rPr/>
              <w:t> </w:t>
            </w:r>
          </w:p>
        </w:tc>
        <w:tc>
          <w:tcPr>
            <w:tcW w:w="265" w:type="dxa"/>
            <w:tcBorders/>
            <w:shd w:fill="CCF2F8" w:val="clear"/>
            <w:vAlign w:val="center"/>
          </w:tcPr>
          <w:p>
            <w:pPr>
              <w:pStyle w:val="TableContents"/>
              <w:bidi w:val="0"/>
              <w:spacing w:before="0" w:after="283"/>
              <w:jc w:val="left"/>
              <w:rPr>
                <w:color w:val="3E3935"/>
              </w:rPr>
            </w:pPr>
            <w:r>
              <w:rPr>
                <w:color w:val="3E3935"/>
              </w:rPr>
              <w:t> </w:t>
            </w:r>
          </w:p>
        </w:tc>
        <w:tc>
          <w:tcPr>
            <w:tcW w:w="115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5" w:type="dxa"/>
            <w:tcBorders/>
            <w:shd w:fill="CCF2F8" w:val="clear"/>
            <w:vAlign w:val="center"/>
          </w:tcPr>
          <w:p>
            <w:pPr>
              <w:pStyle w:val="TableContents"/>
              <w:bidi w:val="0"/>
              <w:spacing w:before="0" w:after="283"/>
              <w:jc w:val="left"/>
              <w:rPr>
                <w:color w:val="3E3935"/>
              </w:rPr>
            </w:pPr>
            <w:r>
              <w:rPr>
                <w:color w:val="3E3935"/>
              </w:rPr>
              <w:t> </w:t>
            </w:r>
          </w:p>
        </w:tc>
        <w:tc>
          <w:tcPr>
            <w:tcW w:w="1200" w:type="dxa"/>
            <w:tcBorders/>
            <w:shd w:fill="CCF2F8" w:val="clear"/>
            <w:vAlign w:val="center"/>
          </w:tcPr>
          <w:p>
            <w:pPr>
              <w:pStyle w:val="TableContents"/>
              <w:bidi w:val="0"/>
              <w:spacing w:before="0" w:after="283"/>
              <w:jc w:val="right"/>
              <w:rPr>
                <w:color w:val="3E3935"/>
              </w:rPr>
            </w:pPr>
            <w:r>
              <w:rPr>
                <w:color w:val="3E3935"/>
              </w:rPr>
              <w:t>1,250,000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3" w:type="dxa"/>
            <w:tcBorders/>
            <w:shd w:fill="CCF2F8" w:val="clear"/>
            <w:vAlign w:val="center"/>
          </w:tcPr>
          <w:p>
            <w:pPr>
              <w:pStyle w:val="TableContents"/>
              <w:bidi w:val="0"/>
              <w:spacing w:before="0" w:after="283"/>
              <w:jc w:val="left"/>
              <w:rPr>
                <w:color w:val="3E3935"/>
              </w:rPr>
            </w:pPr>
            <w:r>
              <w:rPr>
                <w:color w:val="3E3935"/>
              </w:rPr>
              <w:t> </w:t>
            </w:r>
          </w:p>
        </w:tc>
        <w:tc>
          <w:tcPr>
            <w:tcW w:w="1172"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1243" w:type="dxa"/>
            <w:tcBorders/>
            <w:shd w:fill="CCF2F8" w:val="clear"/>
            <w:vAlign w:val="center"/>
          </w:tcPr>
          <w:p>
            <w:pPr>
              <w:pStyle w:val="TableContents"/>
              <w:bidi w:val="0"/>
              <w:spacing w:before="0" w:after="283"/>
              <w:jc w:val="right"/>
              <w:rPr>
                <w:color w:val="3E3935"/>
              </w:rPr>
            </w:pPr>
            <w:r>
              <w:rPr>
                <w:color w:val="3E3935"/>
              </w:rPr>
              <w:t>1,562,500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1,562,500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541" w:type="dxa"/>
            <w:tcBorders/>
            <w:shd w:fill="CCF2F8" w:val="clear"/>
            <w:vAlign w:val="center"/>
          </w:tcPr>
          <w:p>
            <w:pPr>
              <w:pStyle w:val="TableContents"/>
              <w:bidi w:val="0"/>
              <w:spacing w:before="0" w:after="283"/>
              <w:jc w:val="right"/>
              <w:rPr>
                <w:color w:val="3E3935"/>
              </w:rPr>
            </w:pPr>
            <w:r>
              <w:rPr>
                <w:color w:val="3E3935"/>
              </w:rPr>
              <w:t>1,250,000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1550" w:type="dxa"/>
            <w:gridSpan w:val="2"/>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c>
          <w:tcPr>
            <w:tcW w:w="143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76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90" w:type="dxa"/>
            <w:tcBorders/>
            <w:shd w:fill="CCF2F8" w:val="clear"/>
            <w:vAlign w:val="center"/>
          </w:tcPr>
          <w:p>
            <w:pPr>
              <w:pStyle w:val="TableContents"/>
              <w:bidi w:val="0"/>
              <w:spacing w:before="0" w:after="283"/>
              <w:jc w:val="left"/>
              <w:rPr>
                <w:color w:val="3E3935"/>
              </w:rPr>
            </w:pPr>
            <w:r>
              <w:rPr>
                <w:color w:val="3E3935"/>
              </w:rPr>
              <w:t>LTIP</w:t>
            </w:r>
          </w:p>
        </w:tc>
        <w:tc>
          <w:tcPr>
            <w:tcW w:w="60" w:type="dxa"/>
            <w:tcBorders/>
            <w:shd w:fill="CCF2F8" w:val="clear"/>
            <w:vAlign w:val="center"/>
          </w:tcPr>
          <w:p>
            <w:pPr>
              <w:pStyle w:val="TableContents"/>
              <w:bidi w:val="0"/>
              <w:spacing w:before="0" w:after="283"/>
              <w:jc w:val="left"/>
              <w:rPr/>
            </w:pPr>
            <w:r>
              <w:rPr/>
              <w:t> </w:t>
            </w:r>
          </w:p>
        </w:tc>
        <w:tc>
          <w:tcPr>
            <w:tcW w:w="265" w:type="dxa"/>
            <w:tcBorders/>
            <w:shd w:fill="CCF2F8" w:val="clear"/>
            <w:vAlign w:val="center"/>
          </w:tcPr>
          <w:p>
            <w:pPr>
              <w:pStyle w:val="TableContents"/>
              <w:bidi w:val="0"/>
              <w:spacing w:before="0" w:after="283"/>
              <w:jc w:val="left"/>
              <w:rPr>
                <w:color w:val="3E3935"/>
              </w:rPr>
            </w:pPr>
            <w:r>
              <w:rPr>
                <w:color w:val="3E3935"/>
              </w:rPr>
              <w:t> </w:t>
            </w:r>
          </w:p>
        </w:tc>
        <w:tc>
          <w:tcPr>
            <w:tcW w:w="115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5" w:type="dxa"/>
            <w:tcBorders/>
            <w:shd w:fill="CCF2F8" w:val="clear"/>
            <w:vAlign w:val="center"/>
          </w:tcPr>
          <w:p>
            <w:pPr>
              <w:pStyle w:val="TableContents"/>
              <w:bidi w:val="0"/>
              <w:spacing w:before="0" w:after="283"/>
              <w:jc w:val="left"/>
              <w:rPr>
                <w:color w:val="3E3935"/>
              </w:rPr>
            </w:pPr>
            <w:r>
              <w:rPr>
                <w:color w:val="3E3935"/>
              </w:rPr>
              <w:t> </w:t>
            </w:r>
          </w:p>
        </w:tc>
        <w:tc>
          <w:tcPr>
            <w:tcW w:w="1200" w:type="dxa"/>
            <w:tcBorders/>
            <w:shd w:fill="CCF2F8" w:val="clear"/>
            <w:vAlign w:val="center"/>
          </w:tcPr>
          <w:p>
            <w:pPr>
              <w:pStyle w:val="TableContents"/>
              <w:bidi w:val="0"/>
              <w:spacing w:before="0" w:after="283"/>
              <w:jc w:val="right"/>
              <w:rPr>
                <w:color w:val="3E3935"/>
              </w:rPr>
            </w:pPr>
            <w:r>
              <w:rPr>
                <w:color w:val="3E3935"/>
              </w:rPr>
              <w:t>2,006,563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3" w:type="dxa"/>
            <w:tcBorders/>
            <w:shd w:fill="CCF2F8" w:val="clear"/>
            <w:vAlign w:val="center"/>
          </w:tcPr>
          <w:p>
            <w:pPr>
              <w:pStyle w:val="TableContents"/>
              <w:bidi w:val="0"/>
              <w:spacing w:before="0" w:after="283"/>
              <w:jc w:val="left"/>
              <w:rPr>
                <w:color w:val="3E3935"/>
              </w:rPr>
            </w:pPr>
            <w:r>
              <w:rPr>
                <w:color w:val="3E3935"/>
              </w:rPr>
              <w:t> </w:t>
            </w:r>
          </w:p>
        </w:tc>
        <w:tc>
          <w:tcPr>
            <w:tcW w:w="1172"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1243" w:type="dxa"/>
            <w:tcBorders/>
            <w:shd w:fill="CCF2F8" w:val="clear"/>
            <w:vAlign w:val="center"/>
          </w:tcPr>
          <w:p>
            <w:pPr>
              <w:pStyle w:val="TableContents"/>
              <w:bidi w:val="0"/>
              <w:spacing w:before="0" w:after="283"/>
              <w:jc w:val="right"/>
              <w:rPr>
                <w:color w:val="3E3935"/>
              </w:rPr>
            </w:pPr>
            <w:r>
              <w:rPr>
                <w:color w:val="3E3935"/>
              </w:rPr>
              <w:t>10,680,309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10,680,309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541" w:type="dxa"/>
            <w:tcBorders/>
            <w:shd w:fill="CCF2F8" w:val="clear"/>
            <w:vAlign w:val="center"/>
          </w:tcPr>
          <w:p>
            <w:pPr>
              <w:pStyle w:val="TableContents"/>
              <w:bidi w:val="0"/>
              <w:spacing w:before="0" w:after="283"/>
              <w:jc w:val="right"/>
              <w:rPr>
                <w:color w:val="3E3935"/>
              </w:rPr>
            </w:pPr>
            <w:r>
              <w:rPr>
                <w:color w:val="3E3935"/>
              </w:rPr>
              <w:t>10,680,309</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1550" w:type="dxa"/>
            <w:gridSpan w:val="2"/>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c>
          <w:tcPr>
            <w:tcW w:w="143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76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90" w:type="dxa"/>
            <w:tcBorders/>
            <w:shd w:fill="CCF2F8" w:val="clear"/>
            <w:vAlign w:val="center"/>
          </w:tcPr>
          <w:p>
            <w:pPr>
              <w:pStyle w:val="TableContents"/>
              <w:bidi w:val="0"/>
              <w:spacing w:before="0" w:after="283"/>
              <w:jc w:val="left"/>
              <w:rPr>
                <w:b/>
                <w:color w:val="3E3935"/>
              </w:rPr>
            </w:pPr>
            <w:r>
              <w:rPr>
                <w:b/>
                <w:color w:val="3E3935"/>
              </w:rPr>
              <w:t>TOTAL</w:t>
            </w:r>
          </w:p>
        </w:tc>
        <w:tc>
          <w:tcPr>
            <w:tcW w:w="60" w:type="dxa"/>
            <w:tcBorders/>
            <w:shd w:fill="CCF2F8" w:val="clear"/>
            <w:vAlign w:val="center"/>
          </w:tcPr>
          <w:p>
            <w:pPr>
              <w:pStyle w:val="TableContents"/>
              <w:bidi w:val="0"/>
              <w:spacing w:before="0" w:after="283"/>
              <w:jc w:val="left"/>
              <w:rPr/>
            </w:pPr>
            <w:r>
              <w:rPr/>
              <w:t> </w:t>
            </w:r>
          </w:p>
        </w:tc>
        <w:tc>
          <w:tcPr>
            <w:tcW w:w="265" w:type="dxa"/>
            <w:tcBorders/>
            <w:shd w:fill="CCF2F8" w:val="clear"/>
            <w:vAlign w:val="center"/>
          </w:tcPr>
          <w:p>
            <w:pPr>
              <w:pStyle w:val="TableContents"/>
              <w:bidi w:val="0"/>
              <w:spacing w:before="0" w:after="283"/>
              <w:jc w:val="left"/>
              <w:rPr>
                <w:color w:val="3E3935"/>
              </w:rPr>
            </w:pPr>
            <w:r>
              <w:rPr>
                <w:color w:val="3E3935"/>
              </w:rPr>
              <w:t> </w:t>
            </w:r>
          </w:p>
        </w:tc>
        <w:tc>
          <w:tcPr>
            <w:tcW w:w="115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5" w:type="dxa"/>
            <w:tcBorders/>
            <w:shd w:fill="CCF2F8" w:val="clear"/>
            <w:vAlign w:val="center"/>
          </w:tcPr>
          <w:p>
            <w:pPr>
              <w:pStyle w:val="TableContents"/>
              <w:bidi w:val="0"/>
              <w:spacing w:before="0" w:after="283"/>
              <w:jc w:val="left"/>
              <w:rPr>
                <w:color w:val="3E3935"/>
              </w:rPr>
            </w:pPr>
            <w:r>
              <w:rPr>
                <w:color w:val="3E3935"/>
              </w:rPr>
              <w:t> </w:t>
            </w:r>
          </w:p>
        </w:tc>
        <w:tc>
          <w:tcPr>
            <w:tcW w:w="1200" w:type="dxa"/>
            <w:tcBorders/>
            <w:shd w:fill="CCF2F8" w:val="clear"/>
            <w:vAlign w:val="center"/>
          </w:tcPr>
          <w:p>
            <w:pPr>
              <w:pStyle w:val="TableContents"/>
              <w:bidi w:val="0"/>
              <w:spacing w:before="0" w:after="283"/>
              <w:jc w:val="right"/>
              <w:rPr>
                <w:b/>
                <w:color w:val="3E3935"/>
              </w:rPr>
            </w:pPr>
            <w:r>
              <w:rPr>
                <w:b/>
                <w:color w:val="3E3935"/>
              </w:rPr>
              <w:t>4,791,383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3" w:type="dxa"/>
            <w:tcBorders/>
            <w:shd w:fill="CCF2F8" w:val="clear"/>
            <w:vAlign w:val="center"/>
          </w:tcPr>
          <w:p>
            <w:pPr>
              <w:pStyle w:val="TableContents"/>
              <w:bidi w:val="0"/>
              <w:spacing w:before="0" w:after="283"/>
              <w:jc w:val="left"/>
              <w:rPr>
                <w:color w:val="3E3935"/>
              </w:rPr>
            </w:pPr>
            <w:r>
              <w:rPr>
                <w:color w:val="3E3935"/>
              </w:rPr>
              <w:t> </w:t>
            </w:r>
          </w:p>
        </w:tc>
        <w:tc>
          <w:tcPr>
            <w:tcW w:w="1172"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1243" w:type="dxa"/>
            <w:tcBorders/>
            <w:shd w:fill="CCF2F8" w:val="clear"/>
            <w:vAlign w:val="center"/>
          </w:tcPr>
          <w:p>
            <w:pPr>
              <w:pStyle w:val="TableContents"/>
              <w:bidi w:val="0"/>
              <w:spacing w:before="0" w:after="283"/>
              <w:jc w:val="right"/>
              <w:rPr>
                <w:b/>
                <w:color w:val="3E3935"/>
              </w:rPr>
            </w:pPr>
            <w:r>
              <w:rPr>
                <w:b/>
                <w:color w:val="3E3935"/>
              </w:rPr>
              <w:t>12,242,809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b/>
                <w:color w:val="3E3935"/>
              </w:rPr>
            </w:pPr>
            <w:r>
              <w:rPr>
                <w:b/>
                <w:color w:val="3E3935"/>
              </w:rPr>
              <w:t>12,242,809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541" w:type="dxa"/>
            <w:tcBorders/>
            <w:shd w:fill="CCF2F8" w:val="clear"/>
            <w:vAlign w:val="center"/>
          </w:tcPr>
          <w:p>
            <w:pPr>
              <w:pStyle w:val="TableContents"/>
              <w:bidi w:val="0"/>
              <w:spacing w:before="0" w:after="283"/>
              <w:jc w:val="right"/>
              <w:rPr>
                <w:b/>
                <w:color w:val="3E3935"/>
              </w:rPr>
            </w:pPr>
            <w:r>
              <w:rPr>
                <w:b/>
                <w:color w:val="3E3935"/>
              </w:rPr>
              <w:t>13,450,129</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Mark L. Reuss</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Cash</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2,069,099</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2,054,099</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STIP</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1,687,500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2,109,400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2,109,400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2,109,400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1,687,500</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LTIP</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2,551,218</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16,100,637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16,100,637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16,100,637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16,100,637</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b/>
                <w:color w:val="3E3935"/>
              </w:rPr>
            </w:pPr>
            <w:r>
              <w:rPr>
                <w:b/>
                <w:color w:val="3E3935"/>
              </w:rPr>
              <w:t>TOTAL</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b/>
                <w:color w:val="3E3935"/>
              </w:rPr>
            </w:pPr>
            <w:r>
              <w:rPr>
                <w:b/>
                <w:color w:val="3E3935"/>
              </w:rPr>
              <w:t>6,307,817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b/>
                <w:color w:val="3E3935"/>
              </w:rPr>
            </w:pPr>
            <w:r>
              <w:rPr>
                <w:b/>
                <w:color w:val="3E3935"/>
              </w:rPr>
              <w:t>18,210,037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b/>
                <w:color w:val="3E3935"/>
              </w:rPr>
            </w:pPr>
            <w:r>
              <w:rPr>
                <w:b/>
                <w:color w:val="3E3935"/>
              </w:rPr>
              <w:t>18,210,037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b/>
                <w:color w:val="3E3935"/>
              </w:rPr>
            </w:pPr>
            <w:r>
              <w:rPr>
                <w:b/>
                <w:color w:val="3E3935"/>
              </w:rPr>
              <w:t>18,210,037</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b/>
                <w:color w:val="3E3935"/>
              </w:rPr>
            </w:pPr>
            <w:r>
              <w:rPr>
                <w:b/>
                <w:color w:val="3E3935"/>
              </w:rPr>
              <w:t>19,842,236</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1550" w:type="dxa"/>
            <w:gridSpan w:val="2"/>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c>
          <w:tcPr>
            <w:tcW w:w="143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76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Michael Abbott</w:t>
            </w:r>
          </w:p>
        </w:tc>
        <w:tc>
          <w:tcPr>
            <w:tcW w:w="60" w:type="dxa"/>
            <w:tcBorders/>
            <w:shd w:fill="CCF2F8" w:val="clear"/>
            <w:vAlign w:val="center"/>
          </w:tcPr>
          <w:p>
            <w:pPr>
              <w:pStyle w:val="TableContents"/>
              <w:bidi w:val="0"/>
              <w:spacing w:before="0" w:after="283"/>
              <w:jc w:val="left"/>
              <w:rPr/>
            </w:pPr>
            <w:r>
              <w:rPr/>
              <w:t> </w:t>
            </w:r>
          </w:p>
        </w:tc>
        <w:tc>
          <w:tcPr>
            <w:tcW w:w="1490" w:type="dxa"/>
            <w:tcBorders/>
            <w:shd w:fill="CCF2F8" w:val="clear"/>
            <w:vAlign w:val="center"/>
          </w:tcPr>
          <w:p>
            <w:pPr>
              <w:pStyle w:val="TableContents"/>
              <w:bidi w:val="0"/>
              <w:spacing w:before="0" w:after="283"/>
              <w:jc w:val="left"/>
              <w:rPr>
                <w:color w:val="3E3935"/>
              </w:rPr>
            </w:pPr>
            <w:r>
              <w:rPr>
                <w:color w:val="3E3935"/>
              </w:rPr>
              <w:t>Cash</w:t>
            </w:r>
          </w:p>
        </w:tc>
        <w:tc>
          <w:tcPr>
            <w:tcW w:w="60" w:type="dxa"/>
            <w:tcBorders/>
            <w:shd w:fill="CCF2F8" w:val="clear"/>
            <w:vAlign w:val="center"/>
          </w:tcPr>
          <w:p>
            <w:pPr>
              <w:pStyle w:val="TableContents"/>
              <w:bidi w:val="0"/>
              <w:spacing w:before="0" w:after="283"/>
              <w:jc w:val="left"/>
              <w:rPr/>
            </w:pPr>
            <w:r>
              <w:rPr/>
              <w:t> </w:t>
            </w:r>
          </w:p>
        </w:tc>
        <w:tc>
          <w:tcPr>
            <w:tcW w:w="265" w:type="dxa"/>
            <w:tcBorders/>
            <w:shd w:fill="CCF2F8" w:val="clear"/>
            <w:vAlign w:val="center"/>
          </w:tcPr>
          <w:p>
            <w:pPr>
              <w:pStyle w:val="TableContents"/>
              <w:bidi w:val="0"/>
              <w:spacing w:before="0" w:after="283"/>
              <w:jc w:val="left"/>
              <w:rPr>
                <w:color w:val="3E3935"/>
              </w:rPr>
            </w:pPr>
            <w:r>
              <w:rPr>
                <w:color w:val="3E3935"/>
              </w:rPr>
              <w:t> </w:t>
            </w:r>
          </w:p>
        </w:tc>
        <w:tc>
          <w:tcPr>
            <w:tcW w:w="115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5" w:type="dxa"/>
            <w:tcBorders/>
            <w:shd w:fill="CCF2F8" w:val="clear"/>
            <w:vAlign w:val="center"/>
          </w:tcPr>
          <w:p>
            <w:pPr>
              <w:pStyle w:val="TableContents"/>
              <w:bidi w:val="0"/>
              <w:spacing w:before="0" w:after="283"/>
              <w:jc w:val="left"/>
              <w:rPr>
                <w:color w:val="3E3935"/>
              </w:rPr>
            </w:pPr>
            <w:r>
              <w:rPr>
                <w:color w:val="3E3935"/>
              </w:rPr>
              <w:t> </w:t>
            </w:r>
          </w:p>
        </w:tc>
        <w:tc>
          <w:tcPr>
            <w:tcW w:w="1200" w:type="dxa"/>
            <w:tcBorders/>
            <w:shd w:fill="CCF2F8" w:val="clear"/>
            <w:vAlign w:val="center"/>
          </w:tcPr>
          <w:p>
            <w:pPr>
              <w:pStyle w:val="TableContents"/>
              <w:bidi w:val="0"/>
              <w:spacing w:before="0" w:after="283"/>
              <w:jc w:val="right"/>
              <w:rPr>
                <w:color w:val="3E3935"/>
              </w:rPr>
            </w:pPr>
            <w:r>
              <w:rPr>
                <w:color w:val="3E3935"/>
              </w:rPr>
              <w:t>1,244,099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3" w:type="dxa"/>
            <w:tcBorders/>
            <w:shd w:fill="CCF2F8" w:val="clear"/>
            <w:vAlign w:val="center"/>
          </w:tcPr>
          <w:p>
            <w:pPr>
              <w:pStyle w:val="TableContents"/>
              <w:bidi w:val="0"/>
              <w:spacing w:before="0" w:after="283"/>
              <w:jc w:val="left"/>
              <w:rPr>
                <w:color w:val="3E3935"/>
              </w:rPr>
            </w:pPr>
            <w:r>
              <w:rPr>
                <w:color w:val="3E3935"/>
              </w:rPr>
              <w:t> </w:t>
            </w:r>
          </w:p>
        </w:tc>
        <w:tc>
          <w:tcPr>
            <w:tcW w:w="1172"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1243"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541" w:type="dxa"/>
            <w:tcBorders/>
            <w:shd w:fill="CCF2F8" w:val="clear"/>
            <w:vAlign w:val="center"/>
          </w:tcPr>
          <w:p>
            <w:pPr>
              <w:pStyle w:val="TableContents"/>
              <w:bidi w:val="0"/>
              <w:spacing w:before="0" w:after="283"/>
              <w:jc w:val="right"/>
              <w:rPr>
                <w:color w:val="3E3935"/>
              </w:rPr>
            </w:pPr>
            <w:r>
              <w:rPr>
                <w:color w:val="3E3935"/>
              </w:rPr>
              <w:t>1,229,099</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1550" w:type="dxa"/>
            <w:gridSpan w:val="2"/>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c>
          <w:tcPr>
            <w:tcW w:w="143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76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90" w:type="dxa"/>
            <w:tcBorders/>
            <w:shd w:fill="CCF2F8" w:val="clear"/>
            <w:vAlign w:val="center"/>
          </w:tcPr>
          <w:p>
            <w:pPr>
              <w:pStyle w:val="TableContents"/>
              <w:bidi w:val="0"/>
              <w:spacing w:before="0" w:after="283"/>
              <w:jc w:val="left"/>
              <w:rPr>
                <w:color w:val="3E3935"/>
              </w:rPr>
            </w:pPr>
            <w:r>
              <w:rPr>
                <w:color w:val="3E3935"/>
              </w:rPr>
              <w:t>STIP</w:t>
            </w:r>
          </w:p>
        </w:tc>
        <w:tc>
          <w:tcPr>
            <w:tcW w:w="60" w:type="dxa"/>
            <w:tcBorders/>
            <w:shd w:fill="CCF2F8" w:val="clear"/>
            <w:vAlign w:val="center"/>
          </w:tcPr>
          <w:p>
            <w:pPr>
              <w:pStyle w:val="TableContents"/>
              <w:bidi w:val="0"/>
              <w:spacing w:before="0" w:after="283"/>
              <w:jc w:val="left"/>
              <w:rPr/>
            </w:pPr>
            <w:r>
              <w:rPr/>
              <w:t> </w:t>
            </w:r>
          </w:p>
        </w:tc>
        <w:tc>
          <w:tcPr>
            <w:tcW w:w="265" w:type="dxa"/>
            <w:tcBorders/>
            <w:shd w:fill="CCF2F8" w:val="clear"/>
            <w:vAlign w:val="center"/>
          </w:tcPr>
          <w:p>
            <w:pPr>
              <w:pStyle w:val="TableContents"/>
              <w:bidi w:val="0"/>
              <w:spacing w:before="0" w:after="283"/>
              <w:jc w:val="left"/>
              <w:rPr>
                <w:color w:val="3E3935"/>
              </w:rPr>
            </w:pPr>
            <w:r>
              <w:rPr>
                <w:color w:val="3E3935"/>
              </w:rPr>
              <w:t> </w:t>
            </w:r>
          </w:p>
        </w:tc>
        <w:tc>
          <w:tcPr>
            <w:tcW w:w="115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5" w:type="dxa"/>
            <w:tcBorders/>
            <w:shd w:fill="CCF2F8" w:val="clear"/>
            <w:vAlign w:val="center"/>
          </w:tcPr>
          <w:p>
            <w:pPr>
              <w:pStyle w:val="TableContents"/>
              <w:bidi w:val="0"/>
              <w:spacing w:before="0" w:after="283"/>
              <w:jc w:val="left"/>
              <w:rPr>
                <w:color w:val="3E3935"/>
              </w:rPr>
            </w:pPr>
            <w:r>
              <w:rPr>
                <w:color w:val="3E3935"/>
              </w:rPr>
              <w:t> </w:t>
            </w:r>
          </w:p>
        </w:tc>
        <w:tc>
          <w:tcPr>
            <w:tcW w:w="1200" w:type="dxa"/>
            <w:tcBorders/>
            <w:shd w:fill="CCF2F8" w:val="clear"/>
            <w:vAlign w:val="center"/>
          </w:tcPr>
          <w:p>
            <w:pPr>
              <w:pStyle w:val="TableContents"/>
              <w:bidi w:val="0"/>
              <w:spacing w:before="0" w:after="283"/>
              <w:jc w:val="right"/>
              <w:rPr>
                <w:color w:val="3E3935"/>
              </w:rPr>
            </w:pPr>
            <w:r>
              <w:rPr>
                <w:color w:val="3E3935"/>
              </w:rPr>
              <w:t>1,000,000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3" w:type="dxa"/>
            <w:tcBorders/>
            <w:shd w:fill="CCF2F8" w:val="clear"/>
            <w:vAlign w:val="center"/>
          </w:tcPr>
          <w:p>
            <w:pPr>
              <w:pStyle w:val="TableContents"/>
              <w:bidi w:val="0"/>
              <w:spacing w:before="0" w:after="283"/>
              <w:jc w:val="left"/>
              <w:rPr>
                <w:color w:val="3E3935"/>
              </w:rPr>
            </w:pPr>
            <w:r>
              <w:rPr>
                <w:color w:val="3E3935"/>
              </w:rPr>
              <w:t> </w:t>
            </w:r>
          </w:p>
        </w:tc>
        <w:tc>
          <w:tcPr>
            <w:tcW w:w="1172"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1243" w:type="dxa"/>
            <w:tcBorders/>
            <w:shd w:fill="CCF2F8" w:val="clear"/>
            <w:vAlign w:val="center"/>
          </w:tcPr>
          <w:p>
            <w:pPr>
              <w:pStyle w:val="TableContents"/>
              <w:bidi w:val="0"/>
              <w:spacing w:before="0" w:after="283"/>
              <w:jc w:val="right"/>
              <w:rPr>
                <w:color w:val="3E3935"/>
              </w:rPr>
            </w:pPr>
            <w:r>
              <w:rPr>
                <w:color w:val="3E3935"/>
              </w:rPr>
              <w:t>1,250,000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1,250,000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541" w:type="dxa"/>
            <w:tcBorders/>
            <w:shd w:fill="CCF2F8" w:val="clear"/>
            <w:vAlign w:val="center"/>
          </w:tcPr>
          <w:p>
            <w:pPr>
              <w:pStyle w:val="TableContents"/>
              <w:bidi w:val="0"/>
              <w:spacing w:before="0" w:after="283"/>
              <w:jc w:val="right"/>
              <w:rPr>
                <w:color w:val="3E3935"/>
              </w:rPr>
            </w:pPr>
            <w:r>
              <w:rPr>
                <w:color w:val="3E3935"/>
              </w:rPr>
              <w:t>1,000,000</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1550" w:type="dxa"/>
            <w:gridSpan w:val="2"/>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c>
          <w:tcPr>
            <w:tcW w:w="143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76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90" w:type="dxa"/>
            <w:tcBorders/>
            <w:shd w:fill="CCF2F8" w:val="clear"/>
            <w:vAlign w:val="center"/>
          </w:tcPr>
          <w:p>
            <w:pPr>
              <w:pStyle w:val="TableContents"/>
              <w:bidi w:val="0"/>
              <w:spacing w:before="0" w:after="283"/>
              <w:jc w:val="left"/>
              <w:rPr>
                <w:color w:val="3E3935"/>
              </w:rPr>
            </w:pPr>
            <w:r>
              <w:rPr>
                <w:color w:val="3E3935"/>
              </w:rPr>
              <w:t>LTIP</w:t>
            </w:r>
          </w:p>
        </w:tc>
        <w:tc>
          <w:tcPr>
            <w:tcW w:w="60" w:type="dxa"/>
            <w:tcBorders/>
            <w:shd w:fill="CCF2F8" w:val="clear"/>
            <w:vAlign w:val="center"/>
          </w:tcPr>
          <w:p>
            <w:pPr>
              <w:pStyle w:val="TableContents"/>
              <w:bidi w:val="0"/>
              <w:spacing w:before="0" w:after="283"/>
              <w:jc w:val="left"/>
              <w:rPr/>
            </w:pPr>
            <w:r>
              <w:rPr/>
              <w:t> </w:t>
            </w:r>
          </w:p>
        </w:tc>
        <w:tc>
          <w:tcPr>
            <w:tcW w:w="265" w:type="dxa"/>
            <w:tcBorders/>
            <w:shd w:fill="CCF2F8" w:val="clear"/>
            <w:vAlign w:val="center"/>
          </w:tcPr>
          <w:p>
            <w:pPr>
              <w:pStyle w:val="TableContents"/>
              <w:bidi w:val="0"/>
              <w:spacing w:before="0" w:after="283"/>
              <w:jc w:val="left"/>
              <w:rPr>
                <w:color w:val="3E3935"/>
              </w:rPr>
            </w:pPr>
            <w:r>
              <w:rPr>
                <w:color w:val="3E3935"/>
              </w:rPr>
              <w:t> </w:t>
            </w:r>
          </w:p>
        </w:tc>
        <w:tc>
          <w:tcPr>
            <w:tcW w:w="115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5" w:type="dxa"/>
            <w:tcBorders/>
            <w:shd w:fill="CCF2F8" w:val="clear"/>
            <w:vAlign w:val="center"/>
          </w:tcPr>
          <w:p>
            <w:pPr>
              <w:pStyle w:val="TableContents"/>
              <w:bidi w:val="0"/>
              <w:spacing w:before="0" w:after="283"/>
              <w:jc w:val="left"/>
              <w:rPr>
                <w:color w:val="3E3935"/>
              </w:rPr>
            </w:pPr>
            <w:r>
              <w:rPr>
                <w:color w:val="3E3935"/>
              </w:rPr>
              <w:t> </w:t>
            </w:r>
          </w:p>
        </w:tc>
        <w:tc>
          <w:tcPr>
            <w:tcW w:w="1200" w:type="dxa"/>
            <w:tcBorders/>
            <w:shd w:fill="CCF2F8" w:val="clear"/>
            <w:vAlign w:val="center"/>
          </w:tcPr>
          <w:p>
            <w:pPr>
              <w:pStyle w:val="TableContents"/>
              <w:bidi w:val="0"/>
              <w:spacing w:before="0" w:after="283"/>
              <w:jc w:val="right"/>
              <w:rPr>
                <w:color w:val="3E3935"/>
              </w:rPr>
            </w:pPr>
            <w:r>
              <w:rPr>
                <w:color w:val="3E3935"/>
              </w:rPr>
              <w:t>7,836,774</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3" w:type="dxa"/>
            <w:tcBorders/>
            <w:shd w:fill="CCF2F8" w:val="clear"/>
            <w:vAlign w:val="center"/>
          </w:tcPr>
          <w:p>
            <w:pPr>
              <w:pStyle w:val="TableContents"/>
              <w:bidi w:val="0"/>
              <w:spacing w:before="0" w:after="283"/>
              <w:jc w:val="left"/>
              <w:rPr>
                <w:color w:val="3E3935"/>
              </w:rPr>
            </w:pPr>
            <w:r>
              <w:rPr>
                <w:color w:val="3E3935"/>
              </w:rPr>
              <w:t> </w:t>
            </w:r>
          </w:p>
        </w:tc>
        <w:tc>
          <w:tcPr>
            <w:tcW w:w="1172"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1243" w:type="dxa"/>
            <w:tcBorders/>
            <w:shd w:fill="CCF2F8" w:val="clear"/>
            <w:vAlign w:val="center"/>
          </w:tcPr>
          <w:p>
            <w:pPr>
              <w:pStyle w:val="TableContents"/>
              <w:bidi w:val="0"/>
              <w:spacing w:before="0" w:after="283"/>
              <w:jc w:val="right"/>
              <w:rPr>
                <w:color w:val="3E3935"/>
              </w:rPr>
            </w:pPr>
            <w:r>
              <w:rPr>
                <w:color w:val="3E3935"/>
              </w:rPr>
              <w:t>15,673,512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color w:val="3E3935"/>
              </w:rPr>
            </w:pPr>
            <w:r>
              <w:rPr>
                <w:color w:val="3E3935"/>
              </w:rPr>
              <w:t>15,673,512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541" w:type="dxa"/>
            <w:tcBorders/>
            <w:shd w:fill="CCF2F8" w:val="clear"/>
            <w:vAlign w:val="center"/>
          </w:tcPr>
          <w:p>
            <w:pPr>
              <w:pStyle w:val="TableContents"/>
              <w:bidi w:val="0"/>
              <w:spacing w:before="0" w:after="283"/>
              <w:jc w:val="right"/>
              <w:rPr>
                <w:color w:val="3E3935"/>
              </w:rPr>
            </w:pPr>
            <w:r>
              <w:rPr>
                <w:color w:val="3E3935"/>
              </w:rPr>
              <w:t>15,673,512</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1550" w:type="dxa"/>
            <w:gridSpan w:val="2"/>
            <w:tcBorders/>
            <w:shd w:fill="CCF2F8" w:val="clear"/>
            <w:vAlign w:val="center"/>
          </w:tcPr>
          <w:p>
            <w:pPr>
              <w:pStyle w:val="TableContents"/>
              <w:bidi w:val="0"/>
              <w:spacing w:before="0" w:after="283"/>
              <w:jc w:val="left"/>
              <w:rPr>
                <w:sz w:val="4"/>
                <w:szCs w:val="4"/>
              </w:rPr>
            </w:pPr>
            <w:r>
              <w:rPr>
                <w:sz w:val="4"/>
                <w:szCs w:val="4"/>
              </w:rPr>
            </w:r>
          </w:p>
        </w:tc>
        <w:tc>
          <w:tcPr>
            <w:tcW w:w="1535" w:type="dxa"/>
            <w:gridSpan w:val="4"/>
            <w:tcBorders/>
            <w:shd w:fill="CCF2F8" w:val="clear"/>
            <w:vAlign w:val="center"/>
          </w:tcPr>
          <w:p>
            <w:pPr>
              <w:pStyle w:val="TableContents"/>
              <w:bidi w:val="0"/>
              <w:spacing w:before="0" w:after="283"/>
              <w:jc w:val="left"/>
              <w:rPr>
                <w:sz w:val="4"/>
                <w:szCs w:val="4"/>
              </w:rPr>
            </w:pPr>
            <w:r>
              <w:rPr>
                <w:sz w:val="4"/>
                <w:szCs w:val="4"/>
              </w:rPr>
            </w:r>
          </w:p>
        </w:tc>
        <w:tc>
          <w:tcPr>
            <w:tcW w:w="1385" w:type="dxa"/>
            <w:gridSpan w:val="4"/>
            <w:tcBorders/>
            <w:shd w:fill="CCF2F8" w:val="clear"/>
            <w:vAlign w:val="center"/>
          </w:tcPr>
          <w:p>
            <w:pPr>
              <w:pStyle w:val="TableContents"/>
              <w:bidi w:val="0"/>
              <w:spacing w:before="0" w:after="283"/>
              <w:jc w:val="left"/>
              <w:rPr>
                <w:sz w:val="4"/>
                <w:szCs w:val="4"/>
              </w:rPr>
            </w:pPr>
            <w:r>
              <w:rPr>
                <w:sz w:val="4"/>
                <w:szCs w:val="4"/>
              </w:rPr>
            </w:r>
          </w:p>
        </w:tc>
        <w:tc>
          <w:tcPr>
            <w:tcW w:w="1355" w:type="dxa"/>
            <w:gridSpan w:val="4"/>
            <w:tcBorders/>
            <w:shd w:fill="CCF2F8" w:val="clear"/>
            <w:vAlign w:val="center"/>
          </w:tcPr>
          <w:p>
            <w:pPr>
              <w:pStyle w:val="TableContents"/>
              <w:bidi w:val="0"/>
              <w:spacing w:before="0" w:after="283"/>
              <w:jc w:val="left"/>
              <w:rPr>
                <w:sz w:val="4"/>
                <w:szCs w:val="4"/>
              </w:rPr>
            </w:pPr>
            <w:r>
              <w:rPr>
                <w:sz w:val="4"/>
                <w:szCs w:val="4"/>
              </w:rPr>
            </w:r>
          </w:p>
        </w:tc>
        <w:tc>
          <w:tcPr>
            <w:tcW w:w="1430" w:type="dxa"/>
            <w:gridSpan w:val="4"/>
            <w:tcBorders/>
            <w:shd w:fill="CCF2F8" w:val="clear"/>
            <w:vAlign w:val="center"/>
          </w:tcPr>
          <w:p>
            <w:pPr>
              <w:pStyle w:val="TableContents"/>
              <w:bidi w:val="0"/>
              <w:spacing w:before="0" w:after="283"/>
              <w:jc w:val="left"/>
              <w:rPr>
                <w:sz w:val="4"/>
                <w:szCs w:val="4"/>
              </w:rPr>
            </w:pPr>
            <w:r>
              <w:rPr>
                <w:sz w:val="4"/>
                <w:szCs w:val="4"/>
              </w:rPr>
            </w:r>
          </w:p>
        </w:tc>
        <w:tc>
          <w:tcPr>
            <w:tcW w:w="1280" w:type="dxa"/>
            <w:gridSpan w:val="4"/>
            <w:tcBorders/>
            <w:shd w:fill="CCF2F8" w:val="clear"/>
            <w:vAlign w:val="center"/>
          </w:tcPr>
          <w:p>
            <w:pPr>
              <w:pStyle w:val="TableContents"/>
              <w:bidi w:val="0"/>
              <w:spacing w:before="0" w:after="283"/>
              <w:jc w:val="left"/>
              <w:rPr>
                <w:sz w:val="4"/>
                <w:szCs w:val="4"/>
              </w:rPr>
            </w:pPr>
            <w:r>
              <w:rPr>
                <w:sz w:val="4"/>
                <w:szCs w:val="4"/>
              </w:rPr>
            </w:r>
          </w:p>
        </w:tc>
        <w:tc>
          <w:tcPr>
            <w:tcW w:w="176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1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90" w:type="dxa"/>
            <w:tcBorders/>
            <w:shd w:fill="CCF2F8" w:val="clear"/>
            <w:vAlign w:val="center"/>
          </w:tcPr>
          <w:p>
            <w:pPr>
              <w:pStyle w:val="TableContents"/>
              <w:bidi w:val="0"/>
              <w:spacing w:before="0" w:after="283"/>
              <w:jc w:val="left"/>
              <w:rPr>
                <w:b/>
                <w:color w:val="3E3935"/>
              </w:rPr>
            </w:pPr>
            <w:r>
              <w:rPr>
                <w:b/>
                <w:color w:val="3E3935"/>
              </w:rPr>
              <w:t>TOTAL</w:t>
            </w:r>
          </w:p>
        </w:tc>
        <w:tc>
          <w:tcPr>
            <w:tcW w:w="60" w:type="dxa"/>
            <w:tcBorders/>
            <w:shd w:fill="CCF2F8" w:val="clear"/>
            <w:vAlign w:val="center"/>
          </w:tcPr>
          <w:p>
            <w:pPr>
              <w:pStyle w:val="TableContents"/>
              <w:bidi w:val="0"/>
              <w:spacing w:before="0" w:after="283"/>
              <w:jc w:val="left"/>
              <w:rPr/>
            </w:pPr>
            <w:r>
              <w:rPr/>
              <w:t> </w:t>
            </w:r>
          </w:p>
        </w:tc>
        <w:tc>
          <w:tcPr>
            <w:tcW w:w="265" w:type="dxa"/>
            <w:tcBorders/>
            <w:shd w:fill="CCF2F8" w:val="clear"/>
            <w:vAlign w:val="center"/>
          </w:tcPr>
          <w:p>
            <w:pPr>
              <w:pStyle w:val="TableContents"/>
              <w:bidi w:val="0"/>
              <w:spacing w:before="0" w:after="283"/>
              <w:jc w:val="left"/>
              <w:rPr>
                <w:color w:val="3E3935"/>
              </w:rPr>
            </w:pPr>
            <w:r>
              <w:rPr>
                <w:color w:val="3E3935"/>
              </w:rPr>
              <w:t> </w:t>
            </w:r>
          </w:p>
        </w:tc>
        <w:tc>
          <w:tcPr>
            <w:tcW w:w="1150"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5" w:type="dxa"/>
            <w:tcBorders/>
            <w:shd w:fill="CCF2F8" w:val="clear"/>
            <w:vAlign w:val="center"/>
          </w:tcPr>
          <w:p>
            <w:pPr>
              <w:pStyle w:val="TableContents"/>
              <w:bidi w:val="0"/>
              <w:spacing w:before="0" w:after="283"/>
              <w:jc w:val="left"/>
              <w:rPr>
                <w:color w:val="3E3935"/>
              </w:rPr>
            </w:pPr>
            <w:r>
              <w:rPr>
                <w:color w:val="3E3935"/>
              </w:rPr>
              <w:t> </w:t>
            </w:r>
          </w:p>
        </w:tc>
        <w:tc>
          <w:tcPr>
            <w:tcW w:w="1200" w:type="dxa"/>
            <w:tcBorders/>
            <w:shd w:fill="CCF2F8" w:val="clear"/>
            <w:vAlign w:val="center"/>
          </w:tcPr>
          <w:p>
            <w:pPr>
              <w:pStyle w:val="TableContents"/>
              <w:bidi w:val="0"/>
              <w:spacing w:before="0" w:after="283"/>
              <w:jc w:val="right"/>
              <w:rPr>
                <w:b/>
                <w:color w:val="3E3935"/>
              </w:rPr>
            </w:pPr>
            <w:r>
              <w:rPr>
                <w:b/>
                <w:color w:val="3E3935"/>
              </w:rPr>
              <w:t>10,080,873</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3" w:type="dxa"/>
            <w:tcBorders/>
            <w:shd w:fill="CCF2F8" w:val="clear"/>
            <w:vAlign w:val="center"/>
          </w:tcPr>
          <w:p>
            <w:pPr>
              <w:pStyle w:val="TableContents"/>
              <w:bidi w:val="0"/>
              <w:spacing w:before="0" w:after="283"/>
              <w:jc w:val="left"/>
              <w:rPr>
                <w:color w:val="3E3935"/>
              </w:rPr>
            </w:pPr>
            <w:r>
              <w:rPr>
                <w:color w:val="3E3935"/>
              </w:rPr>
              <w:t> </w:t>
            </w:r>
          </w:p>
        </w:tc>
        <w:tc>
          <w:tcPr>
            <w:tcW w:w="1172" w:type="dxa"/>
            <w:tcBorders/>
            <w:shd w:fill="CCF2F8" w:val="clear"/>
            <w:vAlign w:val="center"/>
          </w:tcPr>
          <w:p>
            <w:pPr>
              <w:pStyle w:val="TableContents"/>
              <w:bidi w:val="0"/>
              <w:spacing w:before="0" w:after="283"/>
              <w:jc w:val="right"/>
              <w:rPr>
                <w:color w:val="3E3935"/>
              </w:rPr>
            </w:pPr>
            <w:r>
              <w:rPr>
                <w:color w:val="3E3935"/>
              </w:rPr>
              <w:t>—</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7" w:type="dxa"/>
            <w:tcBorders/>
            <w:shd w:fill="CCF2F8" w:val="clear"/>
            <w:vAlign w:val="center"/>
          </w:tcPr>
          <w:p>
            <w:pPr>
              <w:pStyle w:val="TableContents"/>
              <w:bidi w:val="0"/>
              <w:spacing w:before="0" w:after="283"/>
              <w:jc w:val="left"/>
              <w:rPr>
                <w:color w:val="3E3935"/>
              </w:rPr>
            </w:pPr>
            <w:r>
              <w:rPr>
                <w:color w:val="3E3935"/>
              </w:rPr>
              <w:t> </w:t>
            </w:r>
          </w:p>
        </w:tc>
        <w:tc>
          <w:tcPr>
            <w:tcW w:w="1243" w:type="dxa"/>
            <w:tcBorders/>
            <w:shd w:fill="CCF2F8" w:val="clear"/>
            <w:vAlign w:val="center"/>
          </w:tcPr>
          <w:p>
            <w:pPr>
              <w:pStyle w:val="TableContents"/>
              <w:bidi w:val="0"/>
              <w:spacing w:before="0" w:after="283"/>
              <w:jc w:val="right"/>
              <w:rPr>
                <w:b/>
                <w:color w:val="3E3935"/>
              </w:rPr>
            </w:pPr>
            <w:r>
              <w:rPr>
                <w:b/>
                <w:color w:val="3E3935"/>
              </w:rPr>
              <w:t>16,923,512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100" w:type="dxa"/>
            <w:tcBorders/>
            <w:shd w:fill="CCF2F8" w:val="clear"/>
            <w:vAlign w:val="center"/>
          </w:tcPr>
          <w:p>
            <w:pPr>
              <w:pStyle w:val="TableContents"/>
              <w:bidi w:val="0"/>
              <w:spacing w:before="0" w:after="283"/>
              <w:jc w:val="right"/>
              <w:rPr>
                <w:b/>
                <w:color w:val="3E3935"/>
              </w:rPr>
            </w:pPr>
            <w:r>
              <w:rPr>
                <w:b/>
                <w:color w:val="3E3935"/>
              </w:rPr>
              <w:t>16,923,512</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84" w:type="dxa"/>
            <w:tcBorders/>
            <w:shd w:fill="CCF2F8" w:val="clear"/>
            <w:vAlign w:val="center"/>
          </w:tcPr>
          <w:p>
            <w:pPr>
              <w:pStyle w:val="TableContents"/>
              <w:bidi w:val="0"/>
              <w:spacing w:before="0" w:after="283"/>
              <w:jc w:val="left"/>
              <w:rPr>
                <w:color w:val="3E3935"/>
              </w:rPr>
            </w:pPr>
            <w:r>
              <w:rPr>
                <w:color w:val="3E3935"/>
              </w:rPr>
              <w:t> </w:t>
            </w:r>
          </w:p>
        </w:tc>
        <w:tc>
          <w:tcPr>
            <w:tcW w:w="1541" w:type="dxa"/>
            <w:tcBorders/>
            <w:shd w:fill="CCF2F8" w:val="clear"/>
            <w:vAlign w:val="center"/>
          </w:tcPr>
          <w:p>
            <w:pPr>
              <w:pStyle w:val="TableContents"/>
              <w:bidi w:val="0"/>
              <w:spacing w:before="0" w:after="283"/>
              <w:jc w:val="right"/>
              <w:rPr>
                <w:b/>
                <w:color w:val="3E3935"/>
              </w:rPr>
            </w:pPr>
            <w:r>
              <w:rPr>
                <w:b/>
                <w:color w:val="3E3935"/>
              </w:rPr>
              <w:t>17,902,611</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Craig B. Glidden</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Cash</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1,686,999</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1,671,999</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STIP</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1,375,000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1,718,800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1,718,800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1,718,800</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1,375,000</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color w:val="3E3935"/>
              </w:rPr>
            </w:pPr>
            <w:r>
              <w:rPr>
                <w:color w:val="3E3935"/>
              </w:rPr>
              <w:t>LTIP</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color w:val="3E3935"/>
              </w:rPr>
            </w:pPr>
            <w:r>
              <w:rPr>
                <w:color w:val="3E3935"/>
              </w:rPr>
              <w:t> </w:t>
            </w:r>
          </w:p>
        </w:tc>
        <w:tc>
          <w:tcPr>
            <w:tcW w:w="1150"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3E3935"/>
              </w:rPr>
            </w:pPr>
            <w:r>
              <w:rPr>
                <w:color w:val="3E3935"/>
              </w:rPr>
              <w:t> </w:t>
            </w:r>
          </w:p>
        </w:tc>
        <w:tc>
          <w:tcPr>
            <w:tcW w:w="1200" w:type="dxa"/>
            <w:tcBorders/>
            <w:vAlign w:val="center"/>
          </w:tcPr>
          <w:p>
            <w:pPr>
              <w:pStyle w:val="TableContents"/>
              <w:bidi w:val="0"/>
              <w:spacing w:before="0" w:after="283"/>
              <w:jc w:val="right"/>
              <w:rPr>
                <w:color w:val="3E3935"/>
              </w:rPr>
            </w:pPr>
            <w:r>
              <w:rPr>
                <w:color w:val="3E3935"/>
              </w:rPr>
              <w:t>1,433,316</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3E3935"/>
              </w:rPr>
            </w:pPr>
            <w:r>
              <w:rPr>
                <w:color w:val="3E3935"/>
              </w:rPr>
              <w:t> </w:t>
            </w:r>
          </w:p>
        </w:tc>
        <w:tc>
          <w:tcPr>
            <w:tcW w:w="1172" w:type="dxa"/>
            <w:tcBorders/>
            <w:vAlign w:val="center"/>
          </w:tcPr>
          <w:p>
            <w:pPr>
              <w:pStyle w:val="TableContents"/>
              <w:bidi w:val="0"/>
              <w:spacing w:before="0" w:after="283"/>
              <w:jc w:val="right"/>
              <w:rPr>
                <w:color w:val="3E3935"/>
              </w:rPr>
            </w:pPr>
            <w:r>
              <w:rPr>
                <w:color w:val="3E3935"/>
              </w:rPr>
              <w:t>10,080,985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3E3935"/>
              </w:rPr>
            </w:pPr>
            <w:r>
              <w:rPr>
                <w:color w:val="3E3935"/>
              </w:rPr>
              <w:t> </w:t>
            </w:r>
          </w:p>
        </w:tc>
        <w:tc>
          <w:tcPr>
            <w:tcW w:w="1243" w:type="dxa"/>
            <w:tcBorders/>
            <w:vAlign w:val="center"/>
          </w:tcPr>
          <w:p>
            <w:pPr>
              <w:pStyle w:val="TableContents"/>
              <w:bidi w:val="0"/>
              <w:spacing w:before="0" w:after="283"/>
              <w:jc w:val="right"/>
              <w:rPr>
                <w:color w:val="3E3935"/>
              </w:rPr>
            </w:pPr>
            <w:r>
              <w:rPr>
                <w:color w:val="3E3935"/>
              </w:rPr>
              <w:t>10,080,985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1100" w:type="dxa"/>
            <w:tcBorders/>
            <w:vAlign w:val="center"/>
          </w:tcPr>
          <w:p>
            <w:pPr>
              <w:pStyle w:val="TableContents"/>
              <w:bidi w:val="0"/>
              <w:spacing w:before="0" w:after="283"/>
              <w:jc w:val="right"/>
              <w:rPr>
                <w:color w:val="3E3935"/>
              </w:rPr>
            </w:pPr>
            <w:r>
              <w:rPr>
                <w:color w:val="3E3935"/>
              </w:rPr>
              <w:t>10,080,985</w:t>
            </w:r>
          </w:p>
        </w:tc>
        <w:tc>
          <w:tcPr>
            <w:tcW w:w="60"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3E3935"/>
              </w:rPr>
            </w:pPr>
            <w:r>
              <w:rPr>
                <w:color w:val="3E3935"/>
              </w:rPr>
              <w:t> </w:t>
            </w:r>
          </w:p>
        </w:tc>
        <w:tc>
          <w:tcPr>
            <w:tcW w:w="1541" w:type="dxa"/>
            <w:tcBorders/>
            <w:vAlign w:val="center"/>
          </w:tcPr>
          <w:p>
            <w:pPr>
              <w:pStyle w:val="TableContents"/>
              <w:bidi w:val="0"/>
              <w:spacing w:before="0" w:after="283"/>
              <w:jc w:val="right"/>
              <w:rPr>
                <w:color w:val="3E3935"/>
              </w:rPr>
            </w:pPr>
            <w:r>
              <w:rPr>
                <w:color w:val="3E3935"/>
              </w:rPr>
              <w:t>10,080,985</w:t>
            </w:r>
          </w:p>
        </w:tc>
        <w:tc>
          <w:tcPr>
            <w:tcW w:w="75" w:type="dxa"/>
            <w:tcBorders/>
            <w:vAlign w:val="center"/>
          </w:tcPr>
          <w:p>
            <w:pPr>
              <w:pStyle w:val="TableContents"/>
              <w:bidi w:val="0"/>
              <w:spacing w:before="0" w:after="283"/>
              <w:jc w:val="left"/>
              <w:rPr>
                <w:color w:val="3E3935"/>
              </w:rPr>
            </w:pPr>
            <w:r>
              <w:rPr>
                <w:color w:val="3E3935"/>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90" w:type="dxa"/>
            <w:tcBorders>
              <w:bottom w:val="single" w:sz="6" w:space="0" w:color="0071CE"/>
            </w:tcBorders>
            <w:tcMar>
              <w:bottom w:w="60" w:type="dxa"/>
            </w:tcMar>
            <w:vAlign w:val="center"/>
          </w:tcPr>
          <w:p>
            <w:pPr>
              <w:pStyle w:val="TableContents"/>
              <w:bidi w:val="0"/>
              <w:spacing w:before="0" w:after="283"/>
              <w:jc w:val="left"/>
              <w:rPr>
                <w:b/>
                <w:color w:val="3E3935"/>
              </w:rPr>
            </w:pPr>
            <w:r>
              <w:rPr>
                <w:b/>
                <w:color w:val="3E3935"/>
              </w:rPr>
              <w:t>TOTAL</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265"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150" w:type="dxa"/>
            <w:tcBorders>
              <w:bottom w:val="single" w:sz="6" w:space="0" w:color="0071CE"/>
            </w:tcBorders>
            <w:tcMar>
              <w:bottom w:w="60" w:type="dxa"/>
            </w:tcMar>
            <w:vAlign w:val="center"/>
          </w:tcPr>
          <w:p>
            <w:pPr>
              <w:pStyle w:val="TableContents"/>
              <w:bidi w:val="0"/>
              <w:spacing w:before="0" w:after="283"/>
              <w:jc w:val="right"/>
              <w:rPr>
                <w:color w:val="3E3935"/>
              </w:rPr>
            </w:pPr>
            <w:r>
              <w:rPr>
                <w:color w:val="3E3935"/>
              </w:rPr>
              <w:t>—</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5"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200" w:type="dxa"/>
            <w:tcBorders>
              <w:bottom w:val="single" w:sz="6" w:space="0" w:color="0071CE"/>
            </w:tcBorders>
            <w:tcMar>
              <w:bottom w:w="60" w:type="dxa"/>
            </w:tcMar>
            <w:vAlign w:val="center"/>
          </w:tcPr>
          <w:p>
            <w:pPr>
              <w:pStyle w:val="TableContents"/>
              <w:bidi w:val="0"/>
              <w:spacing w:before="0" w:after="283"/>
              <w:jc w:val="right"/>
              <w:rPr>
                <w:b/>
                <w:color w:val="3E3935"/>
              </w:rPr>
            </w:pPr>
            <w:r>
              <w:rPr>
                <w:b/>
                <w:color w:val="3E3935"/>
              </w:rPr>
              <w:t>4,495,315</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3"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172" w:type="dxa"/>
            <w:tcBorders>
              <w:bottom w:val="single" w:sz="6" w:space="0" w:color="0071CE"/>
            </w:tcBorders>
            <w:tcMar>
              <w:bottom w:w="60" w:type="dxa"/>
            </w:tcMar>
            <w:vAlign w:val="center"/>
          </w:tcPr>
          <w:p>
            <w:pPr>
              <w:pStyle w:val="TableContents"/>
              <w:bidi w:val="0"/>
              <w:spacing w:before="0" w:after="283"/>
              <w:jc w:val="right"/>
              <w:rPr>
                <w:b/>
                <w:color w:val="3E3935"/>
              </w:rPr>
            </w:pPr>
            <w:r>
              <w:rPr>
                <w:b/>
                <w:color w:val="3E3935"/>
              </w:rPr>
              <w:t>11,799,785</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7"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243" w:type="dxa"/>
            <w:tcBorders>
              <w:bottom w:val="single" w:sz="6" w:space="0" w:color="0071CE"/>
            </w:tcBorders>
            <w:tcMar>
              <w:bottom w:w="60" w:type="dxa"/>
            </w:tcMar>
            <w:vAlign w:val="center"/>
          </w:tcPr>
          <w:p>
            <w:pPr>
              <w:pStyle w:val="TableContents"/>
              <w:bidi w:val="0"/>
              <w:spacing w:before="0" w:after="283"/>
              <w:jc w:val="right"/>
              <w:rPr>
                <w:b/>
                <w:color w:val="3E3935"/>
              </w:rPr>
            </w:pPr>
            <w:r>
              <w:rPr>
                <w:b/>
                <w:color w:val="3E3935"/>
              </w:rPr>
              <w:t>11,799,785</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100" w:type="dxa"/>
            <w:tcBorders>
              <w:bottom w:val="single" w:sz="6" w:space="0" w:color="0071CE"/>
            </w:tcBorders>
            <w:tcMar>
              <w:bottom w:w="60" w:type="dxa"/>
            </w:tcMar>
            <w:vAlign w:val="center"/>
          </w:tcPr>
          <w:p>
            <w:pPr>
              <w:pStyle w:val="TableContents"/>
              <w:bidi w:val="0"/>
              <w:spacing w:before="0" w:after="283"/>
              <w:jc w:val="right"/>
              <w:rPr>
                <w:b/>
                <w:color w:val="3E3935"/>
              </w:rPr>
            </w:pPr>
            <w:r>
              <w:rPr>
                <w:b/>
                <w:color w:val="3E3935"/>
              </w:rPr>
              <w:t>11,799,785</w:t>
            </w:r>
          </w:p>
        </w:tc>
        <w:tc>
          <w:tcPr>
            <w:tcW w:w="60"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4"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c>
          <w:tcPr>
            <w:tcW w:w="1541" w:type="dxa"/>
            <w:tcBorders>
              <w:bottom w:val="single" w:sz="6" w:space="0" w:color="0071CE"/>
            </w:tcBorders>
            <w:tcMar>
              <w:bottom w:w="60" w:type="dxa"/>
            </w:tcMar>
            <w:vAlign w:val="center"/>
          </w:tcPr>
          <w:p>
            <w:pPr>
              <w:pStyle w:val="TableContents"/>
              <w:bidi w:val="0"/>
              <w:spacing w:before="0" w:after="283"/>
              <w:jc w:val="right"/>
              <w:rPr>
                <w:b/>
                <w:color w:val="3E3935"/>
              </w:rPr>
            </w:pPr>
            <w:r>
              <w:rPr>
                <w:b/>
                <w:color w:val="3E3935"/>
              </w:rPr>
              <w:t>13,127,984</w:t>
            </w:r>
          </w:p>
        </w:tc>
        <w:tc>
          <w:tcPr>
            <w:tcW w:w="75"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3E3935"/>
              </w:rPr>
            </w:pPr>
            <w:r>
              <w:rPr>
                <w:color w:val="3E3935"/>
              </w:rPr>
              <w:t>(1)</w:t>
            </w:r>
          </w:p>
        </w:tc>
        <w:tc>
          <w:tcPr>
            <w:tcW w:w="9958"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Cash amounts shown for Executive Severance Program and Change in Control with Termination are based on the Executive Severance Program. Payments are 2X base salary for the CEO and 1.5X base salary for all other NEOs. Under the Executive Severance Program, the CEO is eligible for a cash payment equal to 24 months of COBRA premiums and the other NEOs are eligible for a cash payment equal to 18 months of COBRA premiums. There are no cash payments due upon Voluntary Separation or Termination for Cause, Retirement, Disability, or Death.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color w:val="3E3935"/>
              </w:rPr>
            </w:pPr>
            <w:r>
              <w:rPr>
                <w:color w:val="3E3935"/>
              </w:rPr>
              <w:t>(2)</w:t>
            </w:r>
          </w:p>
        </w:tc>
        <w:tc>
          <w:tcPr>
            <w:tcW w:w="9943"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STIP amounts shown under Retirement, Disability, and Death are based on final Company performance. STIP amounts shown for Executive Severance Program and Change in Control with Termination reflect target-level performance. Executives forfeit STIP awards for Voluntary Separation or Termination for Cause.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3E3935"/>
              </w:rPr>
            </w:pPr>
            <w:r>
              <w:rPr>
                <w:color w:val="3E3935"/>
              </w:rPr>
              <w:t>(3)</w:t>
            </w:r>
          </w:p>
        </w:tc>
        <w:tc>
          <w:tcPr>
            <w:tcW w:w="995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LTIP amounts shown reflect the value of any unvested RSU awards, PSU awards, and stock options that may vest upon termination. The value of the awards is based on the closing price of GM common stock on December 29, 2023, of $35.92. Under the Executive Severance Program, structure equity awards are delivered in cash once vested; the value displayed reflects the value of awards that would be subject to payment based on awards outstanding as of December 31, 2023. </w:t>
            </w:r>
          </w:p>
        </w:tc>
      </w:tr>
    </w:tbl>
    <w:tbl>
      <w:tblPr>
        <w:tblW w:w="7930" w:type="dxa"/>
        <w:jc w:val="left"/>
        <w:tblInd w:w="0" w:type="dxa"/>
        <w:tblLayout w:type="fixed"/>
        <w:tblCellMar>
          <w:top w:w="0" w:type="dxa"/>
          <w:left w:w="0" w:type="dxa"/>
          <w:bottom w:w="0" w:type="dxa"/>
          <w:right w:w="0" w:type="dxa"/>
        </w:tblCellMar>
      </w:tblPr>
      <w:tblGrid>
        <w:gridCol w:w="305"/>
        <w:gridCol w:w="7625"/>
      </w:tblGrid>
      <w:tr>
        <w:trPr/>
        <w:tc>
          <w:tcPr>
            <w:tcW w:w="305" w:type="dxa"/>
            <w:tcBorders/>
            <w:vAlign w:val="center"/>
          </w:tcPr>
          <w:p>
            <w:pPr>
              <w:pStyle w:val="TableContents"/>
              <w:bidi w:val="0"/>
              <w:spacing w:before="0" w:after="283"/>
              <w:jc w:val="left"/>
              <w:rPr>
                <w:color w:val="3E3935"/>
              </w:rPr>
            </w:pPr>
            <w:r>
              <w:rPr>
                <w:color w:val="3E3935"/>
              </w:rPr>
              <w:t>(4)</w:t>
            </w:r>
          </w:p>
        </w:tc>
        <w:tc>
          <w:tcPr>
            <w:tcW w:w="762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Ms. Barra, Mr. Reuss, and Mr. Glidden were eligible for full career status retirement as of December 31, 2023. </w:t>
            </w:r>
          </w:p>
        </w:tc>
      </w:tr>
    </w:tbl>
    <w:p>
      <w:pPr>
        <w:pStyle w:val="TextBody"/>
        <w:bidi w:val="0"/>
        <w:spacing w:before="0" w:after="0"/>
        <w:jc w:val="left"/>
        <w:rPr/>
      </w:pPr>
      <w:r>
        <w:rPr/>
        <w:t> </w:t>
      </w:r>
    </w:p>
    <w:tbl>
      <w:tblPr>
        <w:tblW w:w="7666" w:type="dxa"/>
        <w:jc w:val="left"/>
        <w:tblInd w:w="0" w:type="dxa"/>
        <w:tblLayout w:type="fixed"/>
        <w:tblCellMar>
          <w:top w:w="0" w:type="dxa"/>
          <w:left w:w="0" w:type="dxa"/>
          <w:bottom w:w="0" w:type="dxa"/>
          <w:right w:w="0" w:type="dxa"/>
        </w:tblCellMar>
      </w:tblPr>
      <w:tblGrid>
        <w:gridCol w:w="38"/>
        <w:gridCol w:w="60"/>
        <w:gridCol w:w="23"/>
        <w:gridCol w:w="60"/>
        <w:gridCol w:w="465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center"/>
              <w:rPr>
                <w:b/>
                <w:color w:val="3E3935"/>
              </w:rPr>
            </w:pPr>
            <w:r>
              <w:rPr>
                <w:b/>
                <w:color w:val="3E3935"/>
              </w:rPr>
              <w:t xml:space="preserve">EXECUTIVE COMPENSATION TABLES </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73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40" w:name="toc648661_38"/>
      <w:bookmarkEnd w:id="40"/>
      <w:r>
        <w:rPr>
          <w:rFonts w:ascii="arial" w:hAnsi="arial"/>
          <w:b/>
          <w:color w:val="0071CE"/>
          <w:sz w:val="28"/>
        </w:rPr>
        <w:t xml:space="preserve">CEO Pay Ratio </w:t>
      </w:r>
    </w:p>
    <w:p>
      <w:pPr>
        <w:pStyle w:val="TextBody"/>
        <w:bidi w:val="0"/>
        <w:spacing w:before="120" w:after="0"/>
        <w:jc w:val="both"/>
        <w:rPr>
          <w:rFonts w:ascii="arial" w:hAnsi="arial"/>
          <w:color w:val="3E3935"/>
          <w:sz w:val="18"/>
        </w:rPr>
      </w:pPr>
      <w:r>
        <w:rPr>
          <w:rFonts w:ascii="arial" w:hAnsi="arial"/>
          <w:color w:val="3E3935"/>
          <w:sz w:val="18"/>
        </w:rPr>
        <w:t xml:space="preserve">Our CEO, who leads our global workforce of 163,000 employees (99,000 located in the United States and 64,000 non-U.S. employees) as of December 31, 2023, earned $27,847,405 in total compensation in 2023 as reported in the Summary Compensation Table. </w:t>
      </w:r>
    </w:p>
    <w:p>
      <w:pPr>
        <w:pStyle w:val="TextBody"/>
        <w:bidi w:val="0"/>
        <w:spacing w:before="120" w:after="0"/>
        <w:jc w:val="both"/>
        <w:rPr>
          <w:rFonts w:ascii="arial" w:hAnsi="arial"/>
          <w:color w:val="3E3935"/>
          <w:sz w:val="18"/>
        </w:rPr>
      </w:pPr>
      <w:r>
        <w:rPr>
          <w:rFonts w:ascii="arial" w:hAnsi="arial"/>
          <w:color w:val="3E3935"/>
          <w:sz w:val="18"/>
        </w:rPr>
        <w:t xml:space="preserve">To identify our new median employee for 2023, we: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color w:val="3E3935"/>
              </w:rPr>
            </w:pPr>
            <w:r>
              <w:rPr>
                <w:color w:val="3E3935"/>
              </w:rPr>
              <w:t>1.</w:t>
            </w:r>
          </w:p>
        </w:tc>
        <w:tc>
          <w:tcPr>
            <w:tcW w:w="10038"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Excluded all employees (7,595) in the following 28 countries under the SEC’s 5 percent de minimis exemption: Argentina (1,468), Australia (173), Chile (222), China (1,041), Colombia (952), Ecuador (396), Egypt (599), Germany (102), India (352), Indonesia (8), Ireland (480), Israel (812), Italy (1), Japan (38), New Zealand (14), Norway (1), Peru (37), Philippines (488), Singapore (3), South Africa (4), Sweden (4), Switzerland (111), Taiwan (9), Thailand (45), United Arab Emirates (185), United Kingdom (37), Uruguay (8), and Uzbekistan (5);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215"/>
        <w:gridCol w:w="7700"/>
      </w:tblGrid>
      <w:tr>
        <w:trPr/>
        <w:tc>
          <w:tcPr>
            <w:tcW w:w="215" w:type="dxa"/>
            <w:tcBorders/>
            <w:vAlign w:val="center"/>
          </w:tcPr>
          <w:p>
            <w:pPr>
              <w:pStyle w:val="TableContents"/>
              <w:bidi w:val="0"/>
              <w:spacing w:before="0" w:after="283"/>
              <w:jc w:val="left"/>
              <w:rPr>
                <w:color w:val="3E3935"/>
              </w:rPr>
            </w:pPr>
            <w:r>
              <w:rPr>
                <w:color w:val="3E3935"/>
              </w:rPr>
              <w:t>2.</w:t>
            </w:r>
          </w:p>
        </w:tc>
        <w:tc>
          <w:tcPr>
            <w:tcW w:w="770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Calculated year-to-date payroll as of November 1, 2023, for all employees excluding the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color w:val="3E3935"/>
              </w:rPr>
            </w:pPr>
            <w:r>
              <w:rPr>
                <w:color w:val="3E3935"/>
              </w:rPr>
              <w:t>3.</w:t>
            </w:r>
          </w:p>
        </w:tc>
        <w:tc>
          <w:tcPr>
            <w:tcW w:w="9998"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Identified the middle 51 employees using year-to-date payroll converted to U.S. dollars as a consistently applied compensation measure;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color w:val="3E3935"/>
              </w:rPr>
            </w:pPr>
            <w:r>
              <w:rPr>
                <w:color w:val="3E3935"/>
              </w:rPr>
              <w:t>4.</w:t>
            </w:r>
          </w:p>
        </w:tc>
        <w:tc>
          <w:tcPr>
            <w:tcW w:w="10014"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Calculated annual total compensation for the 51 middle employees based on the same SEC requirements that apply to determine total compensation in the Summary Compensation Table;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215"/>
        <w:gridCol w:w="5945"/>
      </w:tblGrid>
      <w:tr>
        <w:trPr/>
        <w:tc>
          <w:tcPr>
            <w:tcW w:w="215" w:type="dxa"/>
            <w:tcBorders/>
            <w:vAlign w:val="center"/>
          </w:tcPr>
          <w:p>
            <w:pPr>
              <w:pStyle w:val="TableContents"/>
              <w:bidi w:val="0"/>
              <w:spacing w:before="0" w:after="283"/>
              <w:jc w:val="left"/>
              <w:rPr>
                <w:color w:val="3E3935"/>
              </w:rPr>
            </w:pPr>
            <w:r>
              <w:rPr>
                <w:color w:val="3E3935"/>
              </w:rPr>
              <w:t>5.</w:t>
            </w:r>
          </w:p>
        </w:tc>
        <w:tc>
          <w:tcPr>
            <w:tcW w:w="594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Re-ranked all middle 51 employees and selected the median employee. </w:t>
            </w:r>
          </w:p>
        </w:tc>
      </w:tr>
    </w:tbl>
    <w:p>
      <w:pPr>
        <w:pStyle w:val="TextBody"/>
        <w:bidi w:val="0"/>
        <w:spacing w:before="120" w:after="0"/>
        <w:jc w:val="both"/>
        <w:rPr>
          <w:rFonts w:ascii="arial" w:hAnsi="arial"/>
          <w:color w:val="3E3935"/>
          <w:sz w:val="18"/>
        </w:rPr>
      </w:pPr>
      <w:r>
        <w:rPr>
          <w:rFonts w:ascii="arial" w:hAnsi="arial"/>
          <w:color w:val="3E3935"/>
          <w:sz w:val="18"/>
        </w:rPr>
        <w:t xml:space="preserve">At GM, we believe that fair and equitable pay is an essential element of any successful organization, and we invest in our employees with market-competitive pay and benefits. We compensate our employees to create alignment with the short-term and long-term goals tied to the success of the Company and with our vision of zero crashes, zero emissions, and zero congestion. </w:t>
      </w:r>
    </w:p>
    <w:p>
      <w:pPr>
        <w:pStyle w:val="TextBody"/>
        <w:bidi w:val="0"/>
        <w:spacing w:before="120" w:after="0"/>
        <w:jc w:val="both"/>
        <w:rPr>
          <w:rFonts w:ascii="arial" w:hAnsi="arial"/>
          <w:color w:val="3E3935"/>
          <w:sz w:val="18"/>
        </w:rPr>
      </w:pPr>
      <w:r>
        <w:rPr>
          <w:rFonts w:ascii="arial" w:hAnsi="arial"/>
          <w:color w:val="3E3935"/>
          <w:sz w:val="18"/>
        </w:rPr>
        <w:t xml:space="preserve">Based on our calculation, we can reasonably estimate that our median employee earned $91,778 in 2023. The ratio of our CEO’s compensation to that of our median employee is estimated to be 303:1. </w:t>
      </w:r>
    </w:p>
    <w:p>
      <w:pPr>
        <w:pStyle w:val="TextBody"/>
        <w:bidi w:val="0"/>
        <w:spacing w:before="120" w:after="0"/>
        <w:jc w:val="both"/>
        <w:rPr>
          <w:rFonts w:ascii="arial" w:hAnsi="arial"/>
          <w:color w:val="3E3935"/>
          <w:sz w:val="18"/>
        </w:rPr>
      </w:pPr>
      <w:r>
        <w:rPr>
          <w:rFonts w:ascii="arial" w:hAnsi="arial"/>
          <w:color w:val="3E3935"/>
          <w:sz w:val="18"/>
        </w:rPr>
        <w:t xml:space="preserve">The rules outlined by the SEC for identifying the median employee and calculating the pay ratio based on that employee’s annual total compensation allow companies to adopt a variety of methodologies to calculate the median employee, excluding up to 5 percent of the workforce, and make reasonable estimates and assumptions that may impact their employee populations. As a result, the pay ratio reported by other companies may not be comparable to the pay ratio reported above. Other companies have different employee populations, compensation practices, and the ability to utilize different methodologies, exclusions, estimates, and assumptions in calculating their own pay ratios. </w:t>
      </w:r>
    </w:p>
    <w:p>
      <w:pPr>
        <w:pStyle w:val="TextBody"/>
        <w:bidi w:val="0"/>
        <w:spacing w:before="0" w:after="0"/>
        <w:jc w:val="left"/>
        <w:rPr/>
      </w:pPr>
      <w:r>
        <w:rPr/>
        <w:t> </w:t>
      </w:r>
    </w:p>
    <w:tbl>
      <w:tblPr>
        <w:tblW w:w="5483" w:type="dxa"/>
        <w:jc w:val="left"/>
        <w:tblInd w:w="0" w:type="dxa"/>
        <w:tblLayout w:type="fixed"/>
        <w:tblCellMar>
          <w:top w:w="0" w:type="dxa"/>
          <w:left w:w="0" w:type="dxa"/>
          <w:bottom w:w="0" w:type="dxa"/>
          <w:right w:w="0" w:type="dxa"/>
        </w:tblCellMar>
      </w:tblPr>
      <w:tblGrid>
        <w:gridCol w:w="275"/>
        <w:gridCol w:w="60"/>
        <w:gridCol w:w="192"/>
        <w:gridCol w:w="60"/>
        <w:gridCol w:w="4655"/>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74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50"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79" descr=""/>
                          <pic:cNvPicPr>
                            <a:picLocks noChangeAspect="1" noChangeArrowheads="1"/>
                          </pic:cNvPicPr>
                        </pic:nvPicPr>
                        <pic:blipFill>
                          <a:blip r:embed="rId333"/>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center"/>
              <w:rPr>
                <w:b/>
                <w:color w:val="3E3935"/>
              </w:rPr>
            </w:pPr>
            <w:r>
              <w:rPr>
                <w:b/>
                <w:color w:val="3E3935"/>
              </w:rPr>
              <w:t xml:space="preserve">EXECUTIVE COMPENSATION TABLES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71CE"/>
          <w:spacing w:val="0"/>
          <w:sz w:val="28"/>
        </w:rPr>
      </w:pPr>
      <w:r>
        <w:rPr>
          <w:rFonts w:ascii="arial" w:hAnsi="arial"/>
          <w:b/>
          <w:color w:val="0071CE"/>
          <w:spacing w:val="0"/>
          <w:sz w:val="2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arial" w:hAnsi="arial"/>
          <w:color w:val="3E3935"/>
          <w:spacing w:val="0"/>
          <w:sz w:val="18"/>
          <w:shd w:fill="FFFFFF" w:val="clear"/>
        </w:rPr>
      </w:pPr>
      <w:r>
        <w:rPr>
          <w:rFonts w:ascii="arial" w:hAnsi="arial"/>
          <w:color w:val="3E3935"/>
          <w:spacing w:val="0"/>
          <w:sz w:val="18"/>
          <w:shd w:fill="FFFFFF" w:val="clear"/>
        </w:rPr>
        <w:t xml:space="preserve">Pursuant to Item 402(v) of Regulation </w:t>
      </w:r>
    </w:p>
    <w:p>
      <w:pPr>
        <w:pStyle w:val="TextBody"/>
        <w:bidi w:val="0"/>
        <w:spacing w:before="120" w:after="0"/>
        <w:jc w:val="both"/>
        <w:rPr>
          <w:rFonts w:ascii="arial" w:hAnsi="arial"/>
          <w:color w:val="3E3935"/>
          <w:spacing w:val="0"/>
          <w:sz w:val="18"/>
          <w:shd w:fill="FFFFFF" w:val="clear"/>
        </w:rPr>
      </w:pPr>
      <w:r>
        <w:rPr>
          <w:rFonts w:ascii="arial" w:hAnsi="arial"/>
          <w:color w:val="3E3935"/>
          <w:spacing w:val="0"/>
          <w:sz w:val="18"/>
          <w:shd w:fill="FFFFFF" w:val="clear"/>
        </w:rPr>
        <w:t>S-K,</w:t>
      </w:r>
    </w:p>
    <w:p>
      <w:pPr>
        <w:pStyle w:val="TextBody"/>
        <w:bidi w:val="0"/>
        <w:spacing w:before="120" w:after="0"/>
        <w:jc w:val="both"/>
        <w:rPr>
          <w:rFonts w:ascii="arial" w:hAnsi="arial"/>
          <w:color w:val="3E3935"/>
          <w:spacing w:val="0"/>
          <w:sz w:val="18"/>
          <w:shd w:fill="FFFFFF" w:val="clear"/>
        </w:rPr>
      </w:pPr>
      <w:r>
        <w:rPr>
          <w:rFonts w:ascii="arial" w:hAnsi="arial"/>
          <w:color w:val="3E3935"/>
          <w:spacing w:val="0"/>
          <w:sz w:val="18"/>
          <w:shd w:fill="FFFFFF" w:val="clear"/>
        </w:rPr>
        <w:t xml:space="preserve">we are providing the following information about the relationship between Compensation Actually Paid (“CAP”) for the Company’s CEO and </w:t>
      </w:r>
    </w:p>
    <w:p>
      <w:pPr>
        <w:pStyle w:val="TextBody"/>
        <w:bidi w:val="0"/>
        <w:spacing w:before="120" w:after="0"/>
        <w:jc w:val="both"/>
        <w:rPr>
          <w:rFonts w:ascii="arial" w:hAnsi="arial"/>
          <w:color w:val="3E3935"/>
          <w:spacing w:val="0"/>
          <w:sz w:val="18"/>
          <w:shd w:fill="FFFFFF" w:val="clear"/>
        </w:rPr>
      </w:pPr>
      <w:r>
        <w:rPr>
          <w:rFonts w:ascii="arial" w:hAnsi="arial"/>
          <w:color w:val="3E3935"/>
          <w:spacing w:val="0"/>
          <w:sz w:val="18"/>
          <w:shd w:fill="FFFFFF" w:val="clear"/>
        </w:rPr>
        <w:t>non-CEO</w:t>
      </w:r>
    </w:p>
    <w:p>
      <w:pPr>
        <w:pStyle w:val="TextBody"/>
        <w:bidi w:val="0"/>
        <w:spacing w:before="120" w:after="0"/>
        <w:jc w:val="both"/>
        <w:rPr>
          <w:rFonts w:ascii="arial" w:hAnsi="arial"/>
          <w:color w:val="3E3935"/>
          <w:spacing w:val="0"/>
          <w:sz w:val="18"/>
          <w:shd w:fill="FFFFFF" w:val="clear"/>
        </w:rPr>
      </w:pPr>
      <w:r>
        <w:rPr>
          <w:rFonts w:ascii="arial" w:hAnsi="arial"/>
          <w:color w:val="3E3935"/>
          <w:spacing w:val="0"/>
          <w:sz w:val="18"/>
          <w:shd w:fill="FFFFFF" w:val="clear"/>
        </w:rPr>
        <w:t xml:space="preserve">NEOs and certain aspects of the financial performance of the Company. The CAP values disclosed do not reflect the actual amount of compensation paid to our NEOs during the applicable year. The Compensation Committee does not utilize CAP as a basis for making compensation decisions. For information regarding compensation decisions made by our Compensation Committee, refer to the “Compensation Discussion and Analysis” section beginning on page 42. </w:t>
      </w:r>
    </w:p>
    <w:p>
      <w:pPr>
        <w:pStyle w:val="TextBody"/>
        <w:bidi w:val="0"/>
        <w:spacing w:before="0" w:after="0"/>
        <w:jc w:val="left"/>
        <w:rPr>
          <w:shd w:fill="FFFFFF" w:val="clear"/>
        </w:rPr>
      </w:pPr>
      <w:r>
        <w:rPr>
          <w:shd w:fill="FFFFFF" w:val="clear"/>
        </w:rPr>
        <w:t> </w:t>
      </w:r>
    </w:p>
    <w:tbl>
      <w:tblPr>
        <w:tblW w:w="12168" w:type="dxa"/>
        <w:jc w:val="left"/>
        <w:tblInd w:w="0" w:type="dxa"/>
        <w:tblLayout w:type="fixed"/>
        <w:tblCellMar>
          <w:top w:w="0" w:type="dxa"/>
          <w:left w:w="0" w:type="dxa"/>
          <w:bottom w:w="0" w:type="dxa"/>
          <w:right w:w="0" w:type="dxa"/>
        </w:tblCellMar>
      </w:tblPr>
      <w:tblGrid>
        <w:gridCol w:w="515"/>
        <w:gridCol w:w="60"/>
        <w:gridCol w:w="77"/>
        <w:gridCol w:w="1413"/>
        <w:gridCol w:w="60"/>
        <w:gridCol w:w="60"/>
        <w:gridCol w:w="66"/>
        <w:gridCol w:w="1304"/>
        <w:gridCol w:w="155"/>
        <w:gridCol w:w="60"/>
        <w:gridCol w:w="77"/>
        <w:gridCol w:w="1413"/>
        <w:gridCol w:w="60"/>
        <w:gridCol w:w="60"/>
        <w:gridCol w:w="74"/>
        <w:gridCol w:w="1371"/>
        <w:gridCol w:w="155"/>
        <w:gridCol w:w="60"/>
        <w:gridCol w:w="162"/>
        <w:gridCol w:w="1027"/>
        <w:gridCol w:w="162"/>
        <w:gridCol w:w="162"/>
        <w:gridCol w:w="165"/>
        <w:gridCol w:w="1055"/>
        <w:gridCol w:w="60"/>
        <w:gridCol w:w="60"/>
        <w:gridCol w:w="115"/>
        <w:gridCol w:w="1075"/>
        <w:gridCol w:w="60"/>
        <w:gridCol w:w="60"/>
        <w:gridCol w:w="72"/>
        <w:gridCol w:w="818"/>
        <w:gridCol w:w="7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2733"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Value of Initial Fixed $100</w:t>
              <w:br/>
              <w:t>Investment Based On:</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pacing w:val="0"/>
                <w:sz w:val="18"/>
              </w:rPr>
            </w:pPr>
            <w:r>
              <w:rPr>
                <w:rFonts w:ascii="arial" w:hAnsi="arial"/>
                <w:b/>
                <w:color w:val="3E3935"/>
                <w:spacing w:val="0"/>
                <w:sz w:val="18"/>
              </w:rPr>
              <w:t>Year</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Summary</w:t>
              <w:br/>
              <w:t>Compensation</w:t>
              <w:br/>
              <w:t>Table Total</w:t>
              <w:br/>
              <w:t>for CEO</w:t>
            </w:r>
          </w:p>
          <w:p>
            <w:pPr>
              <w:pStyle w:val="TableContents"/>
              <w:bidi w:val="0"/>
              <w:spacing w:before="0" w:after="0"/>
              <w:jc w:val="center"/>
              <w:rPr>
                <w:b/>
                <w:color w:val="3E3935"/>
                <w:spacing w:val="0"/>
                <w:sz w:val="11"/>
              </w:rPr>
            </w:pPr>
            <w:r>
              <w:rPr>
                <w:b/>
                <w:color w:val="3E3935"/>
                <w:spacing w:val="0"/>
                <w:sz w:val="11"/>
              </w:rPr>
              <w:t>(1)</w:t>
            </w:r>
          </w:p>
          <w:p>
            <w:pPr>
              <w:pStyle w:val="TableContents"/>
              <w:bidi w:val="0"/>
              <w:spacing w:before="0" w:after="0"/>
              <w:jc w:val="center"/>
              <w:rPr>
                <w:b/>
                <w:color w:val="3E3935"/>
                <w:spacing w:val="0"/>
              </w:rPr>
            </w:pPr>
            <w:r>
              <w:rPr>
                <w:b/>
                <w:color w:val="3E3935"/>
                <w:spacing w:val="0"/>
              </w:rPr>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CAP to CEO</w:t>
            </w:r>
          </w:p>
          <w:p>
            <w:pPr>
              <w:pStyle w:val="TableContents"/>
              <w:bidi w:val="0"/>
              <w:spacing w:before="0" w:after="0"/>
              <w:jc w:val="center"/>
              <w:rPr>
                <w:b/>
                <w:color w:val="3E3935"/>
                <w:spacing w:val="0"/>
                <w:sz w:val="11"/>
              </w:rPr>
            </w:pPr>
            <w:r>
              <w:rPr>
                <w:b/>
                <w:color w:val="3E3935"/>
                <w:spacing w:val="0"/>
                <w:sz w:val="11"/>
              </w:rPr>
              <w:t>(3)</w:t>
            </w:r>
          </w:p>
          <w:p>
            <w:pPr>
              <w:pStyle w:val="TableContents"/>
              <w:bidi w:val="0"/>
              <w:spacing w:before="0" w:after="0"/>
              <w:jc w:val="center"/>
              <w:rPr>
                <w:b/>
                <w:color w:val="3E3935"/>
                <w:spacing w:val="0"/>
              </w:rPr>
            </w:pPr>
            <w:r>
              <w:rPr>
                <w:b/>
                <w:color w:val="3E3935"/>
                <w:spacing w:val="0"/>
              </w:rPr>
              <w:br/>
              <w:t>($)</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br/>
              <w:t>Summary</w:t>
              <w:br/>
              <w:t>Compensation</w:t>
              <w:br/>
              <w:t>Table Total</w:t>
              <w:br/>
              <w:t xml:space="preserve">for </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p>
            <w:pPr>
              <w:pStyle w:val="TableContents"/>
              <w:bidi w:val="0"/>
              <w:spacing w:before="0" w:after="0"/>
              <w:jc w:val="center"/>
              <w:rPr>
                <w:b/>
                <w:color w:val="3E3935"/>
                <w:spacing w:val="0"/>
                <w:sz w:val="11"/>
              </w:rPr>
            </w:pPr>
            <w:r>
              <w:rPr>
                <w:b/>
                <w:color w:val="3E3935"/>
                <w:spacing w:val="0"/>
                <w:sz w:val="11"/>
              </w:rPr>
              <w:t>(2)</w:t>
            </w:r>
          </w:p>
          <w:p>
            <w:pPr>
              <w:pStyle w:val="TableContents"/>
              <w:bidi w:val="0"/>
              <w:spacing w:before="0" w:after="0"/>
              <w:jc w:val="center"/>
              <w:rPr>
                <w:b/>
                <w:color w:val="3E3935"/>
                <w:spacing w:val="0"/>
              </w:rPr>
            </w:pPr>
            <w:r>
              <w:rPr>
                <w:b/>
                <w:color w:val="3E3935"/>
                <w:spacing w:val="0"/>
              </w:rPr>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4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 CAP</w:t>
              <w:br/>
              <w:t xml:space="preserve">to </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p>
            <w:pPr>
              <w:pStyle w:val="TableContents"/>
              <w:bidi w:val="0"/>
              <w:spacing w:before="0" w:after="0"/>
              <w:jc w:val="center"/>
              <w:rPr>
                <w:b/>
                <w:color w:val="3E3935"/>
                <w:spacing w:val="0"/>
                <w:sz w:val="11"/>
              </w:rPr>
            </w:pPr>
            <w:r>
              <w:rPr>
                <w:b/>
                <w:color w:val="3E3935"/>
                <w:spacing w:val="0"/>
                <w:sz w:val="11"/>
              </w:rPr>
              <w:t>(3)</w:t>
            </w:r>
          </w:p>
          <w:p>
            <w:pPr>
              <w:pStyle w:val="TableContents"/>
              <w:bidi w:val="0"/>
              <w:spacing w:before="0" w:after="0"/>
              <w:jc w:val="center"/>
              <w:rPr>
                <w:b/>
                <w:color w:val="3E3935"/>
                <w:spacing w:val="0"/>
              </w:rPr>
            </w:pPr>
            <w:r>
              <w:rPr>
                <w:b/>
                <w:color w:val="3E3935"/>
                <w:spacing w:val="0"/>
              </w:rPr>
              <w:br/>
              <w:t>($)</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89"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TSR</w:t>
            </w:r>
          </w:p>
          <w:p>
            <w:pPr>
              <w:pStyle w:val="TableContents"/>
              <w:bidi w:val="0"/>
              <w:spacing w:before="0" w:after="0"/>
              <w:jc w:val="center"/>
              <w:rPr>
                <w:b/>
                <w:color w:val="3E3935"/>
                <w:spacing w:val="0"/>
                <w:sz w:val="11"/>
              </w:rPr>
            </w:pPr>
            <w:r>
              <w:rPr>
                <w:b/>
                <w:color w:val="3E3935"/>
                <w:spacing w:val="0"/>
                <w:sz w:val="11"/>
              </w:rPr>
              <w:t>(4)</w:t>
            </w:r>
          </w:p>
          <w:p>
            <w:pPr>
              <w:pStyle w:val="TableContents"/>
              <w:bidi w:val="0"/>
              <w:spacing w:before="0" w:after="0"/>
              <w:jc w:val="center"/>
              <w:rPr>
                <w:b/>
                <w:color w:val="3E3935"/>
                <w:spacing w:val="0"/>
              </w:rPr>
            </w:pPr>
            <w:r>
              <w:rPr>
                <w:b/>
                <w:color w:val="3E3935"/>
                <w:spacing w:val="0"/>
              </w:rPr>
              <w:br/>
              <w:t>($)</w:t>
            </w:r>
          </w:p>
        </w:tc>
        <w:tc>
          <w:tcPr>
            <w:tcW w:w="162" w:type="dxa"/>
            <w:tcBorders>
              <w:bottom w:val="single" w:sz="6" w:space="0" w:color="0071CE"/>
            </w:tcBorders>
            <w:tcMar>
              <w:bottom w:w="28" w:type="dxa"/>
            </w:tcMar>
            <w:vAlign w:val="center"/>
          </w:tcPr>
          <w:p>
            <w:pPr>
              <w:pStyle w:val="TableContents"/>
              <w:bidi w:val="0"/>
              <w:spacing w:before="0" w:after="283"/>
              <w:jc w:val="left"/>
              <w:rPr/>
            </w:pPr>
            <w:r>
              <w:rPr/>
              <w:t> </w:t>
            </w:r>
          </w:p>
        </w:tc>
        <w:tc>
          <w:tcPr>
            <w:tcW w:w="162" w:type="dxa"/>
            <w:tcBorders>
              <w:bottom w:val="single" w:sz="6" w:space="0" w:color="0071CE"/>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Peer Group</w:t>
              <w:br/>
              <w:t>TSR</w:t>
            </w:r>
          </w:p>
          <w:p>
            <w:pPr>
              <w:pStyle w:val="TableContents"/>
              <w:bidi w:val="0"/>
              <w:spacing w:before="0" w:after="0"/>
              <w:jc w:val="center"/>
              <w:rPr>
                <w:b/>
                <w:color w:val="3E3935"/>
                <w:spacing w:val="0"/>
                <w:sz w:val="11"/>
              </w:rPr>
            </w:pPr>
            <w:r>
              <w:rPr>
                <w:b/>
                <w:color w:val="3E3935"/>
                <w:spacing w:val="0"/>
                <w:sz w:val="11"/>
              </w:rPr>
              <w:t>(5)</w:t>
            </w:r>
          </w:p>
          <w:p>
            <w:pPr>
              <w:pStyle w:val="TableContents"/>
              <w:bidi w:val="0"/>
              <w:spacing w:before="0" w:after="0"/>
              <w:jc w:val="center"/>
              <w:rPr>
                <w:b/>
                <w:color w:val="3E3935"/>
                <w:spacing w:val="0"/>
              </w:rPr>
            </w:pPr>
            <w:r>
              <w:rPr>
                <w:b/>
                <w:color w:val="3E3935"/>
                <w:spacing w:val="0"/>
              </w:rPr>
              <w:br/>
              <w:t>($)</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Net Income</w:t>
            </w:r>
          </w:p>
          <w:p>
            <w:pPr>
              <w:pStyle w:val="TableContents"/>
              <w:bidi w:val="0"/>
              <w:spacing w:before="0" w:after="0"/>
              <w:jc w:val="center"/>
              <w:rPr>
                <w:b/>
                <w:color w:val="3E3935"/>
                <w:spacing w:val="0"/>
                <w:sz w:val="11"/>
              </w:rPr>
            </w:pPr>
            <w:r>
              <w:rPr>
                <w:b/>
                <w:color w:val="3E3935"/>
                <w:spacing w:val="0"/>
                <w:sz w:val="11"/>
              </w:rPr>
              <w:t>(6)</w:t>
            </w:r>
          </w:p>
          <w:p>
            <w:pPr>
              <w:pStyle w:val="TableContents"/>
              <w:bidi w:val="0"/>
              <w:spacing w:before="0" w:after="0"/>
              <w:jc w:val="center"/>
              <w:rPr>
                <w:b/>
                <w:color w:val="3E3935"/>
                <w:spacing w:val="0"/>
              </w:rPr>
            </w:pPr>
            <w:r>
              <w:rPr>
                <w:b/>
                <w:color w:val="3E3935"/>
                <w:spacing w:val="0"/>
              </w:rPr>
              <w:br/>
              <w:t>($B)</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EBIT-</w:t>
              <w:br/>
              <w:t>adjusted</w:t>
            </w:r>
          </w:p>
          <w:p>
            <w:pPr>
              <w:pStyle w:val="TableContents"/>
              <w:bidi w:val="0"/>
              <w:spacing w:before="0" w:after="0"/>
              <w:jc w:val="center"/>
              <w:rPr>
                <w:b/>
                <w:color w:val="3E3935"/>
                <w:spacing w:val="0"/>
                <w:sz w:val="11"/>
              </w:rPr>
            </w:pPr>
            <w:r>
              <w:rPr>
                <w:b/>
                <w:color w:val="3E3935"/>
                <w:spacing w:val="0"/>
                <w:sz w:val="11"/>
              </w:rPr>
              <w:t>(7)</w:t>
            </w:r>
          </w:p>
          <w:p>
            <w:pPr>
              <w:pStyle w:val="TableContents"/>
              <w:bidi w:val="0"/>
              <w:spacing w:before="0" w:after="0"/>
              <w:jc w:val="center"/>
              <w:rPr>
                <w:b/>
                <w:color w:val="3E3935"/>
                <w:spacing w:val="0"/>
              </w:rPr>
            </w:pPr>
            <w:r>
              <w:rPr>
                <w:b/>
                <w:color w:val="3E3935"/>
                <w:spacing w:val="0"/>
              </w:rPr>
              <w:br/>
              <w:t>($B)</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515" w:type="dxa"/>
            <w:tcBorders/>
            <w:shd w:fill="CCF2F8" w:val="clear"/>
            <w:vAlign w:val="center"/>
          </w:tcPr>
          <w:p>
            <w:pPr>
              <w:pStyle w:val="TableContents"/>
              <w:bidi w:val="0"/>
              <w:spacing w:before="0" w:after="283"/>
              <w:jc w:val="left"/>
              <w:rPr>
                <w:sz w:val="4"/>
                <w:szCs w:val="4"/>
              </w:rPr>
            </w:pPr>
            <w:r>
              <w:rPr>
                <w:sz w:val="4"/>
                <w:szCs w:val="4"/>
              </w:rPr>
            </w:r>
          </w:p>
        </w:tc>
        <w:tc>
          <w:tcPr>
            <w:tcW w:w="1610" w:type="dxa"/>
            <w:gridSpan w:val="4"/>
            <w:tcBorders/>
            <w:shd w:fill="CCF2F8" w:val="clear"/>
            <w:vAlign w:val="center"/>
          </w:tcPr>
          <w:p>
            <w:pPr>
              <w:pStyle w:val="TableContents"/>
              <w:bidi w:val="0"/>
              <w:spacing w:before="0" w:after="283"/>
              <w:jc w:val="left"/>
              <w:rPr>
                <w:sz w:val="4"/>
                <w:szCs w:val="4"/>
              </w:rPr>
            </w:pPr>
            <w:r>
              <w:rPr>
                <w:sz w:val="4"/>
                <w:szCs w:val="4"/>
              </w:rPr>
            </w:r>
          </w:p>
        </w:tc>
        <w:tc>
          <w:tcPr>
            <w:tcW w:w="1585" w:type="dxa"/>
            <w:gridSpan w:val="4"/>
            <w:tcBorders/>
            <w:shd w:fill="CCF2F8" w:val="clear"/>
            <w:vAlign w:val="center"/>
          </w:tcPr>
          <w:p>
            <w:pPr>
              <w:pStyle w:val="TableContents"/>
              <w:bidi w:val="0"/>
              <w:spacing w:before="0" w:after="283"/>
              <w:jc w:val="left"/>
              <w:rPr>
                <w:sz w:val="4"/>
                <w:szCs w:val="4"/>
              </w:rPr>
            </w:pPr>
            <w:r>
              <w:rPr>
                <w:sz w:val="4"/>
                <w:szCs w:val="4"/>
              </w:rPr>
            </w:r>
          </w:p>
        </w:tc>
        <w:tc>
          <w:tcPr>
            <w:tcW w:w="1610" w:type="dxa"/>
            <w:gridSpan w:val="4"/>
            <w:tcBorders/>
            <w:shd w:fill="CCF2F8" w:val="clear"/>
            <w:vAlign w:val="center"/>
          </w:tcPr>
          <w:p>
            <w:pPr>
              <w:pStyle w:val="TableContents"/>
              <w:bidi w:val="0"/>
              <w:spacing w:before="0" w:after="283"/>
              <w:jc w:val="left"/>
              <w:rPr>
                <w:sz w:val="4"/>
                <w:szCs w:val="4"/>
              </w:rPr>
            </w:pPr>
            <w:r>
              <w:rPr>
                <w:sz w:val="4"/>
                <w:szCs w:val="4"/>
              </w:rPr>
            </w:r>
          </w:p>
        </w:tc>
        <w:tc>
          <w:tcPr>
            <w:tcW w:w="1660" w:type="dxa"/>
            <w:gridSpan w:val="4"/>
            <w:tcBorders/>
            <w:shd w:fill="CCF2F8" w:val="clear"/>
            <w:vAlign w:val="center"/>
          </w:tcPr>
          <w:p>
            <w:pPr>
              <w:pStyle w:val="TableContents"/>
              <w:bidi w:val="0"/>
              <w:spacing w:before="0" w:after="283"/>
              <w:jc w:val="left"/>
              <w:rPr>
                <w:sz w:val="4"/>
                <w:szCs w:val="4"/>
              </w:rPr>
            </w:pPr>
            <w:r>
              <w:rPr>
                <w:sz w:val="4"/>
                <w:szCs w:val="4"/>
              </w:rPr>
            </w:r>
          </w:p>
        </w:tc>
        <w:tc>
          <w:tcPr>
            <w:tcW w:w="1411" w:type="dxa"/>
            <w:gridSpan w:val="4"/>
            <w:tcBorders/>
            <w:shd w:fill="CCF2F8" w:val="clear"/>
            <w:vAlign w:val="center"/>
          </w:tcPr>
          <w:p>
            <w:pPr>
              <w:pStyle w:val="TableContents"/>
              <w:bidi w:val="0"/>
              <w:spacing w:before="0" w:after="283"/>
              <w:jc w:val="left"/>
              <w:rPr>
                <w:sz w:val="4"/>
                <w:szCs w:val="4"/>
              </w:rPr>
            </w:pPr>
            <w:r>
              <w:rPr>
                <w:sz w:val="4"/>
                <w:szCs w:val="4"/>
              </w:rPr>
            </w:r>
          </w:p>
        </w:tc>
        <w:tc>
          <w:tcPr>
            <w:tcW w:w="1442" w:type="dxa"/>
            <w:gridSpan w:val="4"/>
            <w:tcBorders/>
            <w:shd w:fill="CCF2F8" w:val="clear"/>
            <w:vAlign w:val="center"/>
          </w:tcPr>
          <w:p>
            <w:pPr>
              <w:pStyle w:val="TableContents"/>
              <w:bidi w:val="0"/>
              <w:spacing w:before="0" w:after="283"/>
              <w:jc w:val="left"/>
              <w:rPr>
                <w:sz w:val="4"/>
                <w:szCs w:val="4"/>
              </w:rPr>
            </w:pPr>
            <w:r>
              <w:rPr>
                <w:sz w:val="4"/>
                <w:szCs w:val="4"/>
              </w:rPr>
            </w:r>
          </w:p>
        </w:tc>
        <w:tc>
          <w:tcPr>
            <w:tcW w:w="1310" w:type="dxa"/>
            <w:gridSpan w:val="4"/>
            <w:tcBorders/>
            <w:shd w:fill="CCF2F8" w:val="clear"/>
            <w:vAlign w:val="center"/>
          </w:tcPr>
          <w:p>
            <w:pPr>
              <w:pStyle w:val="TableContents"/>
              <w:bidi w:val="0"/>
              <w:spacing w:before="0" w:after="283"/>
              <w:jc w:val="left"/>
              <w:rPr>
                <w:sz w:val="4"/>
                <w:szCs w:val="4"/>
              </w:rPr>
            </w:pPr>
            <w:r>
              <w:rPr>
                <w:sz w:val="4"/>
                <w:szCs w:val="4"/>
              </w:rPr>
            </w:r>
          </w:p>
        </w:tc>
        <w:tc>
          <w:tcPr>
            <w:tcW w:w="102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15" w:type="dxa"/>
            <w:tcBorders/>
            <w:shd w:fill="CCF2F8" w:val="clear"/>
            <w:vAlign w:val="center"/>
          </w:tcPr>
          <w:p>
            <w:pPr>
              <w:pStyle w:val="TableContents"/>
              <w:bidi w:val="0"/>
              <w:spacing w:before="0" w:after="0"/>
              <w:jc w:val="center"/>
              <w:rPr>
                <w:color w:val="3E3935"/>
                <w:spacing w:val="0"/>
              </w:rPr>
            </w:pPr>
            <w:r>
              <w:rPr>
                <w:color w:val="3E3935"/>
                <w:spacing w:val="0"/>
              </w:rPr>
              <w:t>2023</w:t>
            </w:r>
          </w:p>
        </w:tc>
        <w:tc>
          <w:tcPr>
            <w:tcW w:w="60" w:type="dxa"/>
            <w:tcBorders/>
            <w:shd w:fill="CCF2F8" w:val="clear"/>
            <w:vAlign w:val="center"/>
          </w:tcPr>
          <w:p>
            <w:pPr>
              <w:pStyle w:val="TableContents"/>
              <w:bidi w:val="0"/>
              <w:spacing w:before="0" w:after="283"/>
              <w:jc w:val="left"/>
              <w:rPr/>
            </w:pPr>
            <w:r>
              <w:rPr/>
              <w:t> </w:t>
            </w:r>
          </w:p>
        </w:tc>
        <w:tc>
          <w:tcPr>
            <w:tcW w:w="77"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413" w:type="dxa"/>
            <w:tcBorders/>
            <w:shd w:fill="CCF2F8" w:val="clear"/>
            <w:vAlign w:val="center"/>
          </w:tcPr>
          <w:p>
            <w:pPr>
              <w:pStyle w:val="TableContents"/>
              <w:bidi w:val="0"/>
              <w:spacing w:before="0" w:after="0"/>
              <w:jc w:val="right"/>
              <w:rPr>
                <w:color w:val="3E3935"/>
                <w:spacing w:val="0"/>
              </w:rPr>
            </w:pPr>
            <w:r>
              <w:rPr>
                <w:color w:val="3E3935"/>
                <w:spacing w:val="0"/>
              </w:rPr>
              <w:t>27,847,405</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6"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304" w:type="dxa"/>
            <w:tcBorders/>
            <w:shd w:fill="CCF2F8" w:val="clear"/>
            <w:vAlign w:val="center"/>
          </w:tcPr>
          <w:p>
            <w:pPr>
              <w:pStyle w:val="TableContents"/>
              <w:bidi w:val="0"/>
              <w:spacing w:before="0" w:after="0"/>
              <w:jc w:val="right"/>
              <w:rPr>
                <w:color w:val="3E3935"/>
                <w:spacing w:val="0"/>
              </w:rPr>
            </w:pPr>
            <w:r>
              <w:rPr>
                <w:color w:val="3E3935"/>
                <w:spacing w:val="0"/>
              </w:rPr>
              <w:t>21,715,743</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77"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413" w:type="dxa"/>
            <w:tcBorders/>
            <w:shd w:fill="CCF2F8" w:val="clear"/>
            <w:vAlign w:val="center"/>
          </w:tcPr>
          <w:p>
            <w:pPr>
              <w:pStyle w:val="TableContents"/>
              <w:bidi w:val="0"/>
              <w:spacing w:before="0" w:after="0"/>
              <w:jc w:val="right"/>
              <w:rPr>
                <w:color w:val="3E3935"/>
                <w:spacing w:val="0"/>
              </w:rPr>
            </w:pPr>
            <w:r>
              <w:rPr>
                <w:color w:val="3E3935"/>
                <w:spacing w:val="0"/>
              </w:rPr>
              <w:t>15,245,310</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371" w:type="dxa"/>
            <w:tcBorders/>
            <w:shd w:fill="CCF2F8" w:val="clear"/>
            <w:vAlign w:val="center"/>
          </w:tcPr>
          <w:p>
            <w:pPr>
              <w:pStyle w:val="TableContents"/>
              <w:bidi w:val="0"/>
              <w:spacing w:before="0" w:after="0"/>
              <w:jc w:val="right"/>
              <w:rPr>
                <w:color w:val="3E3935"/>
                <w:spacing w:val="0"/>
              </w:rPr>
            </w:pPr>
            <w:r>
              <w:rPr>
                <w:color w:val="3E3935"/>
                <w:spacing w:val="0"/>
              </w:rPr>
              <w:t>12,490,596</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162"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27" w:type="dxa"/>
            <w:tcBorders/>
            <w:shd w:fill="CCF2F8" w:val="clear"/>
            <w:vAlign w:val="center"/>
          </w:tcPr>
          <w:p>
            <w:pPr>
              <w:pStyle w:val="TableContents"/>
              <w:bidi w:val="0"/>
              <w:spacing w:before="0" w:after="0"/>
              <w:jc w:val="right"/>
              <w:rPr>
                <w:color w:val="3E3935"/>
                <w:spacing w:val="0"/>
              </w:rPr>
            </w:pPr>
            <w:r>
              <w:rPr>
                <w:color w:val="3E3935"/>
                <w:spacing w:val="0"/>
              </w:rPr>
              <w:t>102</w:t>
            </w:r>
          </w:p>
        </w:tc>
        <w:tc>
          <w:tcPr>
            <w:tcW w:w="162"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62" w:type="dxa"/>
            <w:tcBorders/>
            <w:shd w:fill="CCF2F8" w:val="clear"/>
            <w:vAlign w:val="center"/>
          </w:tcPr>
          <w:p>
            <w:pPr>
              <w:pStyle w:val="TableContents"/>
              <w:bidi w:val="0"/>
              <w:spacing w:before="0" w:after="283"/>
              <w:jc w:val="left"/>
              <w:rPr/>
            </w:pPr>
            <w:r>
              <w:rPr/>
              <w:t> </w:t>
            </w:r>
          </w:p>
        </w:tc>
        <w:tc>
          <w:tcPr>
            <w:tcW w:w="16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170</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11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75" w:type="dxa"/>
            <w:tcBorders/>
            <w:shd w:fill="CCF2F8" w:val="clear"/>
            <w:vAlign w:val="center"/>
          </w:tcPr>
          <w:p>
            <w:pPr>
              <w:pStyle w:val="TableContents"/>
              <w:bidi w:val="0"/>
              <w:spacing w:before="0" w:after="0"/>
              <w:jc w:val="right"/>
              <w:rPr>
                <w:color w:val="3E3935"/>
                <w:spacing w:val="0"/>
              </w:rPr>
            </w:pPr>
            <w:r>
              <w:rPr>
                <w:color w:val="3E3935"/>
                <w:spacing w:val="0"/>
              </w:rPr>
              <w:t>9.840</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72"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818" w:type="dxa"/>
            <w:tcBorders/>
            <w:shd w:fill="CCF2F8" w:val="clear"/>
            <w:vAlign w:val="center"/>
          </w:tcPr>
          <w:p>
            <w:pPr>
              <w:pStyle w:val="TableContents"/>
              <w:bidi w:val="0"/>
              <w:spacing w:before="0" w:after="0"/>
              <w:jc w:val="right"/>
              <w:rPr>
                <w:color w:val="3E3935"/>
                <w:spacing w:val="0"/>
              </w:rPr>
            </w:pPr>
            <w:r>
              <w:rPr>
                <w:color w:val="3E3935"/>
                <w:spacing w:val="0"/>
              </w:rPr>
              <w:t>12.357</w:t>
            </w:r>
          </w:p>
        </w:tc>
        <w:tc>
          <w:tcPr>
            <w:tcW w:w="75" w:type="dxa"/>
            <w:tcBorders/>
            <w:shd w:fill="CCF2F8" w:val="clear"/>
            <w:vAlign w:val="center"/>
          </w:tcPr>
          <w:p>
            <w:pPr>
              <w:pStyle w:val="TableContents"/>
              <w:bidi w:val="0"/>
              <w:spacing w:before="0" w:after="0"/>
              <w:jc w:val="left"/>
              <w:rPr>
                <w:color w:val="3E3935"/>
                <w:spacing w:val="0"/>
              </w:rPr>
            </w:pPr>
            <w:r>
              <w:rPr>
                <w:color w:val="3E3935"/>
                <w:spacing w:val="0"/>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c>
          <w:tcPr>
            <w:tcW w:w="1442"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0"/>
              <w:jc w:val="center"/>
              <w:rPr>
                <w:color w:val="3E3935"/>
                <w:spacing w:val="0"/>
              </w:rPr>
            </w:pPr>
            <w:r>
              <w:rPr>
                <w:color w:val="3E3935"/>
                <w:spacing w:val="0"/>
              </w:rPr>
              <w:t>2022</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color w:val="3E3935"/>
                <w:spacing w:val="0"/>
              </w:rPr>
            </w:pPr>
            <w:r>
              <w:rPr>
                <w:color w:val="3E3935"/>
                <w:spacing w:val="0"/>
              </w:rPr>
              <w:t> </w:t>
            </w:r>
          </w:p>
        </w:tc>
        <w:tc>
          <w:tcPr>
            <w:tcW w:w="1413" w:type="dxa"/>
            <w:tcBorders/>
            <w:vAlign w:val="center"/>
          </w:tcPr>
          <w:p>
            <w:pPr>
              <w:pStyle w:val="TableContents"/>
              <w:bidi w:val="0"/>
              <w:spacing w:before="0" w:after="0"/>
              <w:jc w:val="right"/>
              <w:rPr>
                <w:color w:val="3E3935"/>
                <w:spacing w:val="0"/>
              </w:rPr>
            </w:pPr>
            <w:r>
              <w:rPr>
                <w:color w:val="3E3935"/>
                <w:spacing w:val="0"/>
              </w:rPr>
              <w:t>28,979,570</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color w:val="3E3935"/>
                <w:spacing w:val="0"/>
              </w:rPr>
            </w:pPr>
            <w:r>
              <w:rPr>
                <w:color w:val="3E3935"/>
                <w:spacing w:val="0"/>
              </w:rPr>
              <w:t> </w:t>
            </w:r>
          </w:p>
        </w:tc>
        <w:tc>
          <w:tcPr>
            <w:tcW w:w="1304" w:type="dxa"/>
            <w:tcBorders/>
            <w:vAlign w:val="center"/>
          </w:tcPr>
          <w:p>
            <w:pPr>
              <w:pStyle w:val="TableContents"/>
              <w:bidi w:val="0"/>
              <w:spacing w:before="0" w:after="0"/>
              <w:jc w:val="right"/>
              <w:rPr>
                <w:color w:val="3E3935"/>
                <w:spacing w:val="0"/>
              </w:rPr>
            </w:pPr>
            <w:r>
              <w:rPr>
                <w:color w:val="3E3935"/>
                <w:spacing w:val="0"/>
              </w:rPr>
              <w:t>(16,991,516</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color w:val="3E3935"/>
                <w:spacing w:val="0"/>
              </w:rPr>
            </w:pPr>
            <w:r>
              <w:rPr>
                <w:color w:val="3E3935"/>
                <w:spacing w:val="0"/>
              </w:rPr>
              <w:t> </w:t>
            </w:r>
          </w:p>
        </w:tc>
        <w:tc>
          <w:tcPr>
            <w:tcW w:w="1413" w:type="dxa"/>
            <w:tcBorders/>
            <w:vAlign w:val="center"/>
          </w:tcPr>
          <w:p>
            <w:pPr>
              <w:pStyle w:val="TableContents"/>
              <w:bidi w:val="0"/>
              <w:spacing w:before="0" w:after="0"/>
              <w:jc w:val="right"/>
              <w:rPr>
                <w:color w:val="3E3935"/>
                <w:spacing w:val="0"/>
              </w:rPr>
            </w:pPr>
            <w:r>
              <w:rPr>
                <w:color w:val="3E3935"/>
                <w:spacing w:val="0"/>
              </w:rPr>
              <w:t>10,539,930</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color w:val="3E3935"/>
                <w:spacing w:val="0"/>
              </w:rPr>
            </w:pPr>
            <w:r>
              <w:rPr>
                <w:color w:val="3E3935"/>
                <w:spacing w:val="0"/>
              </w:rPr>
              <w:t> </w:t>
            </w:r>
          </w:p>
        </w:tc>
        <w:tc>
          <w:tcPr>
            <w:tcW w:w="1371" w:type="dxa"/>
            <w:tcBorders/>
            <w:vAlign w:val="center"/>
          </w:tcPr>
          <w:p>
            <w:pPr>
              <w:pStyle w:val="TableContents"/>
              <w:bidi w:val="0"/>
              <w:spacing w:before="0" w:after="0"/>
              <w:jc w:val="right"/>
              <w:rPr>
                <w:color w:val="3E3935"/>
                <w:spacing w:val="0"/>
              </w:rPr>
            </w:pPr>
            <w:r>
              <w:rPr>
                <w:color w:val="3E3935"/>
                <w:spacing w:val="0"/>
              </w:rPr>
              <w:t>(2,724,335</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color w:val="3E3935"/>
                <w:spacing w:val="0"/>
              </w:rPr>
            </w:pPr>
            <w:r>
              <w:rPr>
                <w:color w:val="3E3935"/>
                <w:spacing w:val="0"/>
              </w:rPr>
              <w:t> </w:t>
            </w:r>
          </w:p>
        </w:tc>
        <w:tc>
          <w:tcPr>
            <w:tcW w:w="1027" w:type="dxa"/>
            <w:tcBorders/>
            <w:vAlign w:val="center"/>
          </w:tcPr>
          <w:p>
            <w:pPr>
              <w:pStyle w:val="TableContents"/>
              <w:bidi w:val="0"/>
              <w:spacing w:before="0" w:after="0"/>
              <w:jc w:val="right"/>
              <w:rPr>
                <w:color w:val="3E3935"/>
                <w:spacing w:val="0"/>
              </w:rPr>
            </w:pPr>
            <w:r>
              <w:rPr>
                <w:color w:val="3E3935"/>
                <w:spacing w:val="0"/>
              </w:rPr>
              <w:t>94</w:t>
            </w:r>
          </w:p>
        </w:tc>
        <w:tc>
          <w:tcPr>
            <w:tcW w:w="162" w:type="dxa"/>
            <w:tcBorders/>
            <w:vAlign w:val="center"/>
          </w:tcPr>
          <w:p>
            <w:pPr>
              <w:pStyle w:val="TableContents"/>
              <w:bidi w:val="0"/>
              <w:spacing w:before="0" w:after="0"/>
              <w:jc w:val="left"/>
              <w:rPr>
                <w:color w:val="3E3935"/>
                <w:spacing w:val="0"/>
              </w:rPr>
            </w:pPr>
            <w:r>
              <w:rPr>
                <w:color w:val="3E3935"/>
                <w:spacing w:val="0"/>
              </w:rPr>
              <w:t> </w:t>
            </w:r>
          </w:p>
        </w:tc>
        <w:tc>
          <w:tcPr>
            <w:tcW w:w="162"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128</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color w:val="3E3935"/>
                <w:spacing w:val="0"/>
              </w:rPr>
            </w:pPr>
            <w:r>
              <w:rPr>
                <w:color w:val="3E3935"/>
                <w:spacing w:val="0"/>
              </w:rPr>
              <w:t> </w:t>
            </w:r>
          </w:p>
        </w:tc>
        <w:tc>
          <w:tcPr>
            <w:tcW w:w="1075" w:type="dxa"/>
            <w:tcBorders/>
            <w:vAlign w:val="center"/>
          </w:tcPr>
          <w:p>
            <w:pPr>
              <w:pStyle w:val="TableContents"/>
              <w:bidi w:val="0"/>
              <w:spacing w:before="0" w:after="0"/>
              <w:jc w:val="right"/>
              <w:rPr>
                <w:color w:val="3E3935"/>
                <w:spacing w:val="0"/>
              </w:rPr>
            </w:pPr>
            <w:r>
              <w:rPr>
                <w:color w:val="3E3935"/>
                <w:spacing w:val="0"/>
              </w:rPr>
              <w:t>9.708</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color w:val="3E3935"/>
                <w:spacing w:val="0"/>
              </w:rPr>
            </w:pPr>
            <w:r>
              <w:rPr>
                <w:color w:val="3E3935"/>
                <w:spacing w:val="0"/>
              </w:rPr>
              <w:t> </w:t>
            </w:r>
          </w:p>
        </w:tc>
        <w:tc>
          <w:tcPr>
            <w:tcW w:w="818" w:type="dxa"/>
            <w:tcBorders/>
            <w:vAlign w:val="center"/>
          </w:tcPr>
          <w:p>
            <w:pPr>
              <w:pStyle w:val="TableContents"/>
              <w:bidi w:val="0"/>
              <w:spacing w:before="0" w:after="0"/>
              <w:jc w:val="right"/>
              <w:rPr>
                <w:color w:val="3E3935"/>
                <w:spacing w:val="0"/>
              </w:rPr>
            </w:pPr>
            <w:r>
              <w:rPr>
                <w:color w:val="3E3935"/>
                <w:spacing w:val="0"/>
              </w:rPr>
              <w:t>14.474</w:t>
            </w:r>
          </w:p>
        </w:tc>
        <w:tc>
          <w:tcPr>
            <w:tcW w:w="75" w:type="dxa"/>
            <w:tcBorders/>
            <w:vAlign w:val="center"/>
          </w:tcPr>
          <w:p>
            <w:pPr>
              <w:pStyle w:val="TableContents"/>
              <w:bidi w:val="0"/>
              <w:spacing w:before="0" w:after="0"/>
              <w:jc w:val="left"/>
              <w:rPr>
                <w:color w:val="3E3935"/>
                <w:spacing w:val="0"/>
              </w:rPr>
            </w:pPr>
            <w:r>
              <w:rPr>
                <w:color w:val="3E3935"/>
                <w:spacing w:val="0"/>
              </w:rPr>
              <w:t> </w:t>
            </w:r>
          </w:p>
        </w:tc>
      </w:tr>
      <w:tr>
        <w:trPr/>
        <w:tc>
          <w:tcPr>
            <w:tcW w:w="515" w:type="dxa"/>
            <w:tcBorders/>
            <w:shd w:fill="CCF2F8" w:val="clear"/>
            <w:vAlign w:val="center"/>
          </w:tcPr>
          <w:p>
            <w:pPr>
              <w:pStyle w:val="TableContents"/>
              <w:bidi w:val="0"/>
              <w:spacing w:before="0" w:after="283"/>
              <w:jc w:val="left"/>
              <w:rPr>
                <w:sz w:val="4"/>
                <w:szCs w:val="4"/>
              </w:rPr>
            </w:pPr>
            <w:r>
              <w:rPr>
                <w:sz w:val="4"/>
                <w:szCs w:val="4"/>
              </w:rPr>
            </w:r>
          </w:p>
        </w:tc>
        <w:tc>
          <w:tcPr>
            <w:tcW w:w="1610" w:type="dxa"/>
            <w:gridSpan w:val="4"/>
            <w:tcBorders/>
            <w:shd w:fill="CCF2F8" w:val="clear"/>
            <w:vAlign w:val="center"/>
          </w:tcPr>
          <w:p>
            <w:pPr>
              <w:pStyle w:val="TableContents"/>
              <w:bidi w:val="0"/>
              <w:spacing w:before="0" w:after="283"/>
              <w:jc w:val="left"/>
              <w:rPr>
                <w:sz w:val="4"/>
                <w:szCs w:val="4"/>
              </w:rPr>
            </w:pPr>
            <w:r>
              <w:rPr>
                <w:sz w:val="4"/>
                <w:szCs w:val="4"/>
              </w:rPr>
            </w:r>
          </w:p>
        </w:tc>
        <w:tc>
          <w:tcPr>
            <w:tcW w:w="1585" w:type="dxa"/>
            <w:gridSpan w:val="4"/>
            <w:tcBorders/>
            <w:shd w:fill="CCF2F8" w:val="clear"/>
            <w:vAlign w:val="center"/>
          </w:tcPr>
          <w:p>
            <w:pPr>
              <w:pStyle w:val="TableContents"/>
              <w:bidi w:val="0"/>
              <w:spacing w:before="0" w:after="283"/>
              <w:jc w:val="left"/>
              <w:rPr>
                <w:sz w:val="4"/>
                <w:szCs w:val="4"/>
              </w:rPr>
            </w:pPr>
            <w:r>
              <w:rPr>
                <w:sz w:val="4"/>
                <w:szCs w:val="4"/>
              </w:rPr>
            </w:r>
          </w:p>
        </w:tc>
        <w:tc>
          <w:tcPr>
            <w:tcW w:w="1610" w:type="dxa"/>
            <w:gridSpan w:val="4"/>
            <w:tcBorders/>
            <w:shd w:fill="CCF2F8" w:val="clear"/>
            <w:vAlign w:val="center"/>
          </w:tcPr>
          <w:p>
            <w:pPr>
              <w:pStyle w:val="TableContents"/>
              <w:bidi w:val="0"/>
              <w:spacing w:before="0" w:after="283"/>
              <w:jc w:val="left"/>
              <w:rPr>
                <w:sz w:val="4"/>
                <w:szCs w:val="4"/>
              </w:rPr>
            </w:pPr>
            <w:r>
              <w:rPr>
                <w:sz w:val="4"/>
                <w:szCs w:val="4"/>
              </w:rPr>
            </w:r>
          </w:p>
        </w:tc>
        <w:tc>
          <w:tcPr>
            <w:tcW w:w="1660" w:type="dxa"/>
            <w:gridSpan w:val="4"/>
            <w:tcBorders/>
            <w:shd w:fill="CCF2F8" w:val="clear"/>
            <w:vAlign w:val="center"/>
          </w:tcPr>
          <w:p>
            <w:pPr>
              <w:pStyle w:val="TableContents"/>
              <w:bidi w:val="0"/>
              <w:spacing w:before="0" w:after="283"/>
              <w:jc w:val="left"/>
              <w:rPr>
                <w:sz w:val="4"/>
                <w:szCs w:val="4"/>
              </w:rPr>
            </w:pPr>
            <w:r>
              <w:rPr>
                <w:sz w:val="4"/>
                <w:szCs w:val="4"/>
              </w:rPr>
            </w:r>
          </w:p>
        </w:tc>
        <w:tc>
          <w:tcPr>
            <w:tcW w:w="1411" w:type="dxa"/>
            <w:gridSpan w:val="4"/>
            <w:tcBorders/>
            <w:shd w:fill="CCF2F8" w:val="clear"/>
            <w:vAlign w:val="center"/>
          </w:tcPr>
          <w:p>
            <w:pPr>
              <w:pStyle w:val="TableContents"/>
              <w:bidi w:val="0"/>
              <w:spacing w:before="0" w:after="283"/>
              <w:jc w:val="left"/>
              <w:rPr>
                <w:sz w:val="4"/>
                <w:szCs w:val="4"/>
              </w:rPr>
            </w:pPr>
            <w:r>
              <w:rPr>
                <w:sz w:val="4"/>
                <w:szCs w:val="4"/>
              </w:rPr>
            </w:r>
          </w:p>
        </w:tc>
        <w:tc>
          <w:tcPr>
            <w:tcW w:w="1442" w:type="dxa"/>
            <w:gridSpan w:val="4"/>
            <w:tcBorders/>
            <w:shd w:fill="CCF2F8" w:val="clear"/>
            <w:vAlign w:val="center"/>
          </w:tcPr>
          <w:p>
            <w:pPr>
              <w:pStyle w:val="TableContents"/>
              <w:bidi w:val="0"/>
              <w:spacing w:before="0" w:after="283"/>
              <w:jc w:val="left"/>
              <w:rPr>
                <w:sz w:val="4"/>
                <w:szCs w:val="4"/>
              </w:rPr>
            </w:pPr>
            <w:r>
              <w:rPr>
                <w:sz w:val="4"/>
                <w:szCs w:val="4"/>
              </w:rPr>
            </w:r>
          </w:p>
        </w:tc>
        <w:tc>
          <w:tcPr>
            <w:tcW w:w="1310" w:type="dxa"/>
            <w:gridSpan w:val="4"/>
            <w:tcBorders/>
            <w:shd w:fill="CCF2F8" w:val="clear"/>
            <w:vAlign w:val="center"/>
          </w:tcPr>
          <w:p>
            <w:pPr>
              <w:pStyle w:val="TableContents"/>
              <w:bidi w:val="0"/>
              <w:spacing w:before="0" w:after="283"/>
              <w:jc w:val="left"/>
              <w:rPr>
                <w:sz w:val="4"/>
                <w:szCs w:val="4"/>
              </w:rPr>
            </w:pPr>
            <w:r>
              <w:rPr>
                <w:sz w:val="4"/>
                <w:szCs w:val="4"/>
              </w:rPr>
            </w:r>
          </w:p>
        </w:tc>
        <w:tc>
          <w:tcPr>
            <w:tcW w:w="102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15" w:type="dxa"/>
            <w:tcBorders/>
            <w:shd w:fill="CCF2F8" w:val="clear"/>
            <w:vAlign w:val="center"/>
          </w:tcPr>
          <w:p>
            <w:pPr>
              <w:pStyle w:val="TableContents"/>
              <w:bidi w:val="0"/>
              <w:spacing w:before="0" w:after="0"/>
              <w:jc w:val="center"/>
              <w:rPr>
                <w:color w:val="3E3935"/>
                <w:spacing w:val="0"/>
              </w:rPr>
            </w:pPr>
            <w:r>
              <w:rPr>
                <w:color w:val="3E3935"/>
                <w:spacing w:val="0"/>
              </w:rPr>
              <w:t>2021</w:t>
            </w:r>
          </w:p>
        </w:tc>
        <w:tc>
          <w:tcPr>
            <w:tcW w:w="60" w:type="dxa"/>
            <w:tcBorders/>
            <w:shd w:fill="CCF2F8" w:val="clear"/>
            <w:vAlign w:val="center"/>
          </w:tcPr>
          <w:p>
            <w:pPr>
              <w:pStyle w:val="TableContents"/>
              <w:bidi w:val="0"/>
              <w:spacing w:before="0" w:after="283"/>
              <w:jc w:val="left"/>
              <w:rPr/>
            </w:pPr>
            <w:r>
              <w:rPr/>
              <w:t> </w:t>
            </w:r>
          </w:p>
        </w:tc>
        <w:tc>
          <w:tcPr>
            <w:tcW w:w="77"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413" w:type="dxa"/>
            <w:tcBorders/>
            <w:shd w:fill="CCF2F8" w:val="clear"/>
            <w:vAlign w:val="center"/>
          </w:tcPr>
          <w:p>
            <w:pPr>
              <w:pStyle w:val="TableContents"/>
              <w:bidi w:val="0"/>
              <w:spacing w:before="0" w:after="0"/>
              <w:jc w:val="right"/>
              <w:rPr>
                <w:color w:val="3E3935"/>
                <w:spacing w:val="0"/>
              </w:rPr>
            </w:pPr>
            <w:r>
              <w:rPr>
                <w:color w:val="3E3935"/>
                <w:spacing w:val="0"/>
              </w:rPr>
              <w:t>29,136,780</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6"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304" w:type="dxa"/>
            <w:tcBorders/>
            <w:shd w:fill="CCF2F8" w:val="clear"/>
            <w:vAlign w:val="center"/>
          </w:tcPr>
          <w:p>
            <w:pPr>
              <w:pStyle w:val="TableContents"/>
              <w:bidi w:val="0"/>
              <w:spacing w:before="0" w:after="0"/>
              <w:jc w:val="right"/>
              <w:rPr>
                <w:color w:val="3E3935"/>
                <w:spacing w:val="0"/>
              </w:rPr>
            </w:pPr>
            <w:r>
              <w:rPr>
                <w:color w:val="3E3935"/>
                <w:spacing w:val="0"/>
              </w:rPr>
              <w:t>76,096,506</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77"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413" w:type="dxa"/>
            <w:tcBorders/>
            <w:shd w:fill="CCF2F8" w:val="clear"/>
            <w:vAlign w:val="center"/>
          </w:tcPr>
          <w:p>
            <w:pPr>
              <w:pStyle w:val="TableContents"/>
              <w:bidi w:val="0"/>
              <w:spacing w:before="0" w:after="0"/>
              <w:jc w:val="right"/>
              <w:rPr>
                <w:color w:val="3E3935"/>
                <w:spacing w:val="0"/>
              </w:rPr>
            </w:pPr>
            <w:r>
              <w:rPr>
                <w:color w:val="3E3935"/>
                <w:spacing w:val="0"/>
              </w:rPr>
              <w:t>9,982,519</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74"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371" w:type="dxa"/>
            <w:tcBorders/>
            <w:shd w:fill="CCF2F8" w:val="clear"/>
            <w:vAlign w:val="center"/>
          </w:tcPr>
          <w:p>
            <w:pPr>
              <w:pStyle w:val="TableContents"/>
              <w:bidi w:val="0"/>
              <w:spacing w:before="0" w:after="0"/>
              <w:jc w:val="right"/>
              <w:rPr>
                <w:color w:val="3E3935"/>
                <w:spacing w:val="0"/>
              </w:rPr>
            </w:pPr>
            <w:r>
              <w:rPr>
                <w:color w:val="3E3935"/>
                <w:spacing w:val="0"/>
              </w:rPr>
              <w:t>19,443,928</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162"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27" w:type="dxa"/>
            <w:tcBorders/>
            <w:shd w:fill="CCF2F8" w:val="clear"/>
            <w:vAlign w:val="center"/>
          </w:tcPr>
          <w:p>
            <w:pPr>
              <w:pStyle w:val="TableContents"/>
              <w:bidi w:val="0"/>
              <w:spacing w:before="0" w:after="0"/>
              <w:jc w:val="right"/>
              <w:rPr>
                <w:color w:val="3E3935"/>
                <w:spacing w:val="0"/>
              </w:rPr>
            </w:pPr>
            <w:r>
              <w:rPr>
                <w:color w:val="3E3935"/>
                <w:spacing w:val="0"/>
              </w:rPr>
              <w:t>164</w:t>
            </w:r>
          </w:p>
        </w:tc>
        <w:tc>
          <w:tcPr>
            <w:tcW w:w="162"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62" w:type="dxa"/>
            <w:tcBorders/>
            <w:shd w:fill="CCF2F8" w:val="clear"/>
            <w:vAlign w:val="center"/>
          </w:tcPr>
          <w:p>
            <w:pPr>
              <w:pStyle w:val="TableContents"/>
              <w:bidi w:val="0"/>
              <w:spacing w:before="0" w:after="283"/>
              <w:jc w:val="left"/>
              <w:rPr/>
            </w:pPr>
            <w:r>
              <w:rPr/>
              <w:t> </w:t>
            </w:r>
          </w:p>
        </w:tc>
        <w:tc>
          <w:tcPr>
            <w:tcW w:w="16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188</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11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75" w:type="dxa"/>
            <w:tcBorders/>
            <w:shd w:fill="CCF2F8" w:val="clear"/>
            <w:vAlign w:val="center"/>
          </w:tcPr>
          <w:p>
            <w:pPr>
              <w:pStyle w:val="TableContents"/>
              <w:bidi w:val="0"/>
              <w:spacing w:before="0" w:after="0"/>
              <w:jc w:val="right"/>
              <w:rPr>
                <w:color w:val="3E3935"/>
                <w:spacing w:val="0"/>
              </w:rPr>
            </w:pPr>
            <w:r>
              <w:rPr>
                <w:color w:val="3E3935"/>
                <w:spacing w:val="0"/>
              </w:rPr>
              <w:t>9.945</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72"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818" w:type="dxa"/>
            <w:tcBorders/>
            <w:shd w:fill="CCF2F8" w:val="clear"/>
            <w:vAlign w:val="center"/>
          </w:tcPr>
          <w:p>
            <w:pPr>
              <w:pStyle w:val="TableContents"/>
              <w:bidi w:val="0"/>
              <w:spacing w:before="0" w:after="0"/>
              <w:jc w:val="right"/>
              <w:rPr>
                <w:color w:val="3E3935"/>
                <w:spacing w:val="0"/>
              </w:rPr>
            </w:pPr>
            <w:r>
              <w:rPr>
                <w:color w:val="3E3935"/>
                <w:spacing w:val="0"/>
              </w:rPr>
              <w:t>14.295</w:t>
            </w:r>
          </w:p>
        </w:tc>
        <w:tc>
          <w:tcPr>
            <w:tcW w:w="75" w:type="dxa"/>
            <w:tcBorders/>
            <w:shd w:fill="CCF2F8" w:val="clear"/>
            <w:vAlign w:val="center"/>
          </w:tcPr>
          <w:p>
            <w:pPr>
              <w:pStyle w:val="TableContents"/>
              <w:bidi w:val="0"/>
              <w:spacing w:before="0" w:after="0"/>
              <w:jc w:val="left"/>
              <w:rPr>
                <w:color w:val="3E3935"/>
                <w:spacing w:val="0"/>
              </w:rPr>
            </w:pPr>
            <w:r>
              <w:rPr>
                <w:color w:val="3E3935"/>
                <w:spacing w:val="0"/>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c>
          <w:tcPr>
            <w:tcW w:w="1442"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bottom w:val="single" w:sz="6" w:space="0" w:color="0071CE"/>
            </w:tcBorders>
            <w:tcMar>
              <w:bottom w:w="80" w:type="dxa"/>
            </w:tcMar>
            <w:vAlign w:val="center"/>
          </w:tcPr>
          <w:p>
            <w:pPr>
              <w:pStyle w:val="TableContents"/>
              <w:bidi w:val="0"/>
              <w:spacing w:before="0" w:after="0"/>
              <w:jc w:val="center"/>
              <w:rPr>
                <w:color w:val="3E3935"/>
                <w:spacing w:val="0"/>
              </w:rPr>
            </w:pPr>
            <w:r>
              <w:rPr>
                <w:color w:val="3E3935"/>
                <w:spacing w:val="0"/>
              </w:rPr>
              <w:t>2020</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7"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1413" w:type="dxa"/>
            <w:tcBorders>
              <w:bottom w:val="single" w:sz="6" w:space="0" w:color="0071CE"/>
            </w:tcBorders>
            <w:tcMar>
              <w:bottom w:w="80" w:type="dxa"/>
            </w:tcMar>
            <w:vAlign w:val="center"/>
          </w:tcPr>
          <w:p>
            <w:pPr>
              <w:pStyle w:val="TableContents"/>
              <w:bidi w:val="0"/>
              <w:spacing w:before="0" w:after="0"/>
              <w:jc w:val="right"/>
              <w:rPr>
                <w:color w:val="3E3935"/>
                <w:spacing w:val="0"/>
              </w:rPr>
            </w:pPr>
            <w:r>
              <w:rPr>
                <w:color w:val="3E3935"/>
                <w:spacing w:val="0"/>
              </w:rPr>
              <w:t>23,657,987</w:t>
            </w:r>
          </w:p>
        </w:tc>
        <w:tc>
          <w:tcPr>
            <w:tcW w:w="60"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6"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1304" w:type="dxa"/>
            <w:tcBorders>
              <w:bottom w:val="single" w:sz="6" w:space="0" w:color="0071CE"/>
            </w:tcBorders>
            <w:tcMar>
              <w:bottom w:w="80" w:type="dxa"/>
            </w:tcMar>
            <w:vAlign w:val="center"/>
          </w:tcPr>
          <w:p>
            <w:pPr>
              <w:pStyle w:val="TableContents"/>
              <w:bidi w:val="0"/>
              <w:spacing w:before="0" w:after="0"/>
              <w:jc w:val="right"/>
              <w:rPr>
                <w:color w:val="3E3935"/>
                <w:spacing w:val="0"/>
              </w:rPr>
            </w:pPr>
            <w:r>
              <w:rPr>
                <w:color w:val="3E3935"/>
                <w:spacing w:val="0"/>
              </w:rPr>
              <w:t>45,185,399</w:t>
            </w:r>
          </w:p>
        </w:tc>
        <w:tc>
          <w:tcPr>
            <w:tcW w:w="155"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7"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1413" w:type="dxa"/>
            <w:tcBorders>
              <w:bottom w:val="single" w:sz="6" w:space="0" w:color="0071CE"/>
            </w:tcBorders>
            <w:tcMar>
              <w:bottom w:w="80" w:type="dxa"/>
            </w:tcMar>
            <w:vAlign w:val="center"/>
          </w:tcPr>
          <w:p>
            <w:pPr>
              <w:pStyle w:val="TableContents"/>
              <w:bidi w:val="0"/>
              <w:spacing w:before="0" w:after="0"/>
              <w:jc w:val="right"/>
              <w:rPr>
                <w:color w:val="3E3935"/>
                <w:spacing w:val="0"/>
              </w:rPr>
            </w:pPr>
            <w:r>
              <w:rPr>
                <w:color w:val="3E3935"/>
                <w:spacing w:val="0"/>
              </w:rPr>
              <w:t>6,632,869</w:t>
            </w:r>
          </w:p>
        </w:tc>
        <w:tc>
          <w:tcPr>
            <w:tcW w:w="60"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4"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1371" w:type="dxa"/>
            <w:tcBorders>
              <w:bottom w:val="single" w:sz="6" w:space="0" w:color="0071CE"/>
            </w:tcBorders>
            <w:tcMar>
              <w:bottom w:w="80" w:type="dxa"/>
            </w:tcMar>
            <w:vAlign w:val="center"/>
          </w:tcPr>
          <w:p>
            <w:pPr>
              <w:pStyle w:val="TableContents"/>
              <w:bidi w:val="0"/>
              <w:spacing w:before="0" w:after="0"/>
              <w:jc w:val="right"/>
              <w:rPr>
                <w:color w:val="3E3935"/>
                <w:spacing w:val="0"/>
              </w:rPr>
            </w:pPr>
            <w:r>
              <w:rPr>
                <w:color w:val="3E3935"/>
                <w:spacing w:val="0"/>
              </w:rPr>
              <w:t>5,817,820</w:t>
            </w:r>
          </w:p>
        </w:tc>
        <w:tc>
          <w:tcPr>
            <w:tcW w:w="155"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62"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1027" w:type="dxa"/>
            <w:tcBorders>
              <w:bottom w:val="single" w:sz="6" w:space="0" w:color="0071CE"/>
            </w:tcBorders>
            <w:tcMar>
              <w:bottom w:w="80" w:type="dxa"/>
            </w:tcMar>
            <w:vAlign w:val="center"/>
          </w:tcPr>
          <w:p>
            <w:pPr>
              <w:pStyle w:val="TableContents"/>
              <w:bidi w:val="0"/>
              <w:spacing w:before="0" w:after="0"/>
              <w:jc w:val="right"/>
              <w:rPr>
                <w:color w:val="3E3935"/>
                <w:spacing w:val="0"/>
              </w:rPr>
            </w:pPr>
            <w:r>
              <w:rPr>
                <w:color w:val="3E3935"/>
                <w:spacing w:val="0"/>
              </w:rPr>
              <w:t>116</w:t>
            </w:r>
          </w:p>
        </w:tc>
        <w:tc>
          <w:tcPr>
            <w:tcW w:w="162"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162" w:type="dxa"/>
            <w:tcBorders>
              <w:bottom w:val="single" w:sz="6" w:space="0" w:color="0071CE"/>
            </w:tcBorders>
            <w:tcMar>
              <w:bottom w:w="28" w:type="dxa"/>
            </w:tcMar>
            <w:vAlign w:val="center"/>
          </w:tcPr>
          <w:p>
            <w:pPr>
              <w:pStyle w:val="TableContents"/>
              <w:bidi w:val="0"/>
              <w:spacing w:before="0" w:after="283"/>
              <w:jc w:val="left"/>
              <w:rPr/>
            </w:pPr>
            <w:r>
              <w:rPr/>
              <w:t> </w:t>
            </w:r>
          </w:p>
        </w:tc>
        <w:tc>
          <w:tcPr>
            <w:tcW w:w="165"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1055" w:type="dxa"/>
            <w:tcBorders>
              <w:bottom w:val="single" w:sz="6" w:space="0" w:color="0071CE"/>
            </w:tcBorders>
            <w:tcMar>
              <w:bottom w:w="80" w:type="dxa"/>
            </w:tcMar>
            <w:vAlign w:val="center"/>
          </w:tcPr>
          <w:p>
            <w:pPr>
              <w:pStyle w:val="TableContents"/>
              <w:bidi w:val="0"/>
              <w:spacing w:before="0" w:after="0"/>
              <w:jc w:val="right"/>
              <w:rPr>
                <w:color w:val="3E3935"/>
                <w:spacing w:val="0"/>
              </w:rPr>
            </w:pPr>
            <w:r>
              <w:rPr>
                <w:color w:val="3E3935"/>
                <w:spacing w:val="0"/>
              </w:rPr>
              <w:t>151</w:t>
            </w:r>
          </w:p>
        </w:tc>
        <w:tc>
          <w:tcPr>
            <w:tcW w:w="60"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5"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1075" w:type="dxa"/>
            <w:tcBorders>
              <w:bottom w:val="single" w:sz="6" w:space="0" w:color="0071CE"/>
            </w:tcBorders>
            <w:tcMar>
              <w:bottom w:w="80" w:type="dxa"/>
            </w:tcMar>
            <w:vAlign w:val="center"/>
          </w:tcPr>
          <w:p>
            <w:pPr>
              <w:pStyle w:val="TableContents"/>
              <w:bidi w:val="0"/>
              <w:spacing w:before="0" w:after="0"/>
              <w:jc w:val="right"/>
              <w:rPr>
                <w:color w:val="3E3935"/>
                <w:spacing w:val="0"/>
              </w:rPr>
            </w:pPr>
            <w:r>
              <w:rPr>
                <w:color w:val="3E3935"/>
                <w:spacing w:val="0"/>
              </w:rPr>
              <w:t>6.321</w:t>
            </w:r>
          </w:p>
        </w:tc>
        <w:tc>
          <w:tcPr>
            <w:tcW w:w="60"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72"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c>
          <w:tcPr>
            <w:tcW w:w="818" w:type="dxa"/>
            <w:tcBorders>
              <w:bottom w:val="single" w:sz="6" w:space="0" w:color="0071CE"/>
            </w:tcBorders>
            <w:tcMar>
              <w:bottom w:w="80" w:type="dxa"/>
            </w:tcMar>
            <w:vAlign w:val="center"/>
          </w:tcPr>
          <w:p>
            <w:pPr>
              <w:pStyle w:val="TableContents"/>
              <w:bidi w:val="0"/>
              <w:spacing w:before="0" w:after="0"/>
              <w:jc w:val="right"/>
              <w:rPr>
                <w:color w:val="3E3935"/>
                <w:spacing w:val="0"/>
              </w:rPr>
            </w:pPr>
            <w:r>
              <w:rPr>
                <w:color w:val="3E3935"/>
                <w:spacing w:val="0"/>
              </w:rPr>
              <w:t>9.710</w:t>
            </w:r>
          </w:p>
        </w:tc>
        <w:tc>
          <w:tcPr>
            <w:tcW w:w="75"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p>
        </w:tc>
      </w:tr>
    </w:tbl>
    <w:p>
      <w:pPr>
        <w:pStyle w:val="TextBody"/>
        <w:bidi w:val="0"/>
        <w:spacing w:before="0" w:after="0"/>
        <w:jc w:val="left"/>
        <w:rPr>
          <w:shd w:fill="FFFFFF" w:val="clear"/>
        </w:rPr>
      </w:pPr>
      <w:r>
        <w:rPr>
          <w:shd w:fill="FFFFFF" w:val="clear"/>
        </w:rPr>
        <w:t> </w:t>
      </w:r>
    </w:p>
    <w:tbl>
      <w:tblPr>
        <w:tblW w:w="4690" w:type="dxa"/>
        <w:jc w:val="left"/>
        <w:tblInd w:w="0" w:type="dxa"/>
        <w:tblLayout w:type="fixed"/>
        <w:tblCellMar>
          <w:top w:w="0" w:type="dxa"/>
          <w:left w:w="0" w:type="dxa"/>
          <w:bottom w:w="0" w:type="dxa"/>
          <w:right w:w="0" w:type="dxa"/>
        </w:tblCellMar>
      </w:tblPr>
      <w:tblGrid>
        <w:gridCol w:w="305"/>
        <w:gridCol w:w="4385"/>
      </w:tblGrid>
      <w:tr>
        <w:trPr/>
        <w:tc>
          <w:tcPr>
            <w:tcW w:w="305" w:type="dxa"/>
            <w:tcBorders/>
            <w:vAlign w:val="center"/>
          </w:tcPr>
          <w:p>
            <w:pPr>
              <w:pStyle w:val="TableContents"/>
              <w:bidi w:val="0"/>
              <w:spacing w:before="0" w:after="0"/>
              <w:jc w:val="left"/>
              <w:rPr>
                <w:color w:val="3E3935"/>
                <w:spacing w:val="0"/>
              </w:rPr>
            </w:pPr>
            <w:r>
              <w:rPr>
                <w:color w:val="3E3935"/>
                <w:spacing w:val="0"/>
              </w:rPr>
              <w:t>(1)</w:t>
            </w:r>
          </w:p>
        </w:tc>
        <w:tc>
          <w:tcPr>
            <w:tcW w:w="4385" w:type="dxa"/>
            <w:tcBorders/>
            <w:vAlign w:val="center"/>
          </w:tcPr>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Ms. Barra served as our CEO in 2023, 2022, 2021, and 2020.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color w:val="3E3935"/>
                <w:spacing w:val="0"/>
              </w:rPr>
            </w:pPr>
            <w:r>
              <w:rPr>
                <w:color w:val="3E3935"/>
                <w:spacing w:val="0"/>
              </w:rPr>
              <w:t>(2)</w:t>
            </w:r>
          </w:p>
        </w:tc>
        <w:tc>
          <w:tcPr>
            <w:tcW w:w="9948" w:type="dxa"/>
            <w:tcBorders/>
            <w:vAlign w:val="center"/>
          </w:tcPr>
          <w:p>
            <w:pPr>
              <w:pStyle w:val="TableContents"/>
              <w:bidi w:val="0"/>
              <w:spacing w:before="0" w:after="0"/>
              <w:jc w:val="both"/>
              <w:rPr>
                <w:rFonts w:ascii="arial" w:hAnsi="arial"/>
                <w:color w:val="3E3935"/>
                <w:spacing w:val="0"/>
                <w:sz w:val="15"/>
              </w:rPr>
            </w:pPr>
            <w:r>
              <w:rPr>
                <w:rFonts w:ascii="arial" w:hAnsi="arial"/>
                <w:color w:val="3E3935"/>
                <w:spacing w:val="0"/>
                <w:sz w:val="15"/>
              </w:rPr>
              <w:t>Non-CEO</w:t>
            </w:r>
          </w:p>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NEOs in 2023 included Messrs. Jacobson, Reuss, Abbott, and Glidden. </w:t>
            </w:r>
          </w:p>
          <w:p>
            <w:pPr>
              <w:pStyle w:val="TableContents"/>
              <w:bidi w:val="0"/>
              <w:spacing w:before="0" w:after="0"/>
              <w:jc w:val="both"/>
              <w:rPr>
                <w:rFonts w:ascii="arial" w:hAnsi="arial"/>
                <w:color w:val="3E3935"/>
                <w:spacing w:val="0"/>
                <w:sz w:val="15"/>
              </w:rPr>
            </w:pPr>
            <w:r>
              <w:rPr>
                <w:rFonts w:ascii="arial" w:hAnsi="arial"/>
                <w:color w:val="3E3935"/>
                <w:spacing w:val="0"/>
                <w:sz w:val="15"/>
              </w:rPr>
              <w:t>Non-CEO</w:t>
            </w:r>
          </w:p>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NEOs in 2022 and 2021 included Mr. Jacobson, Mr. Reuss, Mr. Douglas Parks (Former Executive Vice President, Global Product Development, Purchasing and Supply Chain), and Mr. Stephen Carlisle (Former Executive Vice President and President, North America). </w:t>
            </w:r>
          </w:p>
          <w:p>
            <w:pPr>
              <w:pStyle w:val="TableContents"/>
              <w:bidi w:val="0"/>
              <w:spacing w:before="0" w:after="0"/>
              <w:jc w:val="both"/>
              <w:rPr>
                <w:rFonts w:ascii="arial" w:hAnsi="arial"/>
                <w:color w:val="3E3935"/>
                <w:spacing w:val="0"/>
                <w:sz w:val="15"/>
              </w:rPr>
            </w:pPr>
            <w:r>
              <w:rPr>
                <w:rFonts w:ascii="arial" w:hAnsi="arial"/>
                <w:color w:val="3E3935"/>
                <w:spacing w:val="0"/>
                <w:sz w:val="15"/>
              </w:rPr>
              <w:t>Non-CEO</w:t>
            </w:r>
          </w:p>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NEOs in 2020 included Messrs. Jacobson, Reuss, Parks, and Carlisle, Ms. Dhivya Suryadevara (Former Executive Vice President and Chief Financial Officer), Mr. John Stapleton (Vice President and Chief Financial Officer, North America and Former Acting Chief Financial Officer), and Mr. Barry Engle (Former Executive Vice President and President, North America). </w:t>
            </w:r>
          </w:p>
        </w:tc>
      </w:tr>
    </w:tbl>
    <w:p>
      <w:pPr>
        <w:pStyle w:val="TextBody"/>
        <w:bidi w:val="0"/>
        <w:spacing w:before="0" w:after="0"/>
        <w:jc w:val="left"/>
        <w:rPr>
          <w:shd w:fill="FFFFFF" w:val="clear"/>
        </w:rPr>
      </w:pPr>
      <w:r>
        <w:rPr>
          <w:shd w:fill="FFFFFF" w:val="clear"/>
        </w:rPr>
        <w:t> </w:t>
      </w:r>
    </w:p>
    <w:tbl>
      <w:tblPr>
        <w:tblW w:w="5665" w:type="dxa"/>
        <w:jc w:val="left"/>
        <w:tblInd w:w="0" w:type="dxa"/>
        <w:tblLayout w:type="fixed"/>
        <w:tblCellMar>
          <w:top w:w="0" w:type="dxa"/>
          <w:left w:w="0" w:type="dxa"/>
          <w:bottom w:w="0" w:type="dxa"/>
          <w:right w:w="0" w:type="dxa"/>
        </w:tblCellMar>
      </w:tblPr>
      <w:tblGrid>
        <w:gridCol w:w="305"/>
        <w:gridCol w:w="5360"/>
      </w:tblGrid>
      <w:tr>
        <w:trPr/>
        <w:tc>
          <w:tcPr>
            <w:tcW w:w="305" w:type="dxa"/>
            <w:tcBorders/>
            <w:vAlign w:val="center"/>
          </w:tcPr>
          <w:p>
            <w:pPr>
              <w:pStyle w:val="TableContents"/>
              <w:bidi w:val="0"/>
              <w:spacing w:before="0" w:after="0"/>
              <w:jc w:val="left"/>
              <w:rPr>
                <w:color w:val="3E3935"/>
                <w:spacing w:val="0"/>
              </w:rPr>
            </w:pPr>
            <w:r>
              <w:rPr>
                <w:color w:val="3E3935"/>
                <w:spacing w:val="0"/>
              </w:rPr>
              <w:t>(3)</w:t>
            </w:r>
          </w:p>
        </w:tc>
        <w:tc>
          <w:tcPr>
            <w:tcW w:w="5360" w:type="dxa"/>
            <w:tcBorders/>
            <w:vAlign w:val="center"/>
          </w:tcPr>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Reflects CAP values computed in accordance with Item 402(v) of Regulation </w:t>
            </w:r>
          </w:p>
          <w:p>
            <w:pPr>
              <w:pStyle w:val="TableContents"/>
              <w:bidi w:val="0"/>
              <w:spacing w:before="0" w:after="0"/>
              <w:jc w:val="both"/>
              <w:rPr>
                <w:rFonts w:ascii="arial" w:hAnsi="arial"/>
                <w:color w:val="3E3935"/>
                <w:spacing w:val="0"/>
                <w:sz w:val="15"/>
              </w:rPr>
            </w:pPr>
            <w:r>
              <w:rPr>
                <w:rFonts w:ascii="arial" w:hAnsi="arial"/>
                <w:color w:val="3E3935"/>
                <w:spacing w:val="0"/>
                <w:sz w:val="15"/>
              </w:rPr>
              <w:t>S-K</w:t>
            </w:r>
          </w:p>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and FASB ASC Topic 718. </w:t>
            </w:r>
          </w:p>
        </w:tc>
      </w:tr>
    </w:tbl>
    <w:p>
      <w:pPr>
        <w:pStyle w:val="TextBody"/>
        <w:bidi w:val="0"/>
        <w:spacing w:before="0" w:after="0"/>
        <w:jc w:val="left"/>
        <w:rPr>
          <w:shd w:fill="FFFFFF" w:val="clear"/>
        </w:rPr>
      </w:pPr>
      <w:r>
        <w:rPr>
          <w:shd w:fill="FFFFFF" w:val="clear"/>
        </w:rPr>
        <w:t> </w:t>
      </w:r>
    </w:p>
    <w:tbl>
      <w:tblPr>
        <w:tblW w:w="13240" w:type="dxa"/>
        <w:jc w:val="left"/>
        <w:tblInd w:w="0" w:type="dxa"/>
        <w:tblLayout w:type="fixed"/>
        <w:tblCellMar>
          <w:top w:w="0" w:type="dxa"/>
          <w:left w:w="0" w:type="dxa"/>
          <w:bottom w:w="0" w:type="dxa"/>
          <w:right w:w="0" w:type="dxa"/>
        </w:tblCellMar>
      </w:tblPr>
      <w:tblGrid>
        <w:gridCol w:w="1040"/>
        <w:gridCol w:w="60"/>
        <w:gridCol w:w="60"/>
        <w:gridCol w:w="1175"/>
        <w:gridCol w:w="155"/>
        <w:gridCol w:w="60"/>
        <w:gridCol w:w="60"/>
        <w:gridCol w:w="1175"/>
        <w:gridCol w:w="155"/>
        <w:gridCol w:w="60"/>
        <w:gridCol w:w="60"/>
        <w:gridCol w:w="60"/>
        <w:gridCol w:w="60"/>
        <w:gridCol w:w="120"/>
        <w:gridCol w:w="60"/>
        <w:gridCol w:w="1175"/>
        <w:gridCol w:w="155"/>
        <w:gridCol w:w="60"/>
        <w:gridCol w:w="60"/>
        <w:gridCol w:w="1100"/>
        <w:gridCol w:w="155"/>
        <w:gridCol w:w="60"/>
        <w:gridCol w:w="60"/>
        <w:gridCol w:w="60"/>
        <w:gridCol w:w="60"/>
        <w:gridCol w:w="120"/>
        <w:gridCol w:w="60"/>
        <w:gridCol w:w="1175"/>
        <w:gridCol w:w="155"/>
        <w:gridCol w:w="60"/>
        <w:gridCol w:w="60"/>
        <w:gridCol w:w="1055"/>
        <w:gridCol w:w="155"/>
        <w:gridCol w:w="60"/>
        <w:gridCol w:w="60"/>
        <w:gridCol w:w="60"/>
        <w:gridCol w:w="60"/>
        <w:gridCol w:w="120"/>
        <w:gridCol w:w="60"/>
        <w:gridCol w:w="1175"/>
        <w:gridCol w:w="155"/>
        <w:gridCol w:w="60"/>
        <w:gridCol w:w="60"/>
        <w:gridCol w:w="1055"/>
        <w:gridCol w:w="17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2685"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2023</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610"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2022</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565"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2021</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565"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2020</w:t>
            </w:r>
          </w:p>
        </w:tc>
        <w:tc>
          <w:tcPr>
            <w:tcW w:w="170"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04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CEO</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CEO</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CEO</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CEO</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tc>
        <w:tc>
          <w:tcPr>
            <w:tcW w:w="170"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1040" w:type="dxa"/>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3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4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40" w:type="dxa"/>
            <w:tcBorders/>
            <w:shd w:fill="CCF2F8" w:val="clear"/>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SCT Total</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27,847,405</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15,245,310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28,979,570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10,539,930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29,136,780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9,982,519</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23,657,987</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6,632,869</w:t>
            </w:r>
          </w:p>
        </w:tc>
        <w:tc>
          <w:tcPr>
            <w:tcW w:w="170" w:type="dxa"/>
            <w:tcBorders/>
            <w:shd w:fill="CCF2F8" w:val="clear"/>
            <w:vAlign w:val="center"/>
          </w:tcPr>
          <w:p>
            <w:pPr>
              <w:pStyle w:val="TableContents"/>
              <w:bidi w:val="0"/>
              <w:spacing w:before="0" w:after="0"/>
              <w:jc w:val="left"/>
              <w:rPr>
                <w:color w:val="3E3935"/>
                <w:spacing w:val="0"/>
              </w:rPr>
            </w:pPr>
            <w:r>
              <w:rPr>
                <w:color w:val="3E3935"/>
                <w:spacing w:val="0"/>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Less: Change in Actuarial Present Value Reported in the “Change in Pension Value and NQ Deferred Compensation Earnings” Column of the SCT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(5,554</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(423,608</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(141,675</w:t>
            </w:r>
          </w:p>
        </w:tc>
        <w:tc>
          <w:tcPr>
            <w:tcW w:w="170" w:type="dxa"/>
            <w:tcBorders/>
            <w:vAlign w:val="center"/>
          </w:tcPr>
          <w:p>
            <w:pPr>
              <w:pStyle w:val="TableContents"/>
              <w:bidi w:val="0"/>
              <w:spacing w:before="0" w:after="0"/>
              <w:jc w:val="left"/>
              <w:rPr>
                <w:color w:val="3E3935"/>
                <w:spacing w:val="0"/>
              </w:rPr>
            </w:pPr>
            <w:r>
              <w:rPr>
                <w:color w:val="3E3935"/>
                <w:spacing w:val="0"/>
              </w:rPr>
              <w:t>) </w:t>
            </w:r>
          </w:p>
        </w:tc>
      </w:tr>
      <w:tr>
        <w:trPr/>
        <w:tc>
          <w:tcPr>
            <w:tcW w:w="1040" w:type="dxa"/>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3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4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40" w:type="dxa"/>
            <w:tcBorders/>
            <w:shd w:fill="CCF2F8" w:val="clear"/>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Plus: Service Cost for Pension Plans</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149</w:t>
            </w:r>
          </w:p>
        </w:tc>
        <w:tc>
          <w:tcPr>
            <w:tcW w:w="170" w:type="dxa"/>
            <w:tcBorders/>
            <w:shd w:fill="CCF2F8" w:val="clear"/>
            <w:vAlign w:val="center"/>
          </w:tcPr>
          <w:p>
            <w:pPr>
              <w:pStyle w:val="TableContents"/>
              <w:bidi w:val="0"/>
              <w:spacing w:before="0" w:after="0"/>
              <w:jc w:val="left"/>
              <w:rPr>
                <w:color w:val="3E3935"/>
                <w:spacing w:val="0"/>
              </w:rPr>
            </w:pPr>
            <w:r>
              <w:rPr>
                <w:color w:val="3E3935"/>
                <w:spacing w:val="0"/>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Less: Amount Reported in the “Stock Awards” Column of the SCT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(14,625,000</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(10,139,445</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(14,625,000</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(5,470,294</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(14,582,198</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(5,069,059</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(13,093,722</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(3,793,686</w:t>
            </w:r>
          </w:p>
        </w:tc>
        <w:tc>
          <w:tcPr>
            <w:tcW w:w="170" w:type="dxa"/>
            <w:tcBorders/>
            <w:vAlign w:val="center"/>
          </w:tcPr>
          <w:p>
            <w:pPr>
              <w:pStyle w:val="TableContents"/>
              <w:bidi w:val="0"/>
              <w:spacing w:before="0" w:after="0"/>
              <w:jc w:val="left"/>
              <w:rPr>
                <w:color w:val="3E3935"/>
                <w:spacing w:val="0"/>
              </w:rPr>
            </w:pPr>
            <w:r>
              <w:rPr>
                <w:color w:val="3E3935"/>
                <w:spacing w:val="0"/>
              </w:rPr>
              <w:t>) </w:t>
            </w:r>
          </w:p>
        </w:tc>
      </w:tr>
      <w:tr>
        <w:trPr/>
        <w:tc>
          <w:tcPr>
            <w:tcW w:w="1040" w:type="dxa"/>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3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4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40" w:type="dxa"/>
            <w:tcBorders/>
            <w:shd w:fill="CCF2F8" w:val="clear"/>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 xml:space="preserve">Plus: </w:t>
            </w:r>
          </w:p>
          <w:p>
            <w:pPr>
              <w:pStyle w:val="TableContents"/>
              <w:bidi w:val="0"/>
              <w:spacing w:before="0" w:after="0"/>
              <w:jc w:val="left"/>
              <w:rPr>
                <w:rFonts w:ascii="arial" w:hAnsi="arial"/>
                <w:color w:val="3E3935"/>
                <w:spacing w:val="0"/>
                <w:sz w:val="15"/>
              </w:rPr>
            </w:pPr>
            <w:r>
              <w:rPr>
                <w:rFonts w:ascii="arial" w:hAnsi="arial"/>
                <w:color w:val="3E3935"/>
                <w:spacing w:val="0"/>
                <w:sz w:val="15"/>
              </w:rPr>
              <w:t>Year-end</w:t>
            </w:r>
          </w:p>
          <w:p>
            <w:pPr>
              <w:pStyle w:val="TableContents"/>
              <w:bidi w:val="0"/>
              <w:spacing w:before="0" w:after="0"/>
              <w:jc w:val="left"/>
              <w:rPr>
                <w:rFonts w:ascii="arial" w:hAnsi="arial"/>
                <w:color w:val="3E3935"/>
                <w:spacing w:val="0"/>
                <w:sz w:val="15"/>
              </w:rPr>
            </w:pPr>
            <w:r>
              <w:rPr>
                <w:rFonts w:ascii="arial" w:hAnsi="arial"/>
                <w:color w:val="3E3935"/>
                <w:spacing w:val="0"/>
                <w:sz w:val="15"/>
              </w:rPr>
              <w:t>Fair Value of Outstanding and Unvested Stock Awards Granted in the Covered Year</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11,941,185</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8,866,850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8,629,590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3,227,799</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18,914,281</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6,574,982</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18,050,565</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3,545,877</w:t>
            </w:r>
          </w:p>
        </w:tc>
        <w:tc>
          <w:tcPr>
            <w:tcW w:w="170" w:type="dxa"/>
            <w:tcBorders/>
            <w:shd w:fill="CCF2F8" w:val="clear"/>
            <w:vAlign w:val="center"/>
          </w:tcPr>
          <w:p>
            <w:pPr>
              <w:pStyle w:val="TableContents"/>
              <w:bidi w:val="0"/>
              <w:spacing w:before="0" w:after="0"/>
              <w:jc w:val="left"/>
              <w:rPr>
                <w:color w:val="3E3935"/>
                <w:spacing w:val="0"/>
              </w:rPr>
            </w:pPr>
            <w:r>
              <w:rPr>
                <w:color w:val="3E3935"/>
                <w:spacing w:val="0"/>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Change in Fair Value of Outstanding and Unvested Stock Awards Granted in Prior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(5,416,604</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(1,411,612</w:t>
            </w:r>
          </w:p>
        </w:tc>
        <w:tc>
          <w:tcPr>
            <w:tcW w:w="155" w:type="dxa"/>
            <w:tcBorders/>
            <w:vAlign w:val="center"/>
          </w:tcPr>
          <w:p>
            <w:pPr>
              <w:pStyle w:val="TableContents"/>
              <w:bidi w:val="0"/>
              <w:spacing w:before="0" w:after="0"/>
              <w:jc w:val="left"/>
              <w:rPr>
                <w:color w:val="3E3935"/>
                <w:spacing w:val="0"/>
              </w:rPr>
            </w:pPr>
            <w:r>
              <w:rPr>
                <w:color w:val="3E3935"/>
                <w:spacing w:val="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(25,258,220</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(7,683,634</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25,646,494</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5,307,302</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10,087,483</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768,879</w:t>
            </w:r>
          </w:p>
        </w:tc>
        <w:tc>
          <w:tcPr>
            <w:tcW w:w="170" w:type="dxa"/>
            <w:tcBorders/>
            <w:vAlign w:val="center"/>
          </w:tcPr>
          <w:p>
            <w:pPr>
              <w:pStyle w:val="TableContents"/>
              <w:bidi w:val="0"/>
              <w:spacing w:before="0" w:after="0"/>
              <w:jc w:val="left"/>
              <w:rPr>
                <w:color w:val="3E3935"/>
                <w:spacing w:val="0"/>
              </w:rPr>
            </w:pPr>
            <w:r>
              <w:rPr>
                <w:color w:val="3E3935"/>
                <w:spacing w:val="0"/>
              </w:rPr>
              <w:t> </w:t>
            </w:r>
          </w:p>
        </w:tc>
      </w:tr>
      <w:tr>
        <w:trPr/>
        <w:tc>
          <w:tcPr>
            <w:tcW w:w="1040" w:type="dxa"/>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3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4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40" w:type="dxa"/>
            <w:tcBorders/>
            <w:shd w:fill="CCF2F8" w:val="clear"/>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Change in Fair Value of Stock Awards that Vested in the Covered Year</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3,397,165</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583,155</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(4,942,601</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(732,230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5,626,432</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646,960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(847,866</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(1,522</w:t>
            </w:r>
          </w:p>
        </w:tc>
        <w:tc>
          <w:tcPr>
            <w:tcW w:w="170" w:type="dxa"/>
            <w:tcBorders/>
            <w:shd w:fill="CCF2F8" w:val="clear"/>
            <w:vAlign w:val="center"/>
          </w:tcPr>
          <w:p>
            <w:pPr>
              <w:pStyle w:val="TableContents"/>
              <w:bidi w:val="0"/>
              <w:spacing w:before="0" w:after="0"/>
              <w:jc w:val="left"/>
              <w:rPr>
                <w:color w:val="3E3935"/>
                <w:spacing w:val="0"/>
              </w:rPr>
            </w:pPr>
            <w:r>
              <w:rPr>
                <w:color w:val="3E3935"/>
                <w:spacing w:val="0"/>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Less: Fair Value of Stock Awards Forfeited During the Covered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(1,617,289</w:t>
            </w:r>
          </w:p>
        </w:tc>
        <w:tc>
          <w:tcPr>
            <w:tcW w:w="170" w:type="dxa"/>
            <w:tcBorders/>
            <w:vAlign w:val="center"/>
          </w:tcPr>
          <w:p>
            <w:pPr>
              <w:pStyle w:val="TableContents"/>
              <w:bidi w:val="0"/>
              <w:spacing w:before="0" w:after="0"/>
              <w:jc w:val="left"/>
              <w:rPr>
                <w:color w:val="3E3935"/>
                <w:spacing w:val="0"/>
              </w:rPr>
            </w:pPr>
            <w:r>
              <w:rPr>
                <w:color w:val="3E3935"/>
                <w:spacing w:val="0"/>
              </w:rPr>
              <w:t>) </w:t>
            </w:r>
          </w:p>
        </w:tc>
      </w:tr>
      <w:tr>
        <w:trPr/>
        <w:tc>
          <w:tcPr>
            <w:tcW w:w="1040" w:type="dxa"/>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145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3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4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0071CE"/>
            </w:tcBorders>
            <w:shd w:fill="CCF2F8" w:val="clear"/>
            <w:tcMar>
              <w:bottom w:w="80" w:type="dxa"/>
            </w:tcMar>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Less: Amount Reported in the “Option Awards” Column of the SCT</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7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(4,875,013</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7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(1,796,486</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7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(4,875,010</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00"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(1,823,438</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7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(3,937,507</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05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(1,368,752</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7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(3,750,002</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05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(974,378</w:t>
            </w:r>
          </w:p>
        </w:tc>
        <w:tc>
          <w:tcPr>
            <w:tcW w:w="17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r>
    </w:tbl>
    <w:p>
      <w:pPr>
        <w:pStyle w:val="TextBody"/>
        <w:bidi w:val="0"/>
        <w:spacing w:before="0" w:after="0"/>
        <w:jc w:val="left"/>
        <w:rPr>
          <w:shd w:fill="FFFFFF" w:val="clear"/>
        </w:rPr>
      </w:pPr>
      <w:r>
        <w:rPr>
          <w:shd w:fill="FFFFFF" w:val="clear"/>
        </w:rPr>
        <w:t> </w:t>
      </w:r>
    </w:p>
    <w:tbl>
      <w:tblPr>
        <w:tblW w:w="7606" w:type="dxa"/>
        <w:jc w:val="left"/>
        <w:tblInd w:w="0" w:type="dxa"/>
        <w:tblLayout w:type="fixed"/>
        <w:tblCellMar>
          <w:top w:w="0" w:type="dxa"/>
          <w:left w:w="0" w:type="dxa"/>
          <w:bottom w:w="0" w:type="dxa"/>
          <w:right w:w="0" w:type="dxa"/>
        </w:tblCellMar>
      </w:tblPr>
      <w:tblGrid>
        <w:gridCol w:w="38"/>
        <w:gridCol w:w="60"/>
        <w:gridCol w:w="23"/>
        <w:gridCol w:w="60"/>
        <w:gridCol w:w="459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center"/>
              <w:rPr>
                <w:b/>
                <w:color w:val="3E3935"/>
                <w:spacing w:val="0"/>
              </w:rPr>
            </w:pPr>
            <w:r>
              <w:rPr>
                <w:b/>
                <w:color w:val="3E3935"/>
                <w:spacing w:val="0"/>
              </w:rPr>
              <w:t>EXECUTIVE COMPENSATION TABLES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b/>
                <w:color w:val="3E3935"/>
                <w:spacing w:val="0"/>
              </w:rPr>
            </w:pPr>
            <w:r>
              <w:rPr>
                <w:b/>
                <w:color w:val="3E3935"/>
                <w:spacing w:val="0"/>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071CE"/>
                <w:spacing w:val="0"/>
              </w:rPr>
            </w:pPr>
            <w:r>
              <w:rPr>
                <w:color w:val="0071CE"/>
                <w:spacing w:val="0"/>
              </w:rPr>
              <w:t> </w:t>
            </w:r>
          </w:p>
        </w:tc>
        <w:tc>
          <w:tcPr>
            <w:tcW w:w="260" w:type="dxa"/>
            <w:tcBorders/>
            <w:vAlign w:val="center"/>
          </w:tcPr>
          <w:p>
            <w:pPr>
              <w:pStyle w:val="TableContents"/>
              <w:bidi w:val="0"/>
              <w:spacing w:before="0" w:after="0"/>
              <w:jc w:val="right"/>
              <w:rPr>
                <w:b/>
                <w:color w:val="0071CE"/>
                <w:spacing w:val="0"/>
              </w:rPr>
            </w:pPr>
            <w:r>
              <w:rPr>
                <w:b/>
                <w:color w:val="0071CE"/>
                <w:spacing w:val="0"/>
              </w:rPr>
              <w:t>75</w:t>
            </w:r>
          </w:p>
        </w:tc>
        <w:tc>
          <w:tcPr>
            <w:tcW w:w="75" w:type="dxa"/>
            <w:tcBorders/>
            <w:vAlign w:val="center"/>
          </w:tcPr>
          <w:p>
            <w:pPr>
              <w:pStyle w:val="TableContents"/>
              <w:bidi w:val="0"/>
              <w:spacing w:before="0" w:after="0"/>
              <w:jc w:val="left"/>
              <w:rPr>
                <w:color w:val="0071CE"/>
                <w:spacing w:val="0"/>
              </w:rPr>
            </w:pPr>
            <w:r>
              <w:rPr>
                <w:color w:val="0071CE"/>
                <w:spacing w:val="0"/>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2600" w:type="dxa"/>
        <w:jc w:val="left"/>
        <w:tblInd w:w="0" w:type="dxa"/>
        <w:tblLayout w:type="fixed"/>
        <w:tblCellMar>
          <w:top w:w="0" w:type="dxa"/>
          <w:left w:w="0" w:type="dxa"/>
          <w:bottom w:w="0" w:type="dxa"/>
          <w:right w:w="0" w:type="dxa"/>
        </w:tblCellMar>
      </w:tblPr>
      <w:tblGrid>
        <w:gridCol w:w="890"/>
        <w:gridCol w:w="60"/>
        <w:gridCol w:w="60"/>
        <w:gridCol w:w="1100"/>
        <w:gridCol w:w="155"/>
        <w:gridCol w:w="60"/>
        <w:gridCol w:w="60"/>
        <w:gridCol w:w="1100"/>
        <w:gridCol w:w="155"/>
        <w:gridCol w:w="60"/>
        <w:gridCol w:w="60"/>
        <w:gridCol w:w="60"/>
        <w:gridCol w:w="60"/>
        <w:gridCol w:w="120"/>
        <w:gridCol w:w="60"/>
        <w:gridCol w:w="1175"/>
        <w:gridCol w:w="155"/>
        <w:gridCol w:w="60"/>
        <w:gridCol w:w="60"/>
        <w:gridCol w:w="1055"/>
        <w:gridCol w:w="155"/>
        <w:gridCol w:w="60"/>
        <w:gridCol w:w="60"/>
        <w:gridCol w:w="60"/>
        <w:gridCol w:w="60"/>
        <w:gridCol w:w="120"/>
        <w:gridCol w:w="60"/>
        <w:gridCol w:w="1100"/>
        <w:gridCol w:w="60"/>
        <w:gridCol w:w="120"/>
        <w:gridCol w:w="60"/>
        <w:gridCol w:w="1100"/>
        <w:gridCol w:w="60"/>
        <w:gridCol w:w="60"/>
        <w:gridCol w:w="60"/>
        <w:gridCol w:w="60"/>
        <w:gridCol w:w="60"/>
        <w:gridCol w:w="120"/>
        <w:gridCol w:w="60"/>
        <w:gridCol w:w="1100"/>
        <w:gridCol w:w="155"/>
        <w:gridCol w:w="60"/>
        <w:gridCol w:w="60"/>
        <w:gridCol w:w="995"/>
        <w:gridCol w:w="170"/>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2535"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2023</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565"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2022</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500"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2021</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430" w:type="dxa"/>
            <w:gridSpan w:val="6"/>
            <w:tcBorders>
              <w:bottom w:val="single" w:sz="6" w:space="0" w:color="0071CE"/>
            </w:tcBorders>
            <w:tcMar>
              <w:bottom w:w="28" w:type="dxa"/>
            </w:tcMar>
            <w:vAlign w:val="center"/>
          </w:tcPr>
          <w:p>
            <w:pPr>
              <w:pStyle w:val="TableContents"/>
              <w:bidi w:val="0"/>
              <w:spacing w:before="0" w:after="0"/>
              <w:jc w:val="center"/>
              <w:rPr>
                <w:b/>
                <w:color w:val="3E3935"/>
                <w:spacing w:val="0"/>
              </w:rPr>
            </w:pPr>
            <w:r>
              <w:rPr>
                <w:b/>
                <w:color w:val="3E3935"/>
                <w:spacing w:val="0"/>
              </w:rPr>
              <w:t>2020</w:t>
            </w:r>
          </w:p>
        </w:tc>
        <w:tc>
          <w:tcPr>
            <w:tcW w:w="170"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89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CEO</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CEO</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CEO</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CEO</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055" w:type="dxa"/>
            <w:gridSpan w:val="2"/>
            <w:tcBorders>
              <w:bottom w:val="single" w:sz="6" w:space="0" w:color="0071CE"/>
            </w:tcBorders>
            <w:tcMar>
              <w:bottom w:w="80" w:type="dxa"/>
            </w:tcMar>
            <w:vAlign w:val="center"/>
          </w:tcPr>
          <w:p>
            <w:pPr>
              <w:pStyle w:val="TableContents"/>
              <w:bidi w:val="0"/>
              <w:spacing w:before="0" w:after="0"/>
              <w:jc w:val="center"/>
              <w:rPr>
                <w:b/>
                <w:color w:val="3E3935"/>
                <w:spacing w:val="0"/>
              </w:rPr>
            </w:pPr>
            <w:r>
              <w:rPr>
                <w:b/>
                <w:color w:val="3E3935"/>
                <w:spacing w:val="0"/>
              </w:rPr>
              <w:t>Average</w:t>
            </w:r>
          </w:p>
          <w:p>
            <w:pPr>
              <w:pStyle w:val="TableContents"/>
              <w:bidi w:val="0"/>
              <w:spacing w:before="0" w:after="0"/>
              <w:jc w:val="center"/>
              <w:rPr>
                <w:b/>
                <w:color w:val="3E3935"/>
                <w:spacing w:val="0"/>
              </w:rPr>
            </w:pPr>
            <w:r>
              <w:rPr>
                <w:b/>
                <w:color w:val="3E3935"/>
                <w:spacing w:val="0"/>
              </w:rPr>
              <w:t>Non-CEO</w:t>
            </w:r>
          </w:p>
          <w:p>
            <w:pPr>
              <w:pStyle w:val="TableContents"/>
              <w:bidi w:val="0"/>
              <w:spacing w:before="0" w:after="0"/>
              <w:jc w:val="center"/>
              <w:rPr>
                <w:b/>
                <w:color w:val="3E3935"/>
                <w:spacing w:val="0"/>
              </w:rPr>
            </w:pPr>
            <w:r>
              <w:rPr>
                <w:b/>
                <w:color w:val="3E3935"/>
                <w:spacing w:val="0"/>
              </w:rPr>
              <w:br/>
              <w:t>NEOs</w:t>
            </w:r>
          </w:p>
        </w:tc>
        <w:tc>
          <w:tcPr>
            <w:tcW w:w="170"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890" w:type="dxa"/>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3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340" w:type="dxa"/>
            <w:gridSpan w:val="4"/>
            <w:tcBorders/>
            <w:shd w:fill="CCF2F8" w:val="clear"/>
            <w:vAlign w:val="center"/>
          </w:tcPr>
          <w:p>
            <w:pPr>
              <w:pStyle w:val="TableContents"/>
              <w:bidi w:val="0"/>
              <w:spacing w:before="0" w:after="283"/>
              <w:jc w:val="left"/>
              <w:rPr>
                <w:sz w:val="4"/>
                <w:szCs w:val="4"/>
              </w:rPr>
            </w:pPr>
            <w:r>
              <w:rPr>
                <w:sz w:val="4"/>
                <w:szCs w:val="4"/>
              </w:rPr>
            </w:r>
          </w:p>
        </w:tc>
        <w:tc>
          <w:tcPr>
            <w:tcW w:w="134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435" w:type="dxa"/>
            <w:gridSpan w:val="4"/>
            <w:tcBorders/>
            <w:shd w:fill="CCF2F8" w:val="clear"/>
            <w:vAlign w:val="center"/>
          </w:tcPr>
          <w:p>
            <w:pPr>
              <w:pStyle w:val="TableContents"/>
              <w:bidi w:val="0"/>
              <w:spacing w:before="0" w:after="283"/>
              <w:jc w:val="left"/>
              <w:rPr>
                <w:sz w:val="4"/>
                <w:szCs w:val="4"/>
              </w:rPr>
            </w:pPr>
            <w:r>
              <w:rPr>
                <w:sz w:val="4"/>
                <w:szCs w:val="4"/>
              </w:rPr>
            </w:r>
          </w:p>
        </w:tc>
        <w:tc>
          <w:tcPr>
            <w:tcW w:w="12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90" w:type="dxa"/>
            <w:tcBorders/>
            <w:shd w:fill="CCF2F8" w:val="clear"/>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 xml:space="preserve">Plus: </w:t>
            </w:r>
          </w:p>
          <w:p>
            <w:pPr>
              <w:pStyle w:val="TableContents"/>
              <w:bidi w:val="0"/>
              <w:spacing w:before="0" w:after="0"/>
              <w:jc w:val="left"/>
              <w:rPr>
                <w:rFonts w:ascii="arial" w:hAnsi="arial"/>
                <w:color w:val="3E3935"/>
                <w:spacing w:val="0"/>
                <w:sz w:val="15"/>
              </w:rPr>
            </w:pPr>
            <w:r>
              <w:rPr>
                <w:rFonts w:ascii="arial" w:hAnsi="arial"/>
                <w:color w:val="3E3935"/>
                <w:spacing w:val="0"/>
                <w:sz w:val="15"/>
              </w:rPr>
              <w:t>Year-end</w:t>
            </w:r>
          </w:p>
          <w:p>
            <w:pPr>
              <w:pStyle w:val="TableContents"/>
              <w:bidi w:val="0"/>
              <w:spacing w:before="0" w:after="0"/>
              <w:jc w:val="left"/>
              <w:rPr>
                <w:rFonts w:ascii="arial" w:hAnsi="arial"/>
                <w:color w:val="3E3935"/>
                <w:spacing w:val="0"/>
                <w:sz w:val="15"/>
              </w:rPr>
            </w:pPr>
            <w:r>
              <w:rPr>
                <w:rFonts w:ascii="arial" w:hAnsi="arial"/>
                <w:color w:val="3E3935"/>
                <w:spacing w:val="0"/>
                <w:sz w:val="15"/>
              </w:rPr>
              <w:t>Fair Value of Outstanding and Unvested Option Awards Granted in the Covered Year</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3,155,717</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1,162,910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2,584,980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966,880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3,694,210</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1,284,177</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10,379,470</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995" w:type="dxa"/>
            <w:tcBorders/>
            <w:shd w:fill="CCF2F8" w:val="clear"/>
            <w:vAlign w:val="center"/>
          </w:tcPr>
          <w:p>
            <w:pPr>
              <w:pStyle w:val="TableContents"/>
              <w:bidi w:val="0"/>
              <w:spacing w:before="0" w:after="0"/>
              <w:jc w:val="right"/>
              <w:rPr>
                <w:color w:val="3E3935"/>
                <w:spacing w:val="0"/>
              </w:rPr>
            </w:pPr>
            <w:r>
              <w:rPr>
                <w:color w:val="3E3935"/>
                <w:spacing w:val="0"/>
              </w:rPr>
              <w:t>1,434,466</w:t>
            </w:r>
          </w:p>
        </w:tc>
        <w:tc>
          <w:tcPr>
            <w:tcW w:w="170" w:type="dxa"/>
            <w:tcBorders/>
            <w:shd w:fill="CCF2F8" w:val="clear"/>
            <w:vAlign w:val="center"/>
          </w:tcPr>
          <w:p>
            <w:pPr>
              <w:pStyle w:val="TableContents"/>
              <w:bidi w:val="0"/>
              <w:spacing w:before="0" w:after="0"/>
              <w:jc w:val="left"/>
              <w:rPr>
                <w:color w:val="3E3935"/>
                <w:spacing w:val="0"/>
              </w:rPr>
            </w:pPr>
            <w:r>
              <w:rPr>
                <w:color w:val="3E3935"/>
                <w:spacing w:val="0"/>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Change in Fair Value of Outstanding and Unvested Option Awards Granted in Prior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(774,417</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(213,916</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(5,055,582</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(1,267,702</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6,628,520</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1,281,139</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2,881,004</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995" w:type="dxa"/>
            <w:tcBorders/>
            <w:vAlign w:val="center"/>
          </w:tcPr>
          <w:p>
            <w:pPr>
              <w:pStyle w:val="TableContents"/>
              <w:bidi w:val="0"/>
              <w:spacing w:before="0" w:after="0"/>
              <w:jc w:val="right"/>
              <w:rPr>
                <w:color w:val="3E3935"/>
                <w:spacing w:val="0"/>
              </w:rPr>
            </w:pPr>
            <w:r>
              <w:rPr>
                <w:color w:val="3E3935"/>
                <w:spacing w:val="0"/>
              </w:rPr>
              <w:t>231,707</w:t>
            </w:r>
          </w:p>
        </w:tc>
        <w:tc>
          <w:tcPr>
            <w:tcW w:w="170" w:type="dxa"/>
            <w:tcBorders/>
            <w:vAlign w:val="center"/>
          </w:tcPr>
          <w:p>
            <w:pPr>
              <w:pStyle w:val="TableContents"/>
              <w:bidi w:val="0"/>
              <w:spacing w:before="0" w:after="0"/>
              <w:jc w:val="left"/>
              <w:rPr>
                <w:color w:val="3E3935"/>
                <w:spacing w:val="0"/>
              </w:rPr>
            </w:pPr>
            <w:r>
              <w:rPr>
                <w:color w:val="3E3935"/>
                <w:spacing w:val="0"/>
              </w:rPr>
              <w:t> </w:t>
            </w:r>
          </w:p>
        </w:tc>
      </w:tr>
      <w:tr>
        <w:trPr/>
        <w:tc>
          <w:tcPr>
            <w:tcW w:w="890" w:type="dxa"/>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3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340" w:type="dxa"/>
            <w:gridSpan w:val="4"/>
            <w:tcBorders/>
            <w:shd w:fill="CCF2F8" w:val="clear"/>
            <w:vAlign w:val="center"/>
          </w:tcPr>
          <w:p>
            <w:pPr>
              <w:pStyle w:val="TableContents"/>
              <w:bidi w:val="0"/>
              <w:spacing w:before="0" w:after="283"/>
              <w:jc w:val="left"/>
              <w:rPr>
                <w:sz w:val="4"/>
                <w:szCs w:val="4"/>
              </w:rPr>
            </w:pPr>
            <w:r>
              <w:rPr>
                <w:sz w:val="4"/>
                <w:szCs w:val="4"/>
              </w:rPr>
            </w:r>
          </w:p>
        </w:tc>
        <w:tc>
          <w:tcPr>
            <w:tcW w:w="134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435" w:type="dxa"/>
            <w:gridSpan w:val="4"/>
            <w:tcBorders/>
            <w:shd w:fill="CCF2F8" w:val="clear"/>
            <w:vAlign w:val="center"/>
          </w:tcPr>
          <w:p>
            <w:pPr>
              <w:pStyle w:val="TableContents"/>
              <w:bidi w:val="0"/>
              <w:spacing w:before="0" w:after="283"/>
              <w:jc w:val="left"/>
              <w:rPr>
                <w:sz w:val="4"/>
                <w:szCs w:val="4"/>
              </w:rPr>
            </w:pPr>
            <w:r>
              <w:rPr>
                <w:sz w:val="4"/>
                <w:szCs w:val="4"/>
              </w:rPr>
            </w:r>
          </w:p>
        </w:tc>
        <w:tc>
          <w:tcPr>
            <w:tcW w:w="12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90" w:type="dxa"/>
            <w:tcBorders/>
            <w:shd w:fill="CCF2F8" w:val="clear"/>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Change in Fair Value of Option Awards that Vested in the Covered Year</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1,065,305</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199,384</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75" w:type="dxa"/>
            <w:tcBorders/>
            <w:shd w:fill="CCF2F8" w:val="clear"/>
            <w:vAlign w:val="center"/>
          </w:tcPr>
          <w:p>
            <w:pPr>
              <w:pStyle w:val="TableContents"/>
              <w:bidi w:val="0"/>
              <w:spacing w:before="0" w:after="0"/>
              <w:jc w:val="right"/>
              <w:rPr>
                <w:color w:val="3E3935"/>
                <w:spacing w:val="0"/>
              </w:rPr>
            </w:pPr>
            <w:r>
              <w:rPr>
                <w:color w:val="3E3935"/>
                <w:spacing w:val="0"/>
              </w:rPr>
              <w:t>(2,429,243</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055" w:type="dxa"/>
            <w:tcBorders/>
            <w:shd w:fill="CCF2F8" w:val="clear"/>
            <w:vAlign w:val="center"/>
          </w:tcPr>
          <w:p>
            <w:pPr>
              <w:pStyle w:val="TableContents"/>
              <w:bidi w:val="0"/>
              <w:spacing w:before="0" w:after="0"/>
              <w:jc w:val="right"/>
              <w:rPr>
                <w:color w:val="3E3935"/>
                <w:spacing w:val="0"/>
              </w:rPr>
            </w:pPr>
            <w:r>
              <w:rPr>
                <w:color w:val="3E3935"/>
                <w:spacing w:val="0"/>
              </w:rPr>
              <w:t>(481,646</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4,969,494</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804,660</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1100" w:type="dxa"/>
            <w:tcBorders/>
            <w:shd w:fill="CCF2F8" w:val="clear"/>
            <w:vAlign w:val="center"/>
          </w:tcPr>
          <w:p>
            <w:pPr>
              <w:pStyle w:val="TableContents"/>
              <w:bidi w:val="0"/>
              <w:spacing w:before="0" w:after="0"/>
              <w:jc w:val="right"/>
              <w:rPr>
                <w:color w:val="3E3935"/>
                <w:spacing w:val="0"/>
              </w:rPr>
            </w:pPr>
            <w:r>
              <w:rPr>
                <w:color w:val="3E3935"/>
                <w:spacing w:val="0"/>
              </w:rPr>
              <w:t>(1,755,912</w:t>
            </w:r>
          </w:p>
        </w:tc>
        <w:tc>
          <w:tcPr>
            <w:tcW w:w="155"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6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0"/>
              <w:jc w:val="left"/>
              <w:rPr>
                <w:color w:val="3E3935"/>
                <w:spacing w:val="0"/>
              </w:rPr>
            </w:pPr>
            <w:r>
              <w:rPr>
                <w:color w:val="3E3935"/>
                <w:spacing w:val="0"/>
              </w:rPr>
              <w:t> </w:t>
            </w:r>
          </w:p>
        </w:tc>
        <w:tc>
          <w:tcPr>
            <w:tcW w:w="995" w:type="dxa"/>
            <w:tcBorders/>
            <w:shd w:fill="CCF2F8" w:val="clear"/>
            <w:vAlign w:val="center"/>
          </w:tcPr>
          <w:p>
            <w:pPr>
              <w:pStyle w:val="TableContents"/>
              <w:bidi w:val="0"/>
              <w:spacing w:before="0" w:after="0"/>
              <w:jc w:val="right"/>
              <w:rPr>
                <w:color w:val="3E3935"/>
                <w:spacing w:val="0"/>
              </w:rPr>
            </w:pPr>
            <w:r>
              <w:rPr>
                <w:color w:val="3E3935"/>
                <w:spacing w:val="0"/>
              </w:rPr>
              <w:t>(177,797</w:t>
            </w:r>
          </w:p>
        </w:tc>
        <w:tc>
          <w:tcPr>
            <w:tcW w:w="170" w:type="dxa"/>
            <w:tcBorders/>
            <w:shd w:fill="CCF2F8" w:val="clear"/>
            <w:vAlign w:val="center"/>
          </w:tcPr>
          <w:p>
            <w:pPr>
              <w:pStyle w:val="TableContents"/>
              <w:bidi w:val="0"/>
              <w:spacing w:before="0" w:after="0"/>
              <w:jc w:val="left"/>
              <w:rPr>
                <w:color w:val="3E3935"/>
                <w:spacing w:val="0"/>
              </w:rPr>
            </w:pPr>
            <w:r>
              <w:rPr>
                <w:color w:val="3E3935"/>
                <w:spacing w:val="0"/>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arial" w:hAnsi="arial"/>
                <w:color w:val="3E3935"/>
                <w:spacing w:val="0"/>
                <w:sz w:val="15"/>
              </w:rPr>
            </w:pPr>
            <w:r>
              <w:rPr>
                <w:rFonts w:ascii="arial" w:hAnsi="arial"/>
                <w:color w:val="3E3935"/>
                <w:spacing w:val="0"/>
                <w:sz w:val="15"/>
              </w:rPr>
              <w:t>Less: Fair Value of Option Awards Forfeited During the Covered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7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055"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1100" w:type="dxa"/>
            <w:tcBorders/>
            <w:vAlign w:val="center"/>
          </w:tcPr>
          <w:p>
            <w:pPr>
              <w:pStyle w:val="TableContents"/>
              <w:bidi w:val="0"/>
              <w:spacing w:before="0" w:after="0"/>
              <w:jc w:val="right"/>
              <w:rPr>
                <w:color w:val="3E3935"/>
                <w:spacing w:val="0"/>
              </w:rPr>
            </w:pPr>
            <w:r>
              <w:rPr>
                <w:color w:val="3E3935"/>
                <w:spacing w:val="0"/>
              </w:rPr>
              <w:t>—</w:t>
            </w:r>
          </w:p>
        </w:tc>
        <w:tc>
          <w:tcPr>
            <w:tcW w:w="155" w:type="dxa"/>
            <w:tcBorders/>
            <w:vAlign w:val="center"/>
          </w:tcPr>
          <w:p>
            <w:pPr>
              <w:pStyle w:val="TableContents"/>
              <w:bidi w:val="0"/>
              <w:spacing w:before="0" w:after="0"/>
              <w:jc w:val="left"/>
              <w:rPr>
                <w:color w:val="3E3935"/>
                <w:spacing w:val="0"/>
              </w:rPr>
            </w:pPr>
            <w:r>
              <w:rPr>
                <w:color w:val="3E3935"/>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3E3935"/>
                <w:spacing w:val="0"/>
              </w:rPr>
            </w:pPr>
            <w:r>
              <w:rPr>
                <w:color w:val="3E3935"/>
                <w:spacing w:val="0"/>
              </w:rPr>
              <w:t> </w:t>
            </w:r>
          </w:p>
        </w:tc>
        <w:tc>
          <w:tcPr>
            <w:tcW w:w="995" w:type="dxa"/>
            <w:tcBorders/>
            <w:vAlign w:val="center"/>
          </w:tcPr>
          <w:p>
            <w:pPr>
              <w:pStyle w:val="TableContents"/>
              <w:bidi w:val="0"/>
              <w:spacing w:before="0" w:after="0"/>
              <w:jc w:val="right"/>
              <w:rPr>
                <w:color w:val="3E3935"/>
                <w:spacing w:val="0"/>
              </w:rPr>
            </w:pPr>
            <w:r>
              <w:rPr>
                <w:color w:val="3E3935"/>
                <w:spacing w:val="0"/>
              </w:rPr>
              <w:t>(89,780</w:t>
            </w:r>
          </w:p>
        </w:tc>
        <w:tc>
          <w:tcPr>
            <w:tcW w:w="170" w:type="dxa"/>
            <w:tcBorders/>
            <w:vAlign w:val="center"/>
          </w:tcPr>
          <w:p>
            <w:pPr>
              <w:pStyle w:val="TableContents"/>
              <w:bidi w:val="0"/>
              <w:spacing w:before="0" w:after="0"/>
              <w:jc w:val="left"/>
              <w:rPr>
                <w:color w:val="3E3935"/>
                <w:spacing w:val="0"/>
              </w:rPr>
            </w:pPr>
            <w:r>
              <w:rPr>
                <w:color w:val="3E3935"/>
                <w:spacing w:val="0"/>
              </w:rPr>
              <w:t>) </w:t>
            </w:r>
          </w:p>
        </w:tc>
      </w:tr>
      <w:tr>
        <w:trPr/>
        <w:tc>
          <w:tcPr>
            <w:tcW w:w="890" w:type="dxa"/>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1375"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510" w:type="dxa"/>
            <w:gridSpan w:val="4"/>
            <w:tcBorders/>
            <w:shd w:fill="CCF2F8" w:val="clear"/>
            <w:vAlign w:val="center"/>
          </w:tcPr>
          <w:p>
            <w:pPr>
              <w:pStyle w:val="TableContents"/>
              <w:bidi w:val="0"/>
              <w:spacing w:before="0" w:after="283"/>
              <w:jc w:val="left"/>
              <w:rPr>
                <w:sz w:val="4"/>
                <w:szCs w:val="4"/>
              </w:rPr>
            </w:pPr>
            <w:r>
              <w:rPr>
                <w:sz w:val="4"/>
                <w:szCs w:val="4"/>
              </w:rPr>
            </w:r>
          </w:p>
        </w:tc>
        <w:tc>
          <w:tcPr>
            <w:tcW w:w="133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340" w:type="dxa"/>
            <w:gridSpan w:val="4"/>
            <w:tcBorders/>
            <w:shd w:fill="CCF2F8" w:val="clear"/>
            <w:vAlign w:val="center"/>
          </w:tcPr>
          <w:p>
            <w:pPr>
              <w:pStyle w:val="TableContents"/>
              <w:bidi w:val="0"/>
              <w:spacing w:before="0" w:after="283"/>
              <w:jc w:val="left"/>
              <w:rPr>
                <w:sz w:val="4"/>
                <w:szCs w:val="4"/>
              </w:rPr>
            </w:pPr>
            <w:r>
              <w:rPr>
                <w:sz w:val="4"/>
                <w:szCs w:val="4"/>
              </w:rPr>
            </w:r>
          </w:p>
        </w:tc>
        <w:tc>
          <w:tcPr>
            <w:tcW w:w="1340" w:type="dxa"/>
            <w:gridSpan w:val="4"/>
            <w:tcBorders/>
            <w:shd w:fill="CCF2F8" w:val="clear"/>
            <w:vAlign w:val="center"/>
          </w:tcPr>
          <w:p>
            <w:pPr>
              <w:pStyle w:val="TableContents"/>
              <w:bidi w:val="0"/>
              <w:spacing w:before="0" w:after="283"/>
              <w:jc w:val="left"/>
              <w:rPr>
                <w:sz w:val="4"/>
                <w:szCs w:val="4"/>
              </w:rPr>
            </w:pPr>
            <w:r>
              <w:rPr>
                <w:sz w:val="4"/>
                <w:szCs w:val="4"/>
              </w:rPr>
            </w:r>
          </w:p>
        </w:tc>
        <w:tc>
          <w:tcPr>
            <w:tcW w:w="240" w:type="dxa"/>
            <w:gridSpan w:val="4"/>
            <w:tcBorders/>
            <w:shd w:fill="CCF2F8" w:val="clear"/>
            <w:vAlign w:val="center"/>
          </w:tcPr>
          <w:p>
            <w:pPr>
              <w:pStyle w:val="TableContents"/>
              <w:bidi w:val="0"/>
              <w:spacing w:before="0" w:after="283"/>
              <w:jc w:val="left"/>
              <w:rPr>
                <w:sz w:val="4"/>
                <w:szCs w:val="4"/>
              </w:rPr>
            </w:pPr>
            <w:r>
              <w:rPr>
                <w:sz w:val="4"/>
                <w:szCs w:val="4"/>
              </w:rPr>
            </w:r>
          </w:p>
        </w:tc>
        <w:tc>
          <w:tcPr>
            <w:tcW w:w="1435" w:type="dxa"/>
            <w:gridSpan w:val="4"/>
            <w:tcBorders/>
            <w:shd w:fill="CCF2F8" w:val="clear"/>
            <w:vAlign w:val="center"/>
          </w:tcPr>
          <w:p>
            <w:pPr>
              <w:pStyle w:val="TableContents"/>
              <w:bidi w:val="0"/>
              <w:spacing w:before="0" w:after="283"/>
              <w:jc w:val="left"/>
              <w:rPr>
                <w:sz w:val="4"/>
                <w:szCs w:val="4"/>
              </w:rPr>
            </w:pPr>
            <w:r>
              <w:rPr>
                <w:sz w:val="4"/>
                <w:szCs w:val="4"/>
              </w:rPr>
            </w:r>
          </w:p>
        </w:tc>
        <w:tc>
          <w:tcPr>
            <w:tcW w:w="12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71CE"/>
            </w:tcBorders>
            <w:shd w:fill="CCF2F8" w:val="clear"/>
            <w:tcMar>
              <w:bottom w:w="80" w:type="dxa"/>
            </w:tcMar>
            <w:vAlign w:val="center"/>
          </w:tcPr>
          <w:p>
            <w:pPr>
              <w:pStyle w:val="TableContents"/>
              <w:bidi w:val="0"/>
              <w:spacing w:before="0" w:after="0"/>
              <w:jc w:val="left"/>
              <w:rPr>
                <w:rFonts w:ascii="arial" w:hAnsi="arial"/>
                <w:b/>
                <w:color w:val="3E3935"/>
                <w:spacing w:val="0"/>
                <w:sz w:val="15"/>
              </w:rPr>
            </w:pPr>
            <w:r>
              <w:rPr>
                <w:rFonts w:ascii="arial" w:hAnsi="arial"/>
                <w:b/>
                <w:color w:val="3E3935"/>
                <w:spacing w:val="0"/>
                <w:sz w:val="15"/>
              </w:rPr>
              <w:t>CAP Total</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00"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21,715,743</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00"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12,490,596</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7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(16,991,516</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05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(2,724,335</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00"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76,096,506</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00"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19,443,928</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0"/>
              <w:jc w:val="left"/>
              <w:rPr>
                <w:spacing w:val="0"/>
              </w:rPr>
            </w:pPr>
            <w:r>
              <w:rPr>
                <w:spacing w:val="0"/>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1100"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45,185,399</w:t>
            </w:r>
          </w:p>
        </w:tc>
        <w:tc>
          <w:tcPr>
            <w:tcW w:w="155"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c>
          <w:tcPr>
            <w:tcW w:w="995" w:type="dxa"/>
            <w:tcBorders>
              <w:bottom w:val="single" w:sz="6" w:space="0" w:color="0071CE"/>
            </w:tcBorders>
            <w:shd w:fill="CCF2F8" w:val="clear"/>
            <w:tcMar>
              <w:bottom w:w="80" w:type="dxa"/>
            </w:tcMar>
            <w:vAlign w:val="center"/>
          </w:tcPr>
          <w:p>
            <w:pPr>
              <w:pStyle w:val="TableContents"/>
              <w:bidi w:val="0"/>
              <w:spacing w:before="0" w:after="0"/>
              <w:jc w:val="right"/>
              <w:rPr>
                <w:color w:val="3E3935"/>
                <w:spacing w:val="0"/>
              </w:rPr>
            </w:pPr>
            <w:r>
              <w:rPr>
                <w:color w:val="3E3935"/>
                <w:spacing w:val="0"/>
              </w:rPr>
              <w:t>5,817,820</w:t>
            </w:r>
          </w:p>
        </w:tc>
        <w:tc>
          <w:tcPr>
            <w:tcW w:w="170" w:type="dxa"/>
            <w:tcBorders>
              <w:bottom w:val="single" w:sz="6" w:space="0" w:color="0071CE"/>
            </w:tcBorders>
            <w:shd w:fill="CCF2F8" w:val="clear"/>
            <w:tcMar>
              <w:bottom w:w="80" w:type="dxa"/>
            </w:tcMar>
            <w:vAlign w:val="center"/>
          </w:tcPr>
          <w:p>
            <w:pPr>
              <w:pStyle w:val="TableContents"/>
              <w:bidi w:val="0"/>
              <w:spacing w:before="0" w:after="0"/>
              <w:jc w:val="left"/>
              <w:rPr>
                <w:color w:val="3E3935"/>
                <w:spacing w:val="0"/>
              </w:rPr>
            </w:pPr>
            <w:r>
              <w:rPr>
                <w:color w:val="3E3935"/>
                <w:spacing w:val="0"/>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color w:val="3E3935"/>
                <w:spacing w:val="0"/>
              </w:rPr>
            </w:pPr>
            <w:r>
              <w:rPr>
                <w:color w:val="3E3935"/>
                <w:spacing w:val="0"/>
              </w:rPr>
              <w:t>(4)</w:t>
            </w:r>
          </w:p>
        </w:tc>
        <w:tc>
          <w:tcPr>
            <w:tcW w:w="9937" w:type="dxa"/>
            <w:tcBorders/>
            <w:vAlign w:val="center"/>
          </w:tcPr>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Represents the cumulative TSR of the Company of an initial investment of $100 for the measurement period beginning December 31, 2019, and ending December 31, 2023, 2022, 2021, or 2020, respectively, calculated in accordance with Item 201(e) of Regulation </w:t>
            </w:r>
          </w:p>
          <w:p>
            <w:pPr>
              <w:pStyle w:val="TableContents"/>
              <w:bidi w:val="0"/>
              <w:spacing w:before="0" w:after="0"/>
              <w:jc w:val="both"/>
              <w:rPr>
                <w:rFonts w:ascii="arial" w:hAnsi="arial"/>
                <w:color w:val="3E3935"/>
                <w:spacing w:val="0"/>
                <w:sz w:val="15"/>
              </w:rPr>
            </w:pPr>
            <w:r>
              <w:rPr>
                <w:rFonts w:ascii="arial" w:hAnsi="arial"/>
                <w:color w:val="3E3935"/>
                <w:spacing w:val="0"/>
                <w:sz w:val="15"/>
              </w:rPr>
              <w:t>S-K</w:t>
            </w:r>
          </w:p>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as required under Item 402(v) of Regulation </w:t>
            </w:r>
          </w:p>
          <w:p>
            <w:pPr>
              <w:pStyle w:val="TableContents"/>
              <w:bidi w:val="0"/>
              <w:spacing w:before="0" w:after="0"/>
              <w:jc w:val="both"/>
              <w:rPr>
                <w:rFonts w:ascii="arial" w:hAnsi="arial"/>
                <w:color w:val="3E3935"/>
                <w:spacing w:val="0"/>
                <w:sz w:val="15"/>
              </w:rPr>
            </w:pPr>
            <w:r>
              <w:rPr>
                <w:rFonts w:ascii="arial" w:hAnsi="arial"/>
                <w:color w:val="3E3935"/>
                <w:spacing w:val="0"/>
                <w:sz w:val="15"/>
              </w:rPr>
              <w:t>S-K.</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color w:val="3E3935"/>
                <w:spacing w:val="0"/>
              </w:rPr>
            </w:pPr>
            <w:r>
              <w:rPr>
                <w:color w:val="3E3935"/>
                <w:spacing w:val="0"/>
              </w:rPr>
              <w:t>(5)</w:t>
            </w:r>
          </w:p>
        </w:tc>
        <w:tc>
          <w:tcPr>
            <w:tcW w:w="9946" w:type="dxa"/>
            <w:tcBorders/>
            <w:vAlign w:val="center"/>
          </w:tcPr>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Represents the cumulative TSR of the Dow Jones Automobiles &amp; Parts Titans 30 Index (the “Peer Group TSR”) of an initial investment of $100 for the measurement period beginning December 31, 2019, and ending December 31, 2023, 2022, 2021, or 2020, respectively, calculated in accordance with Item 201(e) of Regulation </w:t>
            </w:r>
          </w:p>
          <w:p>
            <w:pPr>
              <w:pStyle w:val="TableContents"/>
              <w:bidi w:val="0"/>
              <w:spacing w:before="0" w:after="0"/>
              <w:jc w:val="both"/>
              <w:rPr>
                <w:rFonts w:ascii="arial" w:hAnsi="arial"/>
                <w:color w:val="3E3935"/>
                <w:spacing w:val="0"/>
                <w:sz w:val="15"/>
              </w:rPr>
            </w:pPr>
            <w:r>
              <w:rPr>
                <w:rFonts w:ascii="arial" w:hAnsi="arial"/>
                <w:color w:val="3E3935"/>
                <w:spacing w:val="0"/>
                <w:sz w:val="15"/>
              </w:rPr>
              <w:t>S-K</w:t>
            </w:r>
          </w:p>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as required under Item 402(v) of Regulation </w:t>
            </w:r>
          </w:p>
          <w:p>
            <w:pPr>
              <w:pStyle w:val="TableContents"/>
              <w:bidi w:val="0"/>
              <w:spacing w:before="0" w:after="0"/>
              <w:jc w:val="both"/>
              <w:rPr>
                <w:rFonts w:ascii="arial" w:hAnsi="arial"/>
                <w:color w:val="3E3935"/>
                <w:spacing w:val="0"/>
                <w:sz w:val="15"/>
              </w:rPr>
            </w:pPr>
            <w:r>
              <w:rPr>
                <w:rFonts w:ascii="arial" w:hAnsi="arial"/>
                <w:color w:val="3E3935"/>
                <w:spacing w:val="0"/>
                <w:sz w:val="15"/>
              </w:rPr>
              <w:t>S-K.</w:t>
            </w:r>
          </w:p>
        </w:tc>
      </w:tr>
    </w:tbl>
    <w:tbl>
      <w:tblPr>
        <w:tblW w:w="5365" w:type="dxa"/>
        <w:jc w:val="left"/>
        <w:tblInd w:w="0" w:type="dxa"/>
        <w:tblLayout w:type="fixed"/>
        <w:tblCellMar>
          <w:top w:w="0" w:type="dxa"/>
          <w:left w:w="0" w:type="dxa"/>
          <w:bottom w:w="0" w:type="dxa"/>
          <w:right w:w="0" w:type="dxa"/>
        </w:tblCellMar>
      </w:tblPr>
      <w:tblGrid>
        <w:gridCol w:w="305"/>
        <w:gridCol w:w="5060"/>
      </w:tblGrid>
      <w:tr>
        <w:trPr/>
        <w:tc>
          <w:tcPr>
            <w:tcW w:w="305" w:type="dxa"/>
            <w:tcBorders/>
            <w:vAlign w:val="center"/>
          </w:tcPr>
          <w:p>
            <w:pPr>
              <w:pStyle w:val="TableContents"/>
              <w:bidi w:val="0"/>
              <w:spacing w:before="0" w:after="0"/>
              <w:jc w:val="left"/>
              <w:rPr>
                <w:color w:val="3E3935"/>
                <w:spacing w:val="0"/>
              </w:rPr>
            </w:pPr>
            <w:r>
              <w:rPr>
                <w:color w:val="3E3935"/>
                <w:spacing w:val="0"/>
              </w:rPr>
              <w:t>(6)</w:t>
            </w:r>
          </w:p>
        </w:tc>
        <w:tc>
          <w:tcPr>
            <w:tcW w:w="5060" w:type="dxa"/>
            <w:tcBorders/>
            <w:vAlign w:val="center"/>
          </w:tcPr>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Reflects net income as shown in the Company’s Annual Report on Form </w:t>
            </w:r>
          </w:p>
          <w:p>
            <w:pPr>
              <w:pStyle w:val="TableContents"/>
              <w:bidi w:val="0"/>
              <w:spacing w:before="0" w:after="0"/>
              <w:jc w:val="both"/>
              <w:rPr>
                <w:rFonts w:ascii="arial" w:hAnsi="arial"/>
                <w:color w:val="3E3935"/>
                <w:spacing w:val="0"/>
                <w:sz w:val="15"/>
              </w:rPr>
            </w:pPr>
            <w:r>
              <w:rPr>
                <w:rFonts w:ascii="arial" w:hAnsi="arial"/>
                <w:color w:val="3E3935"/>
                <w:spacing w:val="0"/>
                <w:sz w:val="15"/>
              </w:rPr>
              <w:t>10-K</w:t>
            </w:r>
          </w:p>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for the years ended December 31, 2023, 2022, 2021, and 2020.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color w:val="3E3935"/>
                <w:spacing w:val="0"/>
              </w:rPr>
            </w:pPr>
            <w:r>
              <w:rPr>
                <w:color w:val="3E3935"/>
                <w:spacing w:val="0"/>
              </w:rPr>
              <w:t>(7)</w:t>
            </w:r>
          </w:p>
        </w:tc>
        <w:tc>
          <w:tcPr>
            <w:tcW w:w="9948" w:type="dxa"/>
            <w:tcBorders/>
            <w:vAlign w:val="center"/>
          </w:tcPr>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Reflects EBIT-adjusted, the company-selected measure for 2023 and 2022, as shown in the Company’s Annual Report on Form </w:t>
            </w:r>
          </w:p>
          <w:p>
            <w:pPr>
              <w:pStyle w:val="TableContents"/>
              <w:bidi w:val="0"/>
              <w:spacing w:before="0" w:after="0"/>
              <w:jc w:val="both"/>
              <w:rPr>
                <w:rFonts w:ascii="arial" w:hAnsi="arial"/>
                <w:color w:val="3E3935"/>
                <w:spacing w:val="0"/>
                <w:sz w:val="15"/>
              </w:rPr>
            </w:pPr>
            <w:r>
              <w:rPr>
                <w:rFonts w:ascii="arial" w:hAnsi="arial"/>
                <w:color w:val="3E3935"/>
                <w:spacing w:val="0"/>
                <w:sz w:val="15"/>
              </w:rPr>
              <w:t>10-K</w:t>
            </w:r>
          </w:p>
          <w:p>
            <w:pPr>
              <w:pStyle w:val="TableContents"/>
              <w:bidi w:val="0"/>
              <w:spacing w:before="0" w:after="0"/>
              <w:jc w:val="both"/>
              <w:rPr>
                <w:rFonts w:ascii="arial" w:hAnsi="arial"/>
                <w:color w:val="3E3935"/>
                <w:spacing w:val="0"/>
                <w:sz w:val="15"/>
              </w:rPr>
            </w:pPr>
            <w:r>
              <w:rPr>
                <w:rFonts w:ascii="arial" w:hAnsi="arial"/>
                <w:color w:val="3E3935"/>
                <w:spacing w:val="0"/>
                <w:sz w:val="15"/>
              </w:rPr>
              <w:t xml:space="preserve">for the years ended December 31, 2023, 2022, 2021, and 2020. Refer to Appendix A for a reconciliation of EBIT-adjusted to its closest comparable GAAP measure. Please note EBIT-adjusted may not have been the company-selected measure for 2021 and 2020, and we may determine a different measure to be the company-selected measure in future years. </w:t>
            </w:r>
          </w:p>
        </w:tc>
      </w:tr>
    </w:tbl>
    <w:p>
      <w:pPr>
        <w:pStyle w:val="TextBody"/>
        <w:bidi w:val="0"/>
        <w:spacing w:before="0" w:after="0"/>
        <w:jc w:val="left"/>
        <w:rPr>
          <w:shd w:fill="FFFFFF" w:val="clear"/>
        </w:rPr>
      </w:pPr>
      <w:r>
        <w:rPr>
          <w:shd w:fill="FFFFFF" w:val="clear"/>
        </w:rPr>
        <w:t> </w:t>
      </w:r>
    </w:p>
    <w:tbl>
      <w:tblPr>
        <w:tblW w:w="3560" w:type="dxa"/>
        <w:jc w:val="left"/>
        <w:tblInd w:w="0" w:type="dxa"/>
        <w:tblLayout w:type="fixed"/>
        <w:tblCellMar>
          <w:top w:w="0" w:type="dxa"/>
          <w:left w:w="0" w:type="dxa"/>
          <w:bottom w:w="0" w:type="dxa"/>
          <w:right w:w="0" w:type="dxa"/>
        </w:tblCellMar>
      </w:tblPr>
      <w:tblGrid>
        <w:gridCol w:w="3560"/>
      </w:tblGrid>
      <w:tr>
        <w:trPr/>
        <w:tc>
          <w:tcPr>
            <w:tcW w:w="3560" w:type="dxa"/>
            <w:tcBorders/>
            <w:vAlign w:val="center"/>
          </w:tcPr>
          <w:p>
            <w:pPr>
              <w:pStyle w:val="TableContents"/>
              <w:bidi w:val="0"/>
              <w:spacing w:before="0" w:after="283"/>
              <w:jc w:val="left"/>
              <w:rPr>
                <w:sz w:val="4"/>
                <w:szCs w:val="4"/>
              </w:rPr>
            </w:pPr>
            <w:r>
              <w:rPr>
                <w:sz w:val="4"/>
                <w:szCs w:val="4"/>
              </w:rPr>
            </w:r>
          </w:p>
        </w:tc>
      </w:tr>
      <w:tr>
        <w:trPr/>
        <w:tc>
          <w:tcPr>
            <w:tcW w:w="3560" w:type="dxa"/>
            <w:tcBorders>
              <w:bottom w:val="single" w:sz="6" w:space="0" w:color="0071CE"/>
            </w:tcBorders>
            <w:tcMar>
              <w:bottom w:w="80" w:type="dxa"/>
            </w:tcMar>
            <w:vAlign w:val="center"/>
          </w:tcPr>
          <w:p>
            <w:pPr>
              <w:pStyle w:val="TableContents"/>
              <w:bidi w:val="0"/>
              <w:spacing w:before="0" w:after="0"/>
              <w:jc w:val="left"/>
              <w:rPr>
                <w:color w:val="3E3935"/>
                <w:spacing w:val="0"/>
              </w:rPr>
            </w:pPr>
            <w:r>
              <w:rPr>
                <w:color w:val="3E3935"/>
                <w:spacing w:val="0"/>
              </w:rPr>
              <w:t> </w:t>
            </w:r>
            <w:r>
              <w:rPr>
                <w:rFonts w:ascii="arial" w:hAnsi="arial"/>
                <w:b/>
                <w:color w:val="3E3935"/>
                <w:spacing w:val="0"/>
                <w:sz w:val="18"/>
              </w:rPr>
              <w:t>Tabular List of Most-Important Measures</w:t>
            </w:r>
          </w:p>
        </w:tc>
      </w:tr>
      <w:tr>
        <w:trPr/>
        <w:tc>
          <w:tcPr>
            <w:tcW w:w="3560"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arial" w:hAnsi="arial"/>
                <w:color w:val="3E3935"/>
                <w:spacing w:val="0"/>
                <w:sz w:val="17"/>
              </w:rPr>
            </w:pPr>
            <w:r>
              <w:rPr>
                <w:rFonts w:ascii="arial" w:hAnsi="arial"/>
                <w:color w:val="3E3935"/>
                <w:spacing w:val="0"/>
                <w:sz w:val="17"/>
              </w:rPr>
              <w:t>EBIT-adjusted</w:t>
            </w:r>
          </w:p>
        </w:tc>
      </w:tr>
      <w:tr>
        <w:trPr/>
        <w:tc>
          <w:tcPr>
            <w:tcW w:w="3560" w:type="dxa"/>
            <w:tcBorders/>
            <w:shd w:fill="CCF2F8" w:val="clear"/>
            <w:vAlign w:val="center"/>
          </w:tcPr>
          <w:p>
            <w:pPr>
              <w:pStyle w:val="TableContents"/>
              <w:bidi w:val="0"/>
              <w:spacing w:before="0" w:after="283"/>
              <w:jc w:val="left"/>
              <w:rPr>
                <w:sz w:val="4"/>
                <w:szCs w:val="4"/>
              </w:rPr>
            </w:pPr>
            <w:r>
              <w:rPr>
                <w:sz w:val="4"/>
                <w:szCs w:val="4"/>
              </w:rPr>
            </w:r>
          </w:p>
        </w:tc>
      </w:tr>
      <w:tr>
        <w:trPr/>
        <w:tc>
          <w:tcPr>
            <w:tcW w:w="3560" w:type="dxa"/>
            <w:tcBorders/>
            <w:shd w:fill="CCF2F8" w:val="clear"/>
            <w:vAlign w:val="center"/>
          </w:tcPr>
          <w:p>
            <w:pPr>
              <w:pStyle w:val="TableContents"/>
              <w:bidi w:val="0"/>
              <w:spacing w:before="0" w:after="0"/>
              <w:jc w:val="left"/>
              <w:rPr>
                <w:rFonts w:ascii="arial" w:hAnsi="arial"/>
                <w:color w:val="3E3935"/>
                <w:spacing w:val="0"/>
                <w:sz w:val="17"/>
              </w:rPr>
            </w:pPr>
            <w:r>
              <w:rPr>
                <w:rFonts w:ascii="arial" w:hAnsi="arial"/>
                <w:color w:val="3E3935"/>
                <w:spacing w:val="0"/>
                <w:sz w:val="17"/>
              </w:rPr>
              <w:t>EBIT-adjusted Margin</w:t>
            </w:r>
          </w:p>
        </w:tc>
      </w:tr>
      <w:tr>
        <w:trPr/>
        <w:tc>
          <w:tcPr>
            <w:tcW w:w="3560" w:type="dxa"/>
            <w:tcBorders/>
            <w:vAlign w:val="center"/>
          </w:tcPr>
          <w:p>
            <w:pPr>
              <w:pStyle w:val="TableContents"/>
              <w:bidi w:val="0"/>
              <w:spacing w:before="0" w:after="283"/>
              <w:jc w:val="left"/>
              <w:rPr>
                <w:sz w:val="4"/>
                <w:szCs w:val="4"/>
              </w:rPr>
            </w:pPr>
            <w:r>
              <w:rPr>
                <w:sz w:val="4"/>
                <w:szCs w:val="4"/>
              </w:rPr>
            </w:r>
          </w:p>
        </w:tc>
      </w:tr>
      <w:tr>
        <w:trPr/>
        <w:tc>
          <w:tcPr>
            <w:tcW w:w="3560"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pacing w:val="0"/>
                <w:sz w:val="17"/>
              </w:rPr>
            </w:pPr>
            <w:r>
              <w:rPr>
                <w:rFonts w:ascii="arial" w:hAnsi="arial"/>
                <w:color w:val="3E3935"/>
                <w:spacing w:val="0"/>
                <w:sz w:val="17"/>
              </w:rPr>
              <w:t>Relative TSR</w:t>
            </w:r>
          </w:p>
        </w:tc>
      </w:tr>
    </w:tbl>
    <w:p>
      <w:pPr>
        <w:pStyle w:val="TextBody"/>
        <w:widowControl/>
        <w:bidi w:val="0"/>
        <w:spacing w:before="0" w:after="0"/>
        <w:ind w:left="0" w:right="0" w:hanging="0"/>
        <w:jc w:val="left"/>
        <w:rPr>
          <w:b/>
          <w:i w:val="false"/>
          <w:caps w:val="false"/>
          <w:smallCaps w:val="false"/>
          <w:color w:val="3E3935"/>
          <w:spacing w:val="0"/>
          <w:shd w:fill="FFFFFF" w:val="clear"/>
        </w:rPr>
      </w:pPr>
      <w:r>
        <w:rPr>
          <w:b/>
          <w:i w:val="false"/>
          <w:caps w:val="false"/>
          <w:smallCaps w:val="false"/>
          <w:color w:val="3E3935"/>
          <w:spacing w:val="0"/>
          <w:shd w:fill="FFFFFF" w:val="clear"/>
        </w:rPr>
        <w:t>Relationship Between CAP Disclosed in the Pay Versus Performance Table and Other Table Elements</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center"/>
        <w:rPr>
          <w:caps w:val="false"/>
          <w:smallCaps w:val="false"/>
          <w:color w:val="FF0000"/>
          <w:spacing w:val="0"/>
          <w:shd w:fill="FFFFFF" w:val="clear"/>
        </w:rPr>
      </w:pPr>
      <w:r>
        <w:rPr>
          <w:caps w:val="false"/>
          <w:smallCaps w:val="false"/>
          <w:color w:val="FF0000"/>
          <w:spacing w:val="0"/>
          <w:shd w:fill="FFFFFF" w:val="clear"/>
        </w:rPr>
        <w:drawing>
          <wp:inline distT="0" distB="0" distL="0" distR="0">
            <wp:extent cx="2838450" cy="2676525"/>
            <wp:effectExtent l="0" t="0" r="0" b="0"/>
            <wp:docPr id="351"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80" descr=""/>
                    <pic:cNvPicPr>
                      <a:picLocks noChangeAspect="1" noChangeArrowheads="1"/>
                    </pic:cNvPicPr>
                  </pic:nvPicPr>
                  <pic:blipFill>
                    <a:blip r:embed="rId334"/>
                    <a:stretch>
                      <a:fillRect/>
                    </a:stretch>
                  </pic:blipFill>
                  <pic:spPr bwMode="auto">
                    <a:xfrm>
                      <a:off x="0" y="0"/>
                      <a:ext cx="2838450" cy="2676525"/>
                    </a:xfrm>
                    <a:prstGeom prst="rect">
                      <a:avLst/>
                    </a:prstGeom>
                  </pic:spPr>
                </pic:pic>
              </a:graphicData>
            </a:graphic>
          </wp:inline>
        </w:drawing>
      </w:r>
    </w:p>
    <w:p>
      <w:pPr>
        <w:pStyle w:val="TextBody"/>
        <w:widowControl/>
        <w:bidi w:val="0"/>
        <w:spacing w:before="0" w:after="0"/>
        <w:ind w:left="0" w:right="0" w:hanging="0"/>
        <w:jc w:val="center"/>
        <w:rPr>
          <w:caps w:val="false"/>
          <w:smallCaps w:val="false"/>
          <w:color w:val="FF0000"/>
          <w:spacing w:val="0"/>
          <w:shd w:fill="FFFFFF" w:val="clear"/>
        </w:rPr>
      </w:pPr>
      <w:r>
        <w:rPr>
          <w:caps w:val="false"/>
          <w:smallCaps w:val="false"/>
          <w:color w:val="FF0000"/>
          <w:spacing w:val="0"/>
          <w:shd w:fill="FFFFFF" w:val="clear"/>
        </w:rPr>
        <w:drawing>
          <wp:inline distT="0" distB="0" distL="0" distR="0">
            <wp:extent cx="2819400" cy="2676525"/>
            <wp:effectExtent l="0" t="0" r="0" b="0"/>
            <wp:docPr id="352"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81" descr=""/>
                    <pic:cNvPicPr>
                      <a:picLocks noChangeAspect="1" noChangeArrowheads="1"/>
                    </pic:cNvPicPr>
                  </pic:nvPicPr>
                  <pic:blipFill>
                    <a:blip r:embed="rId335"/>
                    <a:stretch>
                      <a:fillRect/>
                    </a:stretch>
                  </pic:blipFill>
                  <pic:spPr bwMode="auto">
                    <a:xfrm>
                      <a:off x="0" y="0"/>
                      <a:ext cx="2819400" cy="2676525"/>
                    </a:xfrm>
                    <a:prstGeom prst="rect">
                      <a:avLst/>
                    </a:prstGeom>
                  </pic:spPr>
                </pic:pic>
              </a:graphicData>
            </a:graphic>
          </wp:inline>
        </w:drawing>
      </w:r>
    </w:p>
    <w:p>
      <w:pPr>
        <w:pStyle w:val="TextBody"/>
        <w:bidi w:val="0"/>
        <w:spacing w:before="0" w:after="0"/>
        <w:jc w:val="left"/>
        <w:rPr>
          <w:shd w:fill="FFFFFF" w:val="clear"/>
        </w:rPr>
      </w:pPr>
      <w:r>
        <w:rPr>
          <w:shd w:fill="FFFFFF" w:val="clear"/>
        </w:rPr>
        <w:t> </w:t>
      </w:r>
    </w:p>
    <w:tbl>
      <w:tblPr>
        <w:tblW w:w="5423" w:type="dxa"/>
        <w:jc w:val="left"/>
        <w:tblInd w:w="0" w:type="dxa"/>
        <w:tblLayout w:type="fixed"/>
        <w:tblCellMar>
          <w:top w:w="0" w:type="dxa"/>
          <w:left w:w="0" w:type="dxa"/>
          <w:bottom w:w="0" w:type="dxa"/>
          <w:right w:w="0" w:type="dxa"/>
        </w:tblCellMar>
      </w:tblPr>
      <w:tblGrid>
        <w:gridCol w:w="275"/>
        <w:gridCol w:w="60"/>
        <w:gridCol w:w="192"/>
        <w:gridCol w:w="60"/>
        <w:gridCol w:w="4595"/>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b/>
                <w:color w:val="0071CE"/>
                <w:spacing w:val="0"/>
              </w:rPr>
            </w:pPr>
            <w:r>
              <w:rPr>
                <w:b/>
                <w:color w:val="0071CE"/>
                <w:spacing w:val="0"/>
              </w:rPr>
              <w:t>76</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53"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82" descr=""/>
                          <pic:cNvPicPr>
                            <a:picLocks noChangeAspect="1" noChangeArrowheads="1"/>
                          </pic:cNvPicPr>
                        </pic:nvPicPr>
                        <pic:blipFill>
                          <a:blip r:embed="rId336"/>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center"/>
              <w:rPr>
                <w:b/>
                <w:color w:val="3E3935"/>
                <w:spacing w:val="0"/>
              </w:rPr>
            </w:pPr>
            <w:r>
              <w:rPr>
                <w:b/>
                <w:color w:val="3E3935"/>
                <w:spacing w:val="0"/>
              </w:rPr>
              <w:t>EXECUTIVE COMPENSATION TABLES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71CE"/>
          <w:sz w:val="28"/>
        </w:rPr>
      </w:pPr>
      <w:bookmarkStart w:id="41" w:name="toc648661_40"/>
      <w:bookmarkEnd w:id="41"/>
      <w:r>
        <w:rPr>
          <w:rFonts w:ascii="arial" w:hAnsi="arial"/>
          <w:b/>
          <w:color w:val="0071CE"/>
          <w:sz w:val="28"/>
        </w:rPr>
        <w:t xml:space="preserve">Equity Compensation Plan Information </w:t>
      </w:r>
    </w:p>
    <w:p>
      <w:pPr>
        <w:pStyle w:val="TextBody"/>
        <w:bidi w:val="0"/>
        <w:spacing w:before="120" w:after="0"/>
        <w:jc w:val="both"/>
        <w:rPr>
          <w:rFonts w:ascii="arial" w:hAnsi="arial"/>
          <w:color w:val="3E3935"/>
          <w:sz w:val="18"/>
        </w:rPr>
      </w:pPr>
      <w:r>
        <w:rPr>
          <w:rFonts w:ascii="arial" w:hAnsi="arial"/>
          <w:color w:val="3E3935"/>
          <w:sz w:val="18"/>
        </w:rPr>
        <w:t xml:space="preserve">The following table provides information as of December 31, 2023, about the Company’s common stock that may be issued upon the exercise of options, warrants, and rights under all the Company’s equity compensation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5"/>
        <w:gridCol w:w="120"/>
        <w:gridCol w:w="129"/>
        <w:gridCol w:w="2381"/>
        <w:gridCol w:w="259"/>
        <w:gridCol w:w="60"/>
        <w:gridCol w:w="448"/>
        <w:gridCol w:w="1792"/>
        <w:gridCol w:w="60"/>
        <w:gridCol w:w="120"/>
        <w:gridCol w:w="125"/>
        <w:gridCol w:w="2460"/>
        <w:gridCol w:w="76"/>
      </w:tblGrid>
      <w:tr>
        <w:trPr/>
        <w:tc>
          <w:tcPr>
            <w:tcW w:w="2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17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Plan Category</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51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Number of Securities to</w:t>
              <w:br/>
              <w:t>be Issued Upon Exercise</w:t>
              <w:br/>
              <w:t>of Outstanding Options,</w:t>
              <w:br/>
              <w:t>Warrants, and Rights</w:t>
              <w:br/>
              <w:t>(A)</w:t>
            </w:r>
          </w:p>
        </w:tc>
        <w:tc>
          <w:tcPr>
            <w:tcW w:w="259"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22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Weighted-Average</w:t>
              <w:br/>
              <w:t>Exercise Price of</w:t>
              <w:br/>
              <w:t>Outstanding</w:t>
              <w:br/>
              <w:t>Options,</w:t>
              <w:br/>
              <w:t>Warrants, and Rights</w:t>
              <w:br/>
              <w:t>(B)(1)</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58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Number of Securities</w:t>
              <w:br/>
              <w:t>Remaining Available for</w:t>
              <w:br/>
              <w:t>Future Issuance Under</w:t>
              <w:br/>
              <w:t>Equity Compensation</w:t>
              <w:br/>
              <w:t>Plan (excluding securities</w:t>
              <w:br/>
              <w:t>reflected in column (A))</w:t>
              <w:br/>
              <w:t>(C)</w:t>
            </w:r>
          </w:p>
        </w:tc>
        <w:tc>
          <w:tcPr>
            <w:tcW w:w="76"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2175" w:type="dxa"/>
            <w:tcBorders/>
            <w:shd w:fill="CCF2F8" w:val="clear"/>
            <w:vAlign w:val="center"/>
          </w:tcPr>
          <w:p>
            <w:pPr>
              <w:pStyle w:val="TableContents"/>
              <w:bidi w:val="0"/>
              <w:spacing w:before="0" w:after="283"/>
              <w:jc w:val="left"/>
              <w:rPr>
                <w:sz w:val="4"/>
                <w:szCs w:val="4"/>
              </w:rPr>
            </w:pPr>
            <w:r>
              <w:rPr>
                <w:sz w:val="4"/>
                <w:szCs w:val="4"/>
              </w:rPr>
            </w:r>
          </w:p>
        </w:tc>
        <w:tc>
          <w:tcPr>
            <w:tcW w:w="2889" w:type="dxa"/>
            <w:gridSpan w:val="4"/>
            <w:tcBorders/>
            <w:shd w:fill="CCF2F8" w:val="clear"/>
            <w:vAlign w:val="center"/>
          </w:tcPr>
          <w:p>
            <w:pPr>
              <w:pStyle w:val="TableContents"/>
              <w:bidi w:val="0"/>
              <w:spacing w:before="0" w:after="283"/>
              <w:jc w:val="left"/>
              <w:rPr>
                <w:sz w:val="4"/>
                <w:szCs w:val="4"/>
              </w:rPr>
            </w:pPr>
            <w:r>
              <w:rPr>
                <w:sz w:val="4"/>
                <w:szCs w:val="4"/>
              </w:rPr>
            </w:r>
          </w:p>
        </w:tc>
        <w:tc>
          <w:tcPr>
            <w:tcW w:w="2360" w:type="dxa"/>
            <w:gridSpan w:val="4"/>
            <w:tcBorders/>
            <w:shd w:fill="CCF2F8" w:val="clear"/>
            <w:vAlign w:val="center"/>
          </w:tcPr>
          <w:p>
            <w:pPr>
              <w:pStyle w:val="TableContents"/>
              <w:bidi w:val="0"/>
              <w:spacing w:before="0" w:after="283"/>
              <w:jc w:val="left"/>
              <w:rPr>
                <w:sz w:val="4"/>
                <w:szCs w:val="4"/>
              </w:rPr>
            </w:pPr>
            <w:r>
              <w:rPr>
                <w:sz w:val="4"/>
                <w:szCs w:val="4"/>
              </w:rPr>
            </w:r>
          </w:p>
        </w:tc>
        <w:tc>
          <w:tcPr>
            <w:tcW w:w="2781"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17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Equity compensation plans approved by security holders</w:t>
            </w:r>
          </w:p>
        </w:tc>
        <w:tc>
          <w:tcPr>
            <w:tcW w:w="120" w:type="dxa"/>
            <w:tcBorders/>
            <w:shd w:fill="CCF2F8" w:val="clear"/>
            <w:vAlign w:val="center"/>
          </w:tcPr>
          <w:p>
            <w:pPr>
              <w:pStyle w:val="TableContents"/>
              <w:bidi w:val="0"/>
              <w:spacing w:before="0" w:after="283"/>
              <w:jc w:val="left"/>
              <w:rPr/>
            </w:pPr>
            <w:r>
              <w:rPr/>
              <w:t>  </w:t>
            </w:r>
          </w:p>
        </w:tc>
        <w:tc>
          <w:tcPr>
            <w:tcW w:w="129" w:type="dxa"/>
            <w:tcBorders/>
            <w:shd w:fill="CCF2F8" w:val="clear"/>
            <w:vAlign w:val="center"/>
          </w:tcPr>
          <w:p>
            <w:pPr>
              <w:pStyle w:val="TableContents"/>
              <w:bidi w:val="0"/>
              <w:spacing w:before="0" w:after="283"/>
              <w:jc w:val="left"/>
              <w:rPr>
                <w:color w:val="3E3935"/>
              </w:rPr>
            </w:pPr>
            <w:r>
              <w:rPr>
                <w:color w:val="3E3935"/>
              </w:rPr>
              <w:t> </w:t>
            </w:r>
          </w:p>
        </w:tc>
        <w:tc>
          <w:tcPr>
            <w:tcW w:w="2381" w:type="dxa"/>
            <w:tcBorders/>
            <w:shd w:fill="CCF2F8" w:val="clear"/>
            <w:vAlign w:val="center"/>
          </w:tcPr>
          <w:p>
            <w:pPr>
              <w:pStyle w:val="TableContents"/>
              <w:bidi w:val="0"/>
              <w:spacing w:before="0" w:after="283"/>
              <w:jc w:val="right"/>
              <w:rPr>
                <w:color w:val="3E3935"/>
              </w:rPr>
            </w:pPr>
            <w:r>
              <w:rPr>
                <w:color w:val="3E3935"/>
              </w:rPr>
              <w:t>39,905,114</w:t>
            </w:r>
          </w:p>
        </w:tc>
        <w:tc>
          <w:tcPr>
            <w:tcW w:w="259" w:type="dxa"/>
            <w:tcBorders/>
            <w:shd w:fill="CCF2F8" w:val="clear"/>
            <w:vAlign w:val="center"/>
          </w:tcPr>
          <w:p>
            <w:pPr>
              <w:pStyle w:val="TableContents"/>
              <w:bidi w:val="0"/>
              <w:spacing w:before="0" w:after="283"/>
              <w:jc w:val="left"/>
              <w:rPr>
                <w:color w:val="3E3935"/>
              </w:rPr>
            </w:pPr>
            <w:r>
              <w:rPr>
                <w:color w:val="3E3935"/>
              </w:rPr>
              <w:t>(2) </w:t>
            </w:r>
          </w:p>
        </w:tc>
        <w:tc>
          <w:tcPr>
            <w:tcW w:w="60" w:type="dxa"/>
            <w:tcBorders/>
            <w:shd w:fill="CCF2F8" w:val="clear"/>
            <w:vAlign w:val="center"/>
          </w:tcPr>
          <w:p>
            <w:pPr>
              <w:pStyle w:val="TableContents"/>
              <w:bidi w:val="0"/>
              <w:spacing w:before="0" w:after="283"/>
              <w:jc w:val="left"/>
              <w:rPr/>
            </w:pPr>
            <w:r>
              <w:rPr/>
              <w:t> </w:t>
            </w:r>
          </w:p>
        </w:tc>
        <w:tc>
          <w:tcPr>
            <w:tcW w:w="448" w:type="dxa"/>
            <w:tcBorders/>
            <w:shd w:fill="CCF2F8" w:val="clear"/>
            <w:vAlign w:val="center"/>
          </w:tcPr>
          <w:p>
            <w:pPr>
              <w:pStyle w:val="TableContents"/>
              <w:bidi w:val="0"/>
              <w:spacing w:before="0" w:after="283"/>
              <w:jc w:val="left"/>
              <w:rPr>
                <w:color w:val="3E3935"/>
              </w:rPr>
            </w:pPr>
            <w:r>
              <w:rPr>
                <w:color w:val="3E3935"/>
              </w:rPr>
              <w:t>$</w:t>
            </w:r>
          </w:p>
        </w:tc>
        <w:tc>
          <w:tcPr>
            <w:tcW w:w="1792" w:type="dxa"/>
            <w:tcBorders/>
            <w:shd w:fill="CCF2F8" w:val="clear"/>
            <w:vAlign w:val="center"/>
          </w:tcPr>
          <w:p>
            <w:pPr>
              <w:pStyle w:val="TableContents"/>
              <w:bidi w:val="0"/>
              <w:spacing w:before="0" w:after="283"/>
              <w:jc w:val="right"/>
              <w:rPr>
                <w:color w:val="3E3935"/>
              </w:rPr>
            </w:pPr>
            <w:r>
              <w:rPr>
                <w:color w:val="3E3935"/>
              </w:rPr>
              <w:t>39.79</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5" w:type="dxa"/>
            <w:tcBorders/>
            <w:shd w:fill="CCF2F8" w:val="clear"/>
            <w:vAlign w:val="center"/>
          </w:tcPr>
          <w:p>
            <w:pPr>
              <w:pStyle w:val="TableContents"/>
              <w:bidi w:val="0"/>
              <w:spacing w:before="0" w:after="283"/>
              <w:jc w:val="left"/>
              <w:rPr>
                <w:color w:val="3E3935"/>
              </w:rPr>
            </w:pPr>
            <w:r>
              <w:rPr>
                <w:color w:val="3E3935"/>
              </w:rPr>
              <w:t> </w:t>
            </w:r>
          </w:p>
        </w:tc>
        <w:tc>
          <w:tcPr>
            <w:tcW w:w="2460" w:type="dxa"/>
            <w:tcBorders/>
            <w:shd w:fill="CCF2F8" w:val="clear"/>
            <w:vAlign w:val="center"/>
          </w:tcPr>
          <w:p>
            <w:pPr>
              <w:pStyle w:val="TableContents"/>
              <w:bidi w:val="0"/>
              <w:spacing w:before="0" w:after="283"/>
              <w:jc w:val="right"/>
              <w:rPr>
                <w:color w:val="3E3935"/>
              </w:rPr>
            </w:pPr>
            <w:r>
              <w:rPr>
                <w:color w:val="3E3935"/>
              </w:rPr>
              <w:t>48,157,517(3)</w:t>
            </w:r>
          </w:p>
        </w:tc>
        <w:tc>
          <w:tcPr>
            <w:tcW w:w="76" w:type="dxa"/>
            <w:tcBorders/>
            <w:shd w:fill="CCF2F8" w:val="clear"/>
            <w:vAlign w:val="center"/>
          </w:tcPr>
          <w:p>
            <w:pPr>
              <w:pStyle w:val="TableContents"/>
              <w:bidi w:val="0"/>
              <w:spacing w:before="0" w:after="283"/>
              <w:jc w:val="left"/>
              <w:rPr>
                <w:color w:val="3E3935"/>
              </w:rPr>
            </w:pPr>
            <w:r>
              <w:rPr>
                <w:color w:val="3E3935"/>
              </w:rPr>
              <w:t> </w:t>
            </w:r>
          </w:p>
        </w:tc>
      </w:tr>
      <w:tr>
        <w:trPr/>
        <w:tc>
          <w:tcPr>
            <w:tcW w:w="2175" w:type="dxa"/>
            <w:tcBorders/>
            <w:vAlign w:val="center"/>
          </w:tcPr>
          <w:p>
            <w:pPr>
              <w:pStyle w:val="TableContents"/>
              <w:bidi w:val="0"/>
              <w:spacing w:before="0" w:after="283"/>
              <w:jc w:val="left"/>
              <w:rPr>
                <w:sz w:val="4"/>
                <w:szCs w:val="4"/>
              </w:rPr>
            </w:pPr>
            <w:r>
              <w:rPr>
                <w:sz w:val="4"/>
                <w:szCs w:val="4"/>
              </w:rPr>
            </w:r>
          </w:p>
        </w:tc>
        <w:tc>
          <w:tcPr>
            <w:tcW w:w="2889" w:type="dxa"/>
            <w:gridSpan w:val="4"/>
            <w:tcBorders/>
            <w:vAlign w:val="center"/>
          </w:tcPr>
          <w:p>
            <w:pPr>
              <w:pStyle w:val="TableContents"/>
              <w:bidi w:val="0"/>
              <w:spacing w:before="0" w:after="283"/>
              <w:jc w:val="left"/>
              <w:rPr>
                <w:sz w:val="4"/>
                <w:szCs w:val="4"/>
              </w:rPr>
            </w:pPr>
            <w:r>
              <w:rPr>
                <w:sz w:val="4"/>
                <w:szCs w:val="4"/>
              </w:rPr>
            </w:r>
          </w:p>
        </w:tc>
        <w:tc>
          <w:tcPr>
            <w:tcW w:w="2360" w:type="dxa"/>
            <w:gridSpan w:val="4"/>
            <w:tcBorders/>
            <w:vAlign w:val="center"/>
          </w:tcPr>
          <w:p>
            <w:pPr>
              <w:pStyle w:val="TableContents"/>
              <w:bidi w:val="0"/>
              <w:spacing w:before="0" w:after="283"/>
              <w:jc w:val="left"/>
              <w:rPr>
                <w:sz w:val="4"/>
                <w:szCs w:val="4"/>
              </w:rPr>
            </w:pPr>
            <w:r>
              <w:rPr>
                <w:sz w:val="4"/>
                <w:szCs w:val="4"/>
              </w:rPr>
            </w:r>
          </w:p>
        </w:tc>
        <w:tc>
          <w:tcPr>
            <w:tcW w:w="2781" w:type="dxa"/>
            <w:gridSpan w:val="4"/>
            <w:tcBorders/>
            <w:vAlign w:val="center"/>
          </w:tcPr>
          <w:p>
            <w:pPr>
              <w:pStyle w:val="TableContents"/>
              <w:bidi w:val="0"/>
              <w:spacing w:before="0" w:after="283"/>
              <w:jc w:val="left"/>
              <w:rPr>
                <w:sz w:val="4"/>
                <w:szCs w:val="4"/>
              </w:rPr>
            </w:pPr>
            <w:r>
              <w:rPr>
                <w:sz w:val="4"/>
                <w:szCs w:val="4"/>
              </w:rPr>
            </w:r>
          </w:p>
        </w:tc>
      </w:tr>
      <w:tr>
        <w:trPr/>
        <w:tc>
          <w:tcPr>
            <w:tcW w:w="2175"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color w:val="3E3935"/>
              </w:rPr>
            </w:pPr>
            <w:r>
              <w:rPr>
                <w:color w:val="3E3935"/>
              </w:rPr>
              <w:t> </w:t>
            </w:r>
          </w:p>
        </w:tc>
        <w:tc>
          <w:tcPr>
            <w:tcW w:w="2381" w:type="dxa"/>
            <w:tcBorders/>
            <w:vAlign w:val="center"/>
          </w:tcPr>
          <w:p>
            <w:pPr>
              <w:pStyle w:val="TableContents"/>
              <w:bidi w:val="0"/>
              <w:spacing w:before="0" w:after="283"/>
              <w:jc w:val="right"/>
              <w:rPr>
                <w:color w:val="3E3935"/>
              </w:rPr>
            </w:pPr>
            <w:r>
              <w:rPr>
                <w:color w:val="3E3935"/>
              </w:rPr>
              <w:t>—</w:t>
            </w:r>
          </w:p>
        </w:tc>
        <w:tc>
          <w:tcPr>
            <w:tcW w:w="259"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olor w:val="3E3935"/>
              </w:rPr>
            </w:pPr>
            <w:r>
              <w:rPr>
                <w:color w:val="3E3935"/>
              </w:rPr>
              <w:t> </w:t>
            </w:r>
          </w:p>
        </w:tc>
        <w:tc>
          <w:tcPr>
            <w:tcW w:w="1792" w:type="dxa"/>
            <w:tcBorders/>
            <w:vAlign w:val="center"/>
          </w:tcPr>
          <w:p>
            <w:pPr>
              <w:pStyle w:val="TableContents"/>
              <w:bidi w:val="0"/>
              <w:spacing w:before="0" w:after="283"/>
              <w:jc w:val="right"/>
              <w:rPr>
                <w:color w:val="3E3935"/>
              </w:rPr>
            </w:pPr>
            <w:r>
              <w:rPr>
                <w:color w:val="3E3935"/>
              </w:rPr>
              <w:t>—</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3E3935"/>
              </w:rPr>
            </w:pPr>
            <w:r>
              <w:rPr>
                <w:color w:val="3E3935"/>
              </w:rPr>
              <w:t> </w:t>
            </w:r>
          </w:p>
        </w:tc>
        <w:tc>
          <w:tcPr>
            <w:tcW w:w="2460" w:type="dxa"/>
            <w:tcBorders/>
            <w:vAlign w:val="center"/>
          </w:tcPr>
          <w:p>
            <w:pPr>
              <w:pStyle w:val="TableContents"/>
              <w:bidi w:val="0"/>
              <w:spacing w:before="0" w:after="283"/>
              <w:jc w:val="right"/>
              <w:rPr>
                <w:color w:val="3E3935"/>
              </w:rPr>
            </w:pPr>
            <w:r>
              <w:rPr>
                <w:color w:val="3E3935"/>
              </w:rPr>
              <w:t>—  </w:t>
            </w:r>
          </w:p>
        </w:tc>
        <w:tc>
          <w:tcPr>
            <w:tcW w:w="76" w:type="dxa"/>
            <w:tcBorders/>
            <w:vAlign w:val="center"/>
          </w:tcPr>
          <w:p>
            <w:pPr>
              <w:pStyle w:val="TableContents"/>
              <w:bidi w:val="0"/>
              <w:spacing w:before="0" w:after="283"/>
              <w:jc w:val="left"/>
              <w:rPr>
                <w:color w:val="3E3935"/>
              </w:rPr>
            </w:pPr>
            <w:r>
              <w:rPr>
                <w:color w:val="3E3935"/>
              </w:rPr>
              <w:t> </w:t>
            </w:r>
          </w:p>
        </w:tc>
      </w:tr>
      <w:tr>
        <w:trPr/>
        <w:tc>
          <w:tcPr>
            <w:tcW w:w="2175" w:type="dxa"/>
            <w:tcBorders/>
            <w:shd w:fill="CCF2F8" w:val="clear"/>
            <w:vAlign w:val="center"/>
          </w:tcPr>
          <w:p>
            <w:pPr>
              <w:pStyle w:val="TableContents"/>
              <w:bidi w:val="0"/>
              <w:spacing w:before="0" w:after="283"/>
              <w:jc w:val="left"/>
              <w:rPr>
                <w:sz w:val="4"/>
                <w:szCs w:val="4"/>
              </w:rPr>
            </w:pPr>
            <w:r>
              <w:rPr>
                <w:sz w:val="4"/>
                <w:szCs w:val="4"/>
              </w:rPr>
            </w:r>
          </w:p>
        </w:tc>
        <w:tc>
          <w:tcPr>
            <w:tcW w:w="2889" w:type="dxa"/>
            <w:gridSpan w:val="4"/>
            <w:tcBorders/>
            <w:shd w:fill="CCF2F8" w:val="clear"/>
            <w:vAlign w:val="center"/>
          </w:tcPr>
          <w:p>
            <w:pPr>
              <w:pStyle w:val="TableContents"/>
              <w:bidi w:val="0"/>
              <w:spacing w:before="0" w:after="283"/>
              <w:jc w:val="left"/>
              <w:rPr>
                <w:sz w:val="4"/>
                <w:szCs w:val="4"/>
              </w:rPr>
            </w:pPr>
            <w:r>
              <w:rPr>
                <w:sz w:val="4"/>
                <w:szCs w:val="4"/>
              </w:rPr>
            </w:r>
          </w:p>
        </w:tc>
        <w:tc>
          <w:tcPr>
            <w:tcW w:w="2360" w:type="dxa"/>
            <w:gridSpan w:val="4"/>
            <w:tcBorders/>
            <w:shd w:fill="CCF2F8" w:val="clear"/>
            <w:vAlign w:val="center"/>
          </w:tcPr>
          <w:p>
            <w:pPr>
              <w:pStyle w:val="TableContents"/>
              <w:bidi w:val="0"/>
              <w:spacing w:before="0" w:after="283"/>
              <w:jc w:val="left"/>
              <w:rPr>
                <w:sz w:val="4"/>
                <w:szCs w:val="4"/>
              </w:rPr>
            </w:pPr>
            <w:r>
              <w:rPr>
                <w:sz w:val="4"/>
                <w:szCs w:val="4"/>
              </w:rPr>
            </w:r>
          </w:p>
        </w:tc>
        <w:tc>
          <w:tcPr>
            <w:tcW w:w="2781"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175" w:type="dxa"/>
            <w:tcBorders>
              <w:bottom w:val="single" w:sz="6" w:space="0" w:color="0071CE"/>
            </w:tcBorders>
            <w:shd w:fill="CCF2F8" w:val="clear"/>
            <w:tcMar>
              <w:bottom w:w="8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Total</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29"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 </w:t>
            </w:r>
          </w:p>
        </w:tc>
        <w:tc>
          <w:tcPr>
            <w:tcW w:w="2381" w:type="dxa"/>
            <w:tcBorders>
              <w:bottom w:val="single" w:sz="6" w:space="0" w:color="0071CE"/>
            </w:tcBorders>
            <w:shd w:fill="CCF2F8" w:val="clear"/>
            <w:tcMar>
              <w:bottom w:w="80" w:type="dxa"/>
            </w:tcMar>
            <w:vAlign w:val="center"/>
          </w:tcPr>
          <w:p>
            <w:pPr>
              <w:pStyle w:val="TableContents"/>
              <w:bidi w:val="0"/>
              <w:spacing w:before="0" w:after="283"/>
              <w:jc w:val="right"/>
              <w:rPr>
                <w:color w:val="3E3935"/>
              </w:rPr>
            </w:pPr>
            <w:r>
              <w:rPr>
                <w:color w:val="3E3935"/>
              </w:rPr>
              <w:t>39,905,114</w:t>
            </w:r>
          </w:p>
        </w:tc>
        <w:tc>
          <w:tcPr>
            <w:tcW w:w="259"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 </w:t>
            </w:r>
          </w:p>
        </w:tc>
        <w:tc>
          <w:tcPr>
            <w:tcW w:w="6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448"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w:t>
            </w:r>
          </w:p>
        </w:tc>
        <w:tc>
          <w:tcPr>
            <w:tcW w:w="1792" w:type="dxa"/>
            <w:tcBorders>
              <w:bottom w:val="single" w:sz="6" w:space="0" w:color="0071CE"/>
            </w:tcBorders>
            <w:shd w:fill="CCF2F8" w:val="clear"/>
            <w:tcMar>
              <w:bottom w:w="80" w:type="dxa"/>
            </w:tcMar>
            <w:vAlign w:val="center"/>
          </w:tcPr>
          <w:p>
            <w:pPr>
              <w:pStyle w:val="TableContents"/>
              <w:bidi w:val="0"/>
              <w:spacing w:before="0" w:after="283"/>
              <w:jc w:val="right"/>
              <w:rPr>
                <w:color w:val="3E3935"/>
              </w:rPr>
            </w:pPr>
            <w:r>
              <w:rPr>
                <w:color w:val="3E3935"/>
              </w:rPr>
              <w:t>39.79</w:t>
            </w:r>
          </w:p>
        </w:tc>
        <w:tc>
          <w:tcPr>
            <w:tcW w:w="60"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25"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 </w:t>
            </w:r>
          </w:p>
        </w:tc>
        <w:tc>
          <w:tcPr>
            <w:tcW w:w="2460" w:type="dxa"/>
            <w:tcBorders>
              <w:bottom w:val="single" w:sz="6" w:space="0" w:color="0071CE"/>
            </w:tcBorders>
            <w:shd w:fill="CCF2F8" w:val="clear"/>
            <w:tcMar>
              <w:bottom w:w="80" w:type="dxa"/>
            </w:tcMar>
            <w:vAlign w:val="center"/>
          </w:tcPr>
          <w:p>
            <w:pPr>
              <w:pStyle w:val="TableContents"/>
              <w:bidi w:val="0"/>
              <w:spacing w:before="0" w:after="283"/>
              <w:jc w:val="right"/>
              <w:rPr>
                <w:color w:val="3E3935"/>
              </w:rPr>
            </w:pPr>
            <w:r>
              <w:rPr>
                <w:color w:val="3E3935"/>
              </w:rPr>
              <w:t>48,157,517  </w:t>
            </w:r>
          </w:p>
        </w:tc>
        <w:tc>
          <w:tcPr>
            <w:tcW w:w="76"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color w:val="3E3935"/>
              </w:rPr>
            </w:pPr>
            <w:r>
              <w:rPr>
                <w:color w:val="3E3935"/>
              </w:rPr>
              <w:t>(1)</w:t>
            </w:r>
          </w:p>
        </w:tc>
        <w:tc>
          <w:tcPr>
            <w:tcW w:w="9921"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Represents the weighted-average exercise price of outstanding options. The weighted-average price does not take RSU and PSU awards into account since they do not have exercise prices. </w:t>
            </w:r>
          </w:p>
        </w:tc>
      </w:tr>
    </w:tbl>
    <w:tbl>
      <w:tblPr>
        <w:tblW w:w="2800" w:type="dxa"/>
        <w:jc w:val="left"/>
        <w:tblInd w:w="0" w:type="dxa"/>
        <w:tblLayout w:type="fixed"/>
        <w:tblCellMar>
          <w:top w:w="0" w:type="dxa"/>
          <w:left w:w="0" w:type="dxa"/>
          <w:bottom w:w="0" w:type="dxa"/>
          <w:right w:w="0" w:type="dxa"/>
        </w:tblCellMar>
      </w:tblPr>
      <w:tblGrid>
        <w:gridCol w:w="305"/>
        <w:gridCol w:w="2495"/>
      </w:tblGrid>
      <w:tr>
        <w:trPr/>
        <w:tc>
          <w:tcPr>
            <w:tcW w:w="305" w:type="dxa"/>
            <w:tcBorders/>
            <w:vAlign w:val="center"/>
          </w:tcPr>
          <w:p>
            <w:pPr>
              <w:pStyle w:val="TableContents"/>
              <w:bidi w:val="0"/>
              <w:spacing w:before="0" w:after="283"/>
              <w:jc w:val="left"/>
              <w:rPr>
                <w:color w:val="3E3935"/>
              </w:rPr>
            </w:pPr>
            <w:r>
              <w:rPr>
                <w:color w:val="3E3935"/>
              </w:rPr>
              <w:t>(2)</w:t>
            </w:r>
          </w:p>
        </w:tc>
        <w:tc>
          <w:tcPr>
            <w:tcW w:w="24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number includes the following: </w:t>
            </w:r>
          </w:p>
        </w:tc>
      </w:tr>
    </w:tbl>
    <w:tbl>
      <w:tblPr>
        <w:tblW w:w="2920" w:type="dxa"/>
        <w:jc w:val="left"/>
        <w:tblInd w:w="0" w:type="dxa"/>
        <w:tblLayout w:type="fixed"/>
        <w:tblCellMar>
          <w:top w:w="0" w:type="dxa"/>
          <w:left w:w="0" w:type="dxa"/>
          <w:bottom w:w="0" w:type="dxa"/>
          <w:right w:w="0" w:type="dxa"/>
        </w:tblCellMar>
      </w:tblPr>
      <w:tblGrid>
        <w:gridCol w:w="75"/>
        <w:gridCol w:w="140"/>
        <w:gridCol w:w="270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i.</w:t>
            </w:r>
          </w:p>
        </w:tc>
        <w:tc>
          <w:tcPr>
            <w:tcW w:w="270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21,755,568 shares represent options. </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3E3935"/>
              </w:rPr>
            </w:pPr>
            <w:r>
              <w:rPr>
                <w:color w:val="3E3935"/>
              </w:rPr>
              <w:t>ii.</w:t>
            </w:r>
          </w:p>
        </w:tc>
        <w:tc>
          <w:tcPr>
            <w:tcW w:w="993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14,684,041 shares represent PSU awards assuming performance is achieved at target. For performance above target, awards may be settled in common stock, cash, or a combination of both. </w:t>
            </w:r>
          </w:p>
        </w:tc>
      </w:tr>
    </w:tbl>
    <w:tbl>
      <w:tblPr>
        <w:tblW w:w="2830" w:type="dxa"/>
        <w:jc w:val="left"/>
        <w:tblInd w:w="0" w:type="dxa"/>
        <w:tblLayout w:type="fixed"/>
        <w:tblCellMar>
          <w:top w:w="0" w:type="dxa"/>
          <w:left w:w="0" w:type="dxa"/>
          <w:bottom w:w="0" w:type="dxa"/>
          <w:right w:w="0" w:type="dxa"/>
        </w:tblCellMar>
      </w:tblPr>
      <w:tblGrid>
        <w:gridCol w:w="75"/>
        <w:gridCol w:w="260"/>
        <w:gridCol w:w="249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3E3935"/>
              </w:rPr>
            </w:pPr>
            <w:r>
              <w:rPr>
                <w:color w:val="3E3935"/>
              </w:rPr>
              <w:t>iii.</w:t>
            </w:r>
          </w:p>
        </w:tc>
        <w:tc>
          <w:tcPr>
            <w:tcW w:w="24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3,465,505 shares represent RSUs. </w:t>
            </w:r>
          </w:p>
        </w:tc>
      </w:tr>
    </w:tbl>
    <w:p>
      <w:pPr>
        <w:pStyle w:val="TextBody"/>
        <w:bidi w:val="0"/>
        <w:spacing w:before="0" w:after="0"/>
        <w:jc w:val="both"/>
        <w:rPr>
          <w:rFonts w:ascii="arial" w:hAnsi="arial"/>
          <w:color w:val="3E3935"/>
          <w:sz w:val="15"/>
        </w:rPr>
      </w:pPr>
      <w:r>
        <w:rPr>
          <w:rFonts w:ascii="arial" w:hAnsi="arial"/>
          <w:color w:val="3E3935"/>
          <w:sz w:val="15"/>
        </w:rPr>
        <w:t xml:space="preserve">The number represents awards outstanding under our 2020 Long-Term Incentive Plan and the Company’s predecessor plans (i.e., the 2014 Long-Term Incentive Plan and the 2017 Long-Term Incentive Plan). The only awards outstanding under the Company’s predecessor plans are vested and unexercised options.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3E3935"/>
              </w:rPr>
            </w:pPr>
            <w:r>
              <w:rPr>
                <w:color w:val="3E3935"/>
              </w:rPr>
              <w:t>(3)</w:t>
            </w:r>
          </w:p>
        </w:tc>
        <w:tc>
          <w:tcPr>
            <w:tcW w:w="9958"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New awards are only granted under our 2020 Long-Term Incentive Plan, effective June 17, 2020, when the plan was approved by our shareholders. To the extent shares remained available for issuance under the Company’s predecessor plans, such shares were only used to settle outstanding awards that were granted under such plans prior to June 17, 2020. As of December 31, 2023, 2,885,331 shares will remain unused under our 2014 Long-Term Incentive Plan and 2,777,138 shares will remain unused under our 2017 Long-Term Incentive Plan and have been excluded. </w:t>
            </w:r>
          </w:p>
        </w:tc>
      </w:tr>
    </w:tbl>
    <w:p>
      <w:pPr>
        <w:pStyle w:val="TextBody"/>
        <w:bidi w:val="0"/>
        <w:spacing w:before="240" w:after="0"/>
        <w:jc w:val="both"/>
        <w:rPr>
          <w:rFonts w:ascii="arial" w:hAnsi="arial"/>
          <w:color w:val="3E3935"/>
          <w:sz w:val="18"/>
        </w:rPr>
      </w:pPr>
      <w:r>
        <w:rPr>
          <w:rFonts w:ascii="arial" w:hAnsi="arial"/>
          <w:color w:val="3E3935"/>
          <w:sz w:val="18"/>
        </w:rPr>
        <w:t xml:space="preserve">The following table provides information on share usage for awards granted and performance awards vested/earned during fiscal year 2023 under the Company’s equity compensation plans.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585"/>
        <w:gridCol w:w="120"/>
        <w:gridCol w:w="60"/>
        <w:gridCol w:w="980"/>
        <w:gridCol w:w="60"/>
        <w:gridCol w:w="120"/>
        <w:gridCol w:w="127"/>
        <w:gridCol w:w="2083"/>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Granted</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21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Performance Awards</w:t>
              <w:br/>
              <w:t>Vested/Earned</w:t>
            </w:r>
          </w:p>
        </w:tc>
        <w:tc>
          <w:tcPr>
            <w:tcW w:w="7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2585" w:type="dxa"/>
            <w:tcBorders/>
            <w:shd w:fill="CCF2F8" w:val="clear"/>
            <w:vAlign w:val="center"/>
          </w:tcPr>
          <w:p>
            <w:pPr>
              <w:pStyle w:val="TableContents"/>
              <w:bidi w:val="0"/>
              <w:spacing w:before="0" w:after="283"/>
              <w:jc w:val="left"/>
              <w:rPr>
                <w:sz w:val="4"/>
                <w:szCs w:val="4"/>
              </w:rPr>
            </w:pPr>
            <w:r>
              <w:rPr>
                <w:sz w:val="4"/>
                <w:szCs w:val="4"/>
              </w:rPr>
            </w:r>
          </w:p>
        </w:tc>
        <w:tc>
          <w:tcPr>
            <w:tcW w:w="1220" w:type="dxa"/>
            <w:gridSpan w:val="4"/>
            <w:tcBorders/>
            <w:shd w:fill="CCF2F8" w:val="clear"/>
            <w:vAlign w:val="center"/>
          </w:tcPr>
          <w:p>
            <w:pPr>
              <w:pStyle w:val="TableContents"/>
              <w:bidi w:val="0"/>
              <w:spacing w:before="0" w:after="283"/>
              <w:jc w:val="left"/>
              <w:rPr>
                <w:sz w:val="4"/>
                <w:szCs w:val="4"/>
              </w:rPr>
            </w:pPr>
            <w:r>
              <w:rPr>
                <w:sz w:val="4"/>
                <w:szCs w:val="4"/>
              </w:rPr>
            </w:r>
          </w:p>
        </w:tc>
        <w:tc>
          <w:tcPr>
            <w:tcW w:w="240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58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RSUs</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2,650,000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7" w:type="dxa"/>
            <w:tcBorders/>
            <w:shd w:fill="CCF2F8" w:val="clear"/>
            <w:vAlign w:val="center"/>
          </w:tcPr>
          <w:p>
            <w:pPr>
              <w:pStyle w:val="TableContents"/>
              <w:bidi w:val="0"/>
              <w:spacing w:before="0" w:after="283"/>
              <w:jc w:val="left"/>
              <w:rPr>
                <w:color w:val="3E3935"/>
              </w:rPr>
            </w:pPr>
            <w:r>
              <w:rPr>
                <w:color w:val="3E3935"/>
              </w:rPr>
              <w:t> </w:t>
            </w:r>
          </w:p>
        </w:tc>
        <w:tc>
          <w:tcPr>
            <w:tcW w:w="2083" w:type="dxa"/>
            <w:tcBorders/>
            <w:shd w:fill="CCF2F8" w:val="clear"/>
            <w:vAlign w:val="center"/>
          </w:tcPr>
          <w:p>
            <w:pPr>
              <w:pStyle w:val="TableContents"/>
              <w:bidi w:val="0"/>
              <w:spacing w:before="0" w:after="283"/>
              <w:jc w:val="right"/>
              <w:rPr>
                <w:color w:val="3E3935"/>
              </w:rPr>
            </w:pPr>
            <w:r>
              <w:rPr>
                <w:color w:val="3E3935"/>
              </w:rPr>
              <w:t>—</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PSUs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980" w:type="dxa"/>
            <w:tcBorders/>
            <w:vAlign w:val="center"/>
          </w:tcPr>
          <w:p>
            <w:pPr>
              <w:pStyle w:val="TableContents"/>
              <w:bidi w:val="0"/>
              <w:spacing w:before="0" w:after="283"/>
              <w:jc w:val="right"/>
              <w:rPr>
                <w:color w:val="3E3935"/>
              </w:rPr>
            </w:pPr>
            <w:r>
              <w:rPr>
                <w:color w:val="3E3935"/>
              </w:rPr>
              <w:t>7,200,000</w:t>
            </w:r>
          </w:p>
        </w:tc>
        <w:tc>
          <w:tcPr>
            <w:tcW w:w="60" w:type="dxa"/>
            <w:tcBorders/>
            <w:vAlign w:val="center"/>
          </w:tcPr>
          <w:p>
            <w:pPr>
              <w:pStyle w:val="TableContents"/>
              <w:bidi w:val="0"/>
              <w:spacing w:before="0" w:after="283"/>
              <w:jc w:val="left"/>
              <w:rPr>
                <w:color w:val="3E3935"/>
              </w:rPr>
            </w:pPr>
            <w:r>
              <w:rPr>
                <w:color w:val="3E3935"/>
              </w:rPr>
              <w:t> </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color w:val="3E3935"/>
              </w:rPr>
            </w:pPr>
            <w:r>
              <w:rPr>
                <w:color w:val="3E3935"/>
              </w:rPr>
              <w:t> </w:t>
            </w:r>
          </w:p>
        </w:tc>
        <w:tc>
          <w:tcPr>
            <w:tcW w:w="2083" w:type="dxa"/>
            <w:tcBorders/>
            <w:vAlign w:val="center"/>
          </w:tcPr>
          <w:p>
            <w:pPr>
              <w:pStyle w:val="TableContents"/>
              <w:bidi w:val="0"/>
              <w:spacing w:before="0" w:after="283"/>
              <w:jc w:val="right"/>
              <w:rPr>
                <w:color w:val="3E3935"/>
              </w:rPr>
            </w:pPr>
            <w:r>
              <w:rPr>
                <w:color w:val="3E3935"/>
              </w:rPr>
              <w:t>6,100,000</w:t>
            </w:r>
          </w:p>
        </w:tc>
        <w:tc>
          <w:tcPr>
            <w:tcW w:w="75" w:type="dxa"/>
            <w:tcBorders/>
            <w:vAlign w:val="center"/>
          </w:tcPr>
          <w:p>
            <w:pPr>
              <w:pStyle w:val="TableContents"/>
              <w:bidi w:val="0"/>
              <w:spacing w:before="0" w:after="283"/>
              <w:jc w:val="left"/>
              <w:rPr>
                <w:color w:val="3E3935"/>
              </w:rPr>
            </w:pPr>
            <w:r>
              <w:rPr>
                <w:color w:val="3E3935"/>
              </w:rPr>
              <w:t> </w:t>
            </w:r>
          </w:p>
        </w:tc>
      </w:tr>
      <w:tr>
        <w:trPr/>
        <w:tc>
          <w:tcPr>
            <w:tcW w:w="2585" w:type="dxa"/>
            <w:tcBorders/>
            <w:shd w:fill="CCF2F8" w:val="clear"/>
            <w:vAlign w:val="center"/>
          </w:tcPr>
          <w:p>
            <w:pPr>
              <w:pStyle w:val="TableContents"/>
              <w:bidi w:val="0"/>
              <w:spacing w:before="0" w:after="283"/>
              <w:jc w:val="left"/>
              <w:rPr>
                <w:sz w:val="4"/>
                <w:szCs w:val="4"/>
              </w:rPr>
            </w:pPr>
            <w:r>
              <w:rPr>
                <w:sz w:val="4"/>
                <w:szCs w:val="4"/>
              </w:rPr>
            </w:r>
          </w:p>
        </w:tc>
        <w:tc>
          <w:tcPr>
            <w:tcW w:w="1220" w:type="dxa"/>
            <w:gridSpan w:val="4"/>
            <w:tcBorders/>
            <w:shd w:fill="CCF2F8" w:val="clear"/>
            <w:vAlign w:val="center"/>
          </w:tcPr>
          <w:p>
            <w:pPr>
              <w:pStyle w:val="TableContents"/>
              <w:bidi w:val="0"/>
              <w:spacing w:before="0" w:after="283"/>
              <w:jc w:val="left"/>
              <w:rPr>
                <w:sz w:val="4"/>
                <w:szCs w:val="4"/>
              </w:rPr>
            </w:pPr>
            <w:r>
              <w:rPr>
                <w:sz w:val="4"/>
                <w:szCs w:val="4"/>
              </w:rPr>
            </w:r>
          </w:p>
        </w:tc>
        <w:tc>
          <w:tcPr>
            <w:tcW w:w="240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58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Time-Based Stock Options</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980" w:type="dxa"/>
            <w:tcBorders/>
            <w:shd w:fill="CCF2F8" w:val="clear"/>
            <w:vAlign w:val="center"/>
          </w:tcPr>
          <w:p>
            <w:pPr>
              <w:pStyle w:val="TableContents"/>
              <w:bidi w:val="0"/>
              <w:spacing w:before="0" w:after="283"/>
              <w:jc w:val="right"/>
              <w:rPr>
                <w:color w:val="3E3935"/>
              </w:rPr>
            </w:pPr>
            <w:r>
              <w:rPr>
                <w:color w:val="3E3935"/>
              </w:rPr>
              <w:t>4,450,000</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120" w:type="dxa"/>
            <w:tcBorders/>
            <w:shd w:fill="CCF2F8" w:val="clear"/>
            <w:vAlign w:val="center"/>
          </w:tcPr>
          <w:p>
            <w:pPr>
              <w:pStyle w:val="TableContents"/>
              <w:bidi w:val="0"/>
              <w:spacing w:before="0" w:after="283"/>
              <w:jc w:val="left"/>
              <w:rPr/>
            </w:pPr>
            <w:r>
              <w:rPr/>
              <w:t>  </w:t>
            </w:r>
          </w:p>
        </w:tc>
        <w:tc>
          <w:tcPr>
            <w:tcW w:w="127" w:type="dxa"/>
            <w:tcBorders/>
            <w:shd w:fill="CCF2F8" w:val="clear"/>
            <w:vAlign w:val="center"/>
          </w:tcPr>
          <w:p>
            <w:pPr>
              <w:pStyle w:val="TableContents"/>
              <w:bidi w:val="0"/>
              <w:spacing w:before="0" w:after="283"/>
              <w:jc w:val="left"/>
              <w:rPr>
                <w:color w:val="3E3935"/>
              </w:rPr>
            </w:pPr>
            <w:r>
              <w:rPr>
                <w:color w:val="3E3935"/>
              </w:rPr>
              <w:t> </w:t>
            </w:r>
          </w:p>
        </w:tc>
        <w:tc>
          <w:tcPr>
            <w:tcW w:w="2083" w:type="dxa"/>
            <w:tcBorders/>
            <w:shd w:fill="CCF2F8" w:val="clear"/>
            <w:vAlign w:val="center"/>
          </w:tcPr>
          <w:p>
            <w:pPr>
              <w:pStyle w:val="TableContents"/>
              <w:bidi w:val="0"/>
              <w:spacing w:before="0" w:after="283"/>
              <w:jc w:val="right"/>
              <w:rPr>
                <w:color w:val="3E3935"/>
              </w:rPr>
            </w:pPr>
            <w:r>
              <w:rPr>
                <w:color w:val="3E3935"/>
              </w:rPr>
              <w:t>—</w:t>
            </w:r>
          </w:p>
        </w:tc>
        <w:tc>
          <w:tcPr>
            <w:tcW w:w="75" w:type="dxa"/>
            <w:tcBorders/>
            <w:shd w:fill="CCF2F8" w:val="clear"/>
            <w:vAlign w:val="center"/>
          </w:tcPr>
          <w:p>
            <w:pPr>
              <w:pStyle w:val="TableContents"/>
              <w:bidi w:val="0"/>
              <w:spacing w:before="0" w:after="283"/>
              <w:jc w:val="left"/>
              <w:rPr>
                <w:color w:val="3E3935"/>
              </w:rPr>
            </w:pPr>
            <w:r>
              <w:rPr>
                <w:color w:val="3E3935"/>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Performance-Based Stock Options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980"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w:t>
            </w:r>
          </w:p>
        </w:tc>
        <w:tc>
          <w:tcPr>
            <w:tcW w:w="6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27"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c>
          <w:tcPr>
            <w:tcW w:w="2083" w:type="dxa"/>
            <w:tcBorders>
              <w:bottom w:val="single" w:sz="6" w:space="0" w:color="0071CE"/>
            </w:tcBorders>
            <w:tcMar>
              <w:bottom w:w="80" w:type="dxa"/>
            </w:tcMar>
            <w:vAlign w:val="center"/>
          </w:tcPr>
          <w:p>
            <w:pPr>
              <w:pStyle w:val="TableContents"/>
              <w:bidi w:val="0"/>
              <w:spacing w:before="0" w:after="283"/>
              <w:jc w:val="right"/>
              <w:rPr>
                <w:color w:val="3E3935"/>
              </w:rPr>
            </w:pPr>
            <w:r>
              <w:rPr>
                <w:color w:val="3E3935"/>
              </w:rPr>
              <w:t>—</w:t>
            </w:r>
          </w:p>
        </w:tc>
        <w:tc>
          <w:tcPr>
            <w:tcW w:w="75"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7606" w:type="dxa"/>
        <w:jc w:val="left"/>
        <w:tblInd w:w="0" w:type="dxa"/>
        <w:tblLayout w:type="fixed"/>
        <w:tblCellMar>
          <w:top w:w="0" w:type="dxa"/>
          <w:left w:w="0" w:type="dxa"/>
          <w:bottom w:w="0" w:type="dxa"/>
          <w:right w:w="0" w:type="dxa"/>
        </w:tblCellMar>
      </w:tblPr>
      <w:tblGrid>
        <w:gridCol w:w="38"/>
        <w:gridCol w:w="60"/>
        <w:gridCol w:w="23"/>
        <w:gridCol w:w="60"/>
        <w:gridCol w:w="459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center"/>
              <w:rPr>
                <w:b/>
                <w:color w:val="3E3935"/>
              </w:rPr>
            </w:pPr>
            <w:r>
              <w:rPr>
                <w:b/>
                <w:color w:val="3E3935"/>
              </w:rPr>
              <w:t>EXECUTIVE COMPENSATION TABLES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77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arial" w:hAnsi="arial"/>
          <w:color w:val="3E3935"/>
          <w:sz w:val="18"/>
        </w:rPr>
      </w:pPr>
      <w:r>
        <w:rPr>
          <w:rFonts w:ascii="arial" w:hAnsi="arial"/>
          <w:color w:val="3E3935"/>
          <w:sz w:val="18"/>
        </w:rPr>
        <w:t xml:space="preserve">[THIS PAGE INTENTIONALLY LEFT BLANK]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32"/>
        </w:rPr>
      </w:pPr>
      <w:bookmarkStart w:id="42" w:name="toc648661_41"/>
      <w:bookmarkEnd w:id="42"/>
      <w:r>
        <w:rPr>
          <w:rFonts w:ascii="arial" w:hAnsi="arial"/>
          <w:b/>
          <w:color w:val="3E3935"/>
          <w:sz w:val="32"/>
        </w:rPr>
        <w:t xml:space="preserve">ITEM NO. 4: </w:t>
      </w:r>
    </w:p>
    <w:p>
      <w:pPr>
        <w:pStyle w:val="TextBody"/>
        <w:bidi w:val="0"/>
        <w:spacing w:before="0" w:after="0"/>
        <w:jc w:val="left"/>
        <w:rPr>
          <w:rFonts w:ascii="arial" w:hAnsi="arial"/>
          <w:color w:val="3E3935"/>
          <w:sz w:val="64"/>
        </w:rPr>
      </w:pPr>
      <w:r>
        <w:rPr>
          <w:rFonts w:ascii="arial" w:hAnsi="arial"/>
          <w:color w:val="3E3935"/>
          <w:sz w:val="64"/>
        </w:rPr>
        <w:t xml:space="preserve">Shareholder Proposal </w:t>
      </w:r>
    </w:p>
    <w:p>
      <w:pPr>
        <w:pStyle w:val="TextBody"/>
        <w:bidi w:val="0"/>
        <w:spacing w:before="0" w:after="0"/>
        <w:jc w:val="left"/>
        <w:rPr>
          <w:rFonts w:ascii="arial" w:hAnsi="arial"/>
          <w:color w:val="3E3935"/>
          <w:sz w:val="40"/>
        </w:rPr>
      </w:pPr>
      <w:r>
        <w:rPr>
          <w:rFonts w:ascii="arial" w:hAnsi="arial"/>
          <w:color w:val="3E3935"/>
          <w:sz w:val="40"/>
        </w:rPr>
        <w:t xml:space="preserve">Requesting a Report on the Use of Child Labor in Connection with the Company’s EV Supply Chain </w:t>
      </w:r>
    </w:p>
    <w:p>
      <w:pPr>
        <w:pStyle w:val="TextBody"/>
        <w:bidi w:val="0"/>
        <w:spacing w:before="240" w:after="0"/>
        <w:jc w:val="both"/>
        <w:rPr>
          <w:rFonts w:ascii="arial" w:hAnsi="arial"/>
          <w:i/>
          <w:color w:val="3E3935"/>
          <w:sz w:val="18"/>
        </w:rPr>
      </w:pPr>
      <w:r>
        <w:rPr>
          <w:rFonts w:ascii="arial" w:hAnsi="arial"/>
          <w:i/>
          <w:color w:val="3E3935"/>
          <w:sz w:val="18"/>
        </w:rPr>
        <w:t xml:space="preserve">New Breeze, 12309 Briarbush Ln, Potomac, MD 20854, owner of 1,411 shares of GM common stock, has given notice that it intends to present for action at the Annual Meeting the following shareholder proposal. The shareholder proponent is responsible for the content of the proposal for which we and our Board accept no responsibility.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both"/>
        <w:rPr>
          <w:rFonts w:ascii="arial" w:hAnsi="arial"/>
          <w:color w:val="3E3935"/>
          <w:sz w:val="18"/>
        </w:rPr>
      </w:pPr>
      <w:r>
        <w:rPr>
          <w:rFonts w:ascii="arial" w:hAnsi="arial"/>
          <w:color w:val="3E3935"/>
          <w:sz w:val="18"/>
        </w:rPr>
        <w:t xml:space="preserve">Resolved: Shareholders request that, beginning in 2025, General Motors Company (“GM”) report annually to shareholders on the extent to which its electric vehicle (“EV”) supply chain may involve, rely, or depend on child labor outside the United States. The report should be done at reasonable cost and omit proprietary and/or confidential business information. </w:t>
      </w:r>
    </w:p>
    <w:p>
      <w:pPr>
        <w:pStyle w:val="TextBody"/>
        <w:bidi w:val="0"/>
        <w:spacing w:before="120" w:after="0"/>
        <w:jc w:val="both"/>
        <w:rPr>
          <w:rFonts w:ascii="arial" w:hAnsi="arial"/>
          <w:color w:val="3E3935"/>
          <w:sz w:val="18"/>
        </w:rPr>
      </w:pPr>
      <w:r>
        <w:rPr>
          <w:rFonts w:ascii="arial" w:hAnsi="arial"/>
          <w:color w:val="3E3935"/>
          <w:sz w:val="18"/>
        </w:rPr>
        <w:t xml:space="preserve">Supporting Statement: Investors are concerned that potential and actual use of child labor in GM’s supply chain poses significant financial, reputational, and legal risks to the company and to investors. Investors seek reliable data to evaluate those risks. </w:t>
      </w:r>
    </w:p>
    <w:p>
      <w:pPr>
        <w:pStyle w:val="TextBody"/>
        <w:bidi w:val="0"/>
        <w:spacing w:before="120" w:after="0"/>
        <w:jc w:val="both"/>
        <w:rPr>
          <w:rFonts w:ascii="arial" w:hAnsi="arial"/>
          <w:color w:val="3E3935"/>
          <w:sz w:val="18"/>
        </w:rPr>
      </w:pPr>
      <w:r>
        <w:rPr>
          <w:rFonts w:ascii="arial" w:hAnsi="arial"/>
          <w:color w:val="3E3935"/>
          <w:sz w:val="18"/>
        </w:rPr>
        <w:t xml:space="preserve">Whereas: Numerous reports have shown that the mining of cobalt, a key component in EV batteries, is heavily dependent on child labor. Findings include: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About 70% of the global cobalt supply comes from the Democratic Republic of the Congo (DRC).1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Cobalt mining in the DRC is often done by children – as many as 40,000 – working in hazardous conditions that pose a serious risk of injury or death.2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Membership in industry initiatives and other civil society organizations does not demonstrate that a company’s cobalt supply chain is free of child labor, since these organizations have limited governmental involvement and lack authority to effectively regulate cobalt production.3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As of 2020, the large majority of cobalt-producing mines in Congo were owned or financed by Chinese companies,4 and the DRC government has made “minimal advancement” in efforts to eliminate child labor.5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As much as 70% of cobalt from the DRC is connected with child labor.6 And virtually all Cobalt from the DRC is tainted by various degrees of abuse including slavery, child labor, forced labor, human trafficking, hazardous and toxic working conditions, meager wages, and incalculable environmental harm.7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Monitoring the situation is difficult due to “aggressive security forces, intense surveillance, the remoteness of many mining areas, distrust of outsiders, and the sheer scale of hundreds of thousands of people engaged in the feverish excavation of cobalt in medieval conditions”.8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use of child labor or forced labor in a company’s supply chain creates a risk of potentially costly lawsuits and government investigations.9 </w:t>
            </w:r>
          </w:p>
        </w:tc>
      </w:tr>
    </w:tbl>
    <w:p>
      <w:pPr>
        <w:pStyle w:val="TextBody"/>
        <w:bidi w:val="0"/>
        <w:spacing w:before="240" w:after="0"/>
        <w:jc w:val="both"/>
        <w:rPr>
          <w:rFonts w:ascii="arial" w:hAnsi="arial"/>
          <w:color w:val="3E3935"/>
          <w:sz w:val="18"/>
        </w:rPr>
      </w:pPr>
      <w:r>
        <w:rPr>
          <w:rFonts w:ascii="arial" w:hAnsi="arial"/>
          <w:color w:val="3E3935"/>
          <w:sz w:val="18"/>
        </w:rPr>
        <w:t xml:space="preserve">GM provides insufficient information on the extent to which its supply chain involves or depends on the direct or indirect exploitation of child labor and other human-rights violations outside the United States. As a result, investors are unable to evaluate whether the company is adequately addressing these material risks. </w:t>
      </w:r>
    </w:p>
    <w:p>
      <w:pPr>
        <w:pStyle w:val="TextBody"/>
        <w:pBdr>
          <w:bottom w:val="single" w:sz="2" w:space="1" w:color="3E3935"/>
        </w:pBdr>
        <w:bidi w:val="0"/>
        <w:spacing w:lineRule="atLeast" w:line="160" w:before="0" w:after="40"/>
        <w:jc w:val="left"/>
        <w:rPr/>
      </w:pPr>
      <w:r>
        <w:rPr/>
        <w:t> </w:t>
      </w:r>
    </w:p>
    <w:tbl>
      <w:tblPr>
        <w:tblW w:w="4660" w:type="dxa"/>
        <w:jc w:val="left"/>
        <w:tblInd w:w="0" w:type="dxa"/>
        <w:tblLayout w:type="fixed"/>
        <w:tblCellMar>
          <w:top w:w="0" w:type="dxa"/>
          <w:left w:w="0" w:type="dxa"/>
          <w:bottom w:w="0" w:type="dxa"/>
          <w:right w:w="0" w:type="dxa"/>
        </w:tblCellMar>
      </w:tblPr>
      <w:tblGrid>
        <w:gridCol w:w="215"/>
        <w:gridCol w:w="4445"/>
      </w:tblGrid>
      <w:tr>
        <w:trPr/>
        <w:tc>
          <w:tcPr>
            <w:tcW w:w="215" w:type="dxa"/>
            <w:tcBorders/>
            <w:vAlign w:val="center"/>
          </w:tcPr>
          <w:p>
            <w:pPr>
              <w:pStyle w:val="TableContents"/>
              <w:bidi w:val="0"/>
              <w:spacing w:before="0" w:after="283"/>
              <w:jc w:val="left"/>
              <w:rPr>
                <w:color w:val="3E3935"/>
              </w:rPr>
            </w:pPr>
            <w:r>
              <w:rPr>
                <w:color w:val="3E3935"/>
              </w:rPr>
              <w:t>1 </w:t>
            </w:r>
          </w:p>
        </w:tc>
        <w:tc>
          <w:tcPr>
            <w:tcW w:w="444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https://pubs.usgs.gov/periodicals/mcs2023/mcs2023-cobalt.pdf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color w:val="3E3935"/>
              </w:rPr>
            </w:pPr>
            <w:r>
              <w:rPr>
                <w:color w:val="3E3935"/>
              </w:rPr>
              <w:t>2 </w:t>
            </w:r>
          </w:p>
        </w:tc>
        <w:tc>
          <w:tcPr>
            <w:tcW w:w="9990" w:type="dxa"/>
            <w:tcBorders/>
            <w:vAlign w:val="center"/>
          </w:tcPr>
          <w:p>
            <w:pPr>
              <w:pStyle w:val="TableContents"/>
              <w:bidi w:val="0"/>
              <w:spacing w:before="0" w:after="0"/>
              <w:jc w:val="left"/>
              <w:rPr>
                <w:rFonts w:ascii="arial" w:hAnsi="arial"/>
                <w:color w:val="3E3935"/>
                <w:sz w:val="15"/>
              </w:rPr>
            </w:pPr>
            <w:r>
              <w:rPr>
                <w:rFonts w:ascii="arial" w:hAnsi="arial"/>
                <w:color w:val="3E3935"/>
                <w:sz w:val="15"/>
              </w:rPr>
              <w:t xml:space="preserve">https://www.dol.gov/agencies/ilab/reports/child-labor/list-of-goods/supply-chains/lithium-ion-batteries; https://www.dol.gov/agencies/ilab/combatting-child-labor-democratic-republic-congos-cobalt-industry-cotecco; https://www.ilo.org/wcmsp5/groups/public/---asia/---ro-bangkok/---ilo-manila/documents/publication/wcms_720743.pdf </w:t>
            </w:r>
          </w:p>
        </w:tc>
      </w:tr>
    </w:tbl>
    <w:tbl>
      <w:tblPr>
        <w:tblW w:w="5800" w:type="dxa"/>
        <w:jc w:val="left"/>
        <w:tblInd w:w="0" w:type="dxa"/>
        <w:tblLayout w:type="fixed"/>
        <w:tblCellMar>
          <w:top w:w="0" w:type="dxa"/>
          <w:left w:w="0" w:type="dxa"/>
          <w:bottom w:w="0" w:type="dxa"/>
          <w:right w:w="0" w:type="dxa"/>
        </w:tblCellMar>
      </w:tblPr>
      <w:tblGrid>
        <w:gridCol w:w="215"/>
        <w:gridCol w:w="5585"/>
      </w:tblGrid>
      <w:tr>
        <w:trPr/>
        <w:tc>
          <w:tcPr>
            <w:tcW w:w="215" w:type="dxa"/>
            <w:tcBorders/>
            <w:vAlign w:val="center"/>
          </w:tcPr>
          <w:p>
            <w:pPr>
              <w:pStyle w:val="TableContents"/>
              <w:bidi w:val="0"/>
              <w:spacing w:before="0" w:after="283"/>
              <w:jc w:val="left"/>
              <w:rPr>
                <w:color w:val="3E3935"/>
              </w:rPr>
            </w:pPr>
            <w:r>
              <w:rPr>
                <w:color w:val="3E3935"/>
              </w:rPr>
              <w:t>3 </w:t>
            </w:r>
          </w:p>
        </w:tc>
        <w:tc>
          <w:tcPr>
            <w:tcW w:w="558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https://www.dol.gov/sites/dolgov/files/Gayar.Arwa.T%40dol.gov/DRC-CO~2.PDF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color w:val="3E3935"/>
              </w:rPr>
            </w:pPr>
            <w:r>
              <w:rPr>
                <w:color w:val="3E3935"/>
              </w:rPr>
              <w:t>4 </w:t>
            </w:r>
          </w:p>
        </w:tc>
        <w:tc>
          <w:tcPr>
            <w:tcW w:w="99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https:www.nytimes.com/2021/11/20/world/china-congo-cobalt.html#:~:text=As%20of%20last%20year%2C%2015,the%20largest%20cobalt%20mines% 20there </w:t>
            </w:r>
          </w:p>
        </w:tc>
      </w:tr>
    </w:tbl>
    <w:tbl>
      <w:tblPr>
        <w:tblW w:w="6715" w:type="dxa"/>
        <w:jc w:val="left"/>
        <w:tblInd w:w="0" w:type="dxa"/>
        <w:tblLayout w:type="fixed"/>
        <w:tblCellMar>
          <w:top w:w="0" w:type="dxa"/>
          <w:left w:w="0" w:type="dxa"/>
          <w:bottom w:w="0" w:type="dxa"/>
          <w:right w:w="0" w:type="dxa"/>
        </w:tblCellMar>
      </w:tblPr>
      <w:tblGrid>
        <w:gridCol w:w="215"/>
        <w:gridCol w:w="6500"/>
      </w:tblGrid>
      <w:tr>
        <w:trPr/>
        <w:tc>
          <w:tcPr>
            <w:tcW w:w="215" w:type="dxa"/>
            <w:tcBorders/>
            <w:vAlign w:val="center"/>
          </w:tcPr>
          <w:p>
            <w:pPr>
              <w:pStyle w:val="TableContents"/>
              <w:bidi w:val="0"/>
              <w:spacing w:before="0" w:after="283"/>
              <w:jc w:val="left"/>
              <w:rPr>
                <w:color w:val="3E3935"/>
              </w:rPr>
            </w:pPr>
            <w:r>
              <w:rPr>
                <w:color w:val="3E3935"/>
              </w:rPr>
              <w:t>5 </w:t>
            </w:r>
          </w:p>
        </w:tc>
        <w:tc>
          <w:tcPr>
            <w:tcW w:w="650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https://www.dol.gov/agencies/ilab/resources/reports/child-labor/congo-democratic-republic-drc </w:t>
            </w:r>
          </w:p>
        </w:tc>
      </w:tr>
    </w:tbl>
    <w:tbl>
      <w:tblPr>
        <w:tblW w:w="9280" w:type="dxa"/>
        <w:jc w:val="left"/>
        <w:tblInd w:w="0" w:type="dxa"/>
        <w:tblLayout w:type="fixed"/>
        <w:tblCellMar>
          <w:top w:w="0" w:type="dxa"/>
          <w:left w:w="0" w:type="dxa"/>
          <w:bottom w:w="0" w:type="dxa"/>
          <w:right w:w="0" w:type="dxa"/>
        </w:tblCellMar>
      </w:tblPr>
      <w:tblGrid>
        <w:gridCol w:w="215"/>
        <w:gridCol w:w="9065"/>
      </w:tblGrid>
      <w:tr>
        <w:trPr/>
        <w:tc>
          <w:tcPr>
            <w:tcW w:w="215" w:type="dxa"/>
            <w:tcBorders/>
            <w:vAlign w:val="center"/>
          </w:tcPr>
          <w:p>
            <w:pPr>
              <w:pStyle w:val="TableContents"/>
              <w:bidi w:val="0"/>
              <w:spacing w:before="0" w:after="283"/>
              <w:jc w:val="left"/>
              <w:rPr>
                <w:color w:val="3E3935"/>
              </w:rPr>
            </w:pPr>
            <w:r>
              <w:rPr>
                <w:color w:val="3E3935"/>
              </w:rPr>
              <w:t>6 </w:t>
            </w:r>
          </w:p>
        </w:tc>
        <w:tc>
          <w:tcPr>
            <w:tcW w:w="906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Siddharth Kara, </w:t>
            </w:r>
            <w:r>
              <w:rPr>
                <w:rFonts w:ascii="arial" w:hAnsi="arial"/>
                <w:i/>
                <w:color w:val="3E3935"/>
                <w:sz w:val="15"/>
              </w:rPr>
              <w:t>Cobalt Red - How the Blood of the Congo Powers Our Lives</w:t>
            </w:r>
            <w:r>
              <w:rPr>
                <w:rFonts w:ascii="arial" w:hAnsi="arial"/>
                <w:color w:val="3E3935"/>
                <w:sz w:val="15"/>
              </w:rPr>
              <w:t xml:space="preserve">, (New York, NY; St. Martin’s Publishing Group, 2023)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color w:val="3E3935"/>
              </w:rPr>
            </w:pPr>
            <w:r>
              <w:rPr>
                <w:color w:val="3E3935"/>
              </w:rPr>
              <w:t>7 </w:t>
            </w:r>
          </w:p>
        </w:tc>
        <w:tc>
          <w:tcPr>
            <w:tcW w:w="9990" w:type="dxa"/>
            <w:tcBorders/>
            <w:vAlign w:val="center"/>
          </w:tcPr>
          <w:p>
            <w:pPr>
              <w:pStyle w:val="TableContents"/>
              <w:bidi w:val="0"/>
              <w:spacing w:before="0" w:after="0"/>
              <w:jc w:val="both"/>
              <w:rPr>
                <w:rFonts w:ascii="arial" w:hAnsi="arial"/>
                <w:color w:val="3E3935"/>
                <w:sz w:val="15"/>
              </w:rPr>
            </w:pPr>
            <w:r>
              <w:rPr>
                <w:rFonts w:ascii="arial" w:hAnsi="arial"/>
                <w:i/>
                <w:color w:val="3E3935"/>
                <w:sz w:val="15"/>
              </w:rPr>
              <w:t>Id.; see also</w:t>
            </w:r>
            <w:r>
              <w:rPr>
                <w:rFonts w:ascii="arial" w:hAnsi="arial"/>
                <w:color w:val="3E3935"/>
                <w:sz w:val="15"/>
              </w:rPr>
              <w:t xml:space="preserve"> https://www.dol.gov/agencies/ilab/reports/child-labor/list-of-goods/supply-chains/lithium-ion-batteries; https://www.dol.gov/sites/dolgov/files/ILAB/child_labor_reports/tda2021/2022-TVPRA-List-of-Goods-v3.pdf; https://www.amnesty.org/en/documents/afr62/3183/2016/en/; </w:t>
            </w:r>
          </w:p>
        </w:tc>
      </w:tr>
    </w:tbl>
    <w:tbl>
      <w:tblPr>
        <w:tblW w:w="9190" w:type="dxa"/>
        <w:jc w:val="left"/>
        <w:tblInd w:w="0" w:type="dxa"/>
        <w:tblLayout w:type="fixed"/>
        <w:tblCellMar>
          <w:top w:w="0" w:type="dxa"/>
          <w:left w:w="0" w:type="dxa"/>
          <w:bottom w:w="0" w:type="dxa"/>
          <w:right w:w="0" w:type="dxa"/>
        </w:tblCellMar>
      </w:tblPr>
      <w:tblGrid>
        <w:gridCol w:w="275"/>
        <w:gridCol w:w="8915"/>
      </w:tblGrid>
      <w:tr>
        <w:trPr/>
        <w:tc>
          <w:tcPr>
            <w:tcW w:w="275" w:type="dxa"/>
            <w:tcBorders/>
            <w:vAlign w:val="center"/>
          </w:tcPr>
          <w:p>
            <w:pPr>
              <w:pStyle w:val="TableContents"/>
              <w:bidi w:val="0"/>
              <w:spacing w:before="0" w:after="283"/>
              <w:jc w:val="left"/>
              <w:rPr>
                <w:color w:val="3E3935"/>
              </w:rPr>
            </w:pPr>
            <w:r>
              <w:rPr>
                <w:color w:val="3E3935"/>
              </w:rPr>
              <w:t> </w:t>
            </w:r>
          </w:p>
        </w:tc>
        <w:tc>
          <w:tcPr>
            <w:tcW w:w="89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https://www.dol.gov/sites/dolgov/files/ILAB/evaluation_type/final_evaluation/DRC-COTECCO-Final-Evaluation-Report-NonPII.pdf </w:t>
            </w:r>
          </w:p>
        </w:tc>
      </w:tr>
    </w:tbl>
    <w:tbl>
      <w:tblPr>
        <w:tblW w:w="2260" w:type="dxa"/>
        <w:jc w:val="left"/>
        <w:tblInd w:w="0" w:type="dxa"/>
        <w:tblLayout w:type="fixed"/>
        <w:tblCellMar>
          <w:top w:w="0" w:type="dxa"/>
          <w:left w:w="0" w:type="dxa"/>
          <w:bottom w:w="0" w:type="dxa"/>
          <w:right w:w="0" w:type="dxa"/>
        </w:tblCellMar>
      </w:tblPr>
      <w:tblGrid>
        <w:gridCol w:w="215"/>
        <w:gridCol w:w="2045"/>
      </w:tblGrid>
      <w:tr>
        <w:trPr/>
        <w:tc>
          <w:tcPr>
            <w:tcW w:w="215" w:type="dxa"/>
            <w:tcBorders/>
            <w:vAlign w:val="center"/>
          </w:tcPr>
          <w:p>
            <w:pPr>
              <w:pStyle w:val="TableContents"/>
              <w:bidi w:val="0"/>
              <w:spacing w:before="0" w:after="283"/>
              <w:jc w:val="left"/>
              <w:rPr>
                <w:color w:val="3E3935"/>
              </w:rPr>
            </w:pPr>
            <w:r>
              <w:rPr>
                <w:color w:val="3E3935"/>
              </w:rPr>
              <w:t>8 </w:t>
            </w:r>
          </w:p>
        </w:tc>
        <w:tc>
          <w:tcPr>
            <w:tcW w:w="204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Siddharth Kara, Cobalt Red. </w:t>
            </w:r>
          </w:p>
        </w:tc>
      </w:tr>
    </w:tbl>
    <w:tbl>
      <w:tblPr>
        <w:tblW w:w="10375" w:type="dxa"/>
        <w:jc w:val="left"/>
        <w:tblInd w:w="0" w:type="dxa"/>
        <w:tblLayout w:type="fixed"/>
        <w:tblCellMar>
          <w:top w:w="0" w:type="dxa"/>
          <w:left w:w="0" w:type="dxa"/>
          <w:bottom w:w="0" w:type="dxa"/>
          <w:right w:w="0" w:type="dxa"/>
        </w:tblCellMar>
      </w:tblPr>
      <w:tblGrid>
        <w:gridCol w:w="215"/>
        <w:gridCol w:w="10160"/>
      </w:tblGrid>
      <w:tr>
        <w:trPr/>
        <w:tc>
          <w:tcPr>
            <w:tcW w:w="215" w:type="dxa"/>
            <w:tcBorders/>
            <w:vAlign w:val="center"/>
          </w:tcPr>
          <w:p>
            <w:pPr>
              <w:pStyle w:val="TableContents"/>
              <w:bidi w:val="0"/>
              <w:spacing w:before="0" w:after="283"/>
              <w:jc w:val="left"/>
              <w:rPr>
                <w:color w:val="3E3935"/>
              </w:rPr>
            </w:pPr>
            <w:r>
              <w:rPr>
                <w:color w:val="3E3935"/>
              </w:rPr>
              <w:t>9 </w:t>
            </w:r>
          </w:p>
        </w:tc>
        <w:tc>
          <w:tcPr>
            <w:tcW w:w="10160" w:type="dxa"/>
            <w:tcBorders/>
            <w:vAlign w:val="center"/>
          </w:tcPr>
          <w:p>
            <w:pPr>
              <w:pStyle w:val="TableContents"/>
              <w:bidi w:val="0"/>
              <w:spacing w:before="0" w:after="0"/>
              <w:jc w:val="left"/>
              <w:rPr>
                <w:rFonts w:ascii="arial" w:hAnsi="arial"/>
                <w:color w:val="3E3935"/>
                <w:sz w:val="15"/>
              </w:rPr>
            </w:pPr>
            <w:r>
              <w:rPr>
                <w:rFonts w:ascii="arial" w:hAnsi="arial"/>
                <w:color w:val="3E3935"/>
                <w:sz w:val="15"/>
              </w:rPr>
              <w:t xml:space="preserve">https://www.business-humanrights.org/en/latest-news/china-association-of-uighurs-files-lawsuit-in-france-against-nike-for-deceptive-business-practices-and-complicity-in-the-concealment-of-forced-labour/; https://www.theguardian.com/global-development/2021/feb/12/mars-nestle-and-hershey-to-face-landmark-child-slavery-lawsuit-in-us; https://www.wsj.com/articles/tesla-gm-among-car-makers-facing-senate-inquiry-into-possible-links-to-uyghur-forced-labor-11671722563 </w:t>
            </w:r>
          </w:p>
        </w:tc>
      </w:tr>
    </w:tbl>
    <w:p>
      <w:pPr>
        <w:pStyle w:val="TextBody"/>
        <w:bidi w:val="0"/>
        <w:spacing w:before="0" w:after="0"/>
        <w:jc w:val="left"/>
        <w:rPr/>
      </w:pPr>
      <w:r>
        <w:rPr/>
        <w:t> </w:t>
      </w:r>
    </w:p>
    <w:tbl>
      <w:tblPr>
        <w:tblW w:w="7741" w:type="dxa"/>
        <w:jc w:val="left"/>
        <w:tblInd w:w="0" w:type="dxa"/>
        <w:tblLayout w:type="fixed"/>
        <w:tblCellMar>
          <w:top w:w="0" w:type="dxa"/>
          <w:left w:w="0" w:type="dxa"/>
          <w:bottom w:w="0" w:type="dxa"/>
          <w:right w:w="0" w:type="dxa"/>
        </w:tblCellMar>
      </w:tblPr>
      <w:tblGrid>
        <w:gridCol w:w="38"/>
        <w:gridCol w:w="60"/>
        <w:gridCol w:w="23"/>
        <w:gridCol w:w="60"/>
        <w:gridCol w:w="473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b/>
                <w:color w:val="3E3935"/>
              </w:rPr>
            </w:pPr>
            <w:r>
              <w:rPr>
                <w:b/>
                <w:color w:val="3E3935"/>
              </w:rPr>
              <w:t>ITEM NO. 4: SHAREHOLDER PROPOSAL</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79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0071CE"/>
          <w:sz w:val="26"/>
        </w:rPr>
        <w:t>The Board of Directors recommends a vote</w:t>
      </w:r>
      <w:r>
        <w:rPr>
          <w:rFonts w:ascii="arial" w:hAnsi="arial"/>
          <w:b/>
          <w:color w:val="3E3935"/>
          <w:sz w:val="26"/>
        </w:rPr>
        <w:t xml:space="preserve"> </w:t>
      </w:r>
      <w:r>
        <w:rPr>
          <w:rFonts w:ascii="arial" w:hAnsi="arial"/>
          <w:b/>
          <w:color w:val="3E3935"/>
          <w:sz w:val="26"/>
          <w:u w:val="single"/>
        </w:rPr>
        <w:t>AGAINST</w:t>
      </w:r>
      <w:r>
        <w:rPr>
          <w:rFonts w:ascii="arial" w:hAnsi="arial"/>
          <w:b/>
          <w:color w:val="3E3935"/>
          <w:sz w:val="26"/>
        </w:rPr>
        <w:t xml:space="preserve"> </w:t>
      </w:r>
      <w:r>
        <w:rPr>
          <w:rFonts w:ascii="arial" w:hAnsi="arial"/>
          <w:b/>
          <w:color w:val="0071CE"/>
          <w:sz w:val="26"/>
        </w:rPr>
        <w:t>this proposal for the following reasons:</w:t>
      </w:r>
      <w:r>
        <w:rPr>
          <w:rFonts w:ascii="arial" w:hAnsi="arial"/>
          <w:b/>
          <w:color w:val="3E3935"/>
          <w:sz w:val="2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GM’s policies and practices reflect our zero-tolerance policy toward child labor and our commitment to building a sustainable and ethical EV supply chain.</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The requested report is unnecessary because GM already follows robust and transparent reporting practices.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120" w:after="0"/>
        <w:jc w:val="both"/>
        <w:rPr>
          <w:rFonts w:ascii="arial" w:hAnsi="arial"/>
          <w:b/>
          <w:i/>
          <w:color w:val="3E3935"/>
          <w:sz w:val="18"/>
        </w:rPr>
      </w:pPr>
      <w:r>
        <w:rPr>
          <w:rFonts w:ascii="arial" w:hAnsi="arial"/>
          <w:b/>
          <w:i/>
          <w:color w:val="3E3935"/>
          <w:sz w:val="18"/>
        </w:rPr>
        <w:t xml:space="preserve">GM’s policies reflect our strong focus on building a sustainable and ethical EV supply chain, and we have a zero-tolerance policy towards child labor. </w:t>
      </w:r>
    </w:p>
    <w:p>
      <w:pPr>
        <w:pStyle w:val="TextBody"/>
        <w:bidi w:val="0"/>
        <w:spacing w:before="120" w:after="0"/>
        <w:jc w:val="both"/>
        <w:rPr>
          <w:rFonts w:ascii="arial" w:hAnsi="arial"/>
          <w:color w:val="3E3935"/>
          <w:sz w:val="18"/>
        </w:rPr>
      </w:pPr>
      <w:r>
        <w:rPr>
          <w:rFonts w:ascii="arial" w:hAnsi="arial"/>
          <w:color w:val="3E3935"/>
          <w:sz w:val="18"/>
        </w:rPr>
        <w:t xml:space="preserve">GM is deeply committed to protecting human rights and has a zero-tolerance policy towards child labor, both of which are underscored across our corporate policies, including our Code of Conduct, “Winning With Integrity,” Supplier Code of Conduct, and Human Rights Policy, and our Anti-Slavery and Human Trafficking Statement. These policies are guided by the principles of the United Nations Global Compact and offer detailed insight on how we approach issues like child labor in our facilities and with our suppliers. In particular, our Human Rights Policy emphasizes our expectation that our suppliers are committed to protecting the rights of children and other vulnerable groups. The Board, through its Governance Committee, receives regular updates on how the Human Rights Policy is being implemented and reviews any remedial actions. </w:t>
      </w:r>
    </w:p>
    <w:p>
      <w:pPr>
        <w:pStyle w:val="TextBody"/>
        <w:bidi w:val="0"/>
        <w:spacing w:before="120" w:after="0"/>
        <w:jc w:val="both"/>
        <w:rPr>
          <w:rFonts w:ascii="arial" w:hAnsi="arial"/>
          <w:color w:val="3E3935"/>
          <w:sz w:val="18"/>
        </w:rPr>
      </w:pPr>
      <w:r>
        <w:rPr>
          <w:rFonts w:ascii="arial" w:hAnsi="arial"/>
          <w:color w:val="3E3935"/>
          <w:sz w:val="18"/>
        </w:rPr>
        <w:t xml:space="preserve">Our contractual relationships with suppliers are premised on our Terms and Conditions, which require compliance with laws and obligate suppliers to avoid child labor or any other form of forced or involuntary labor in the supplying of goods and services to GM, including through any of their subcontractors, vendors, agents, or other associated third parties. In addition, we require our Tier 1 suppliers to abide by the expectations outlined in our Supplier Code of Conduct and to cascade those expectations, including the prohibition of child labor, throughout their own supply chains. </w:t>
      </w:r>
    </w:p>
    <w:p>
      <w:pPr>
        <w:pStyle w:val="TextBody"/>
        <w:bidi w:val="0"/>
        <w:spacing w:before="120" w:after="0"/>
        <w:jc w:val="both"/>
        <w:rPr>
          <w:rFonts w:ascii="arial" w:hAnsi="arial"/>
          <w:b/>
          <w:i/>
          <w:color w:val="3E3935"/>
          <w:sz w:val="18"/>
        </w:rPr>
      </w:pPr>
      <w:r>
        <w:rPr>
          <w:rFonts w:ascii="arial" w:hAnsi="arial"/>
          <w:b/>
          <w:i/>
          <w:color w:val="3E3935"/>
          <w:sz w:val="18"/>
        </w:rPr>
        <w:t xml:space="preserve">GM has established robust processes and practices to help monitor and improve the sustainability and ethical practices within its EV supply chain. </w:t>
      </w:r>
    </w:p>
    <w:p>
      <w:pPr>
        <w:pStyle w:val="TextBody"/>
        <w:bidi w:val="0"/>
        <w:spacing w:before="120" w:after="0"/>
        <w:jc w:val="both"/>
        <w:rPr>
          <w:rFonts w:ascii="arial" w:hAnsi="arial"/>
          <w:color w:val="3E3935"/>
          <w:sz w:val="18"/>
        </w:rPr>
      </w:pPr>
      <w:r>
        <w:rPr>
          <w:rFonts w:ascii="arial" w:hAnsi="arial"/>
          <w:color w:val="3E3935"/>
          <w:sz w:val="18"/>
        </w:rPr>
        <w:t xml:space="preserve">We continuously monitor our supply chain for compliance with laws, our Supplier Code of Conduct, and our policies, including through our annual supplier survey, in which we ask them to confirm that they comply with and cascade GM’s Supplier Code of Conduct or an equivalent code of conduct throughout their own supply chains. If we become aware of allegations of violations of child labor laws, our agreements, our Supplier Code of Conduct, or our policies, we take appropriate action to review and substantiate the allegations. In some cases, we elect to leverage third-party audits for high-risk suppliers or, where we have identified a potential concern, we may also request sub-tier audits. GM representatives also visit supplier sites from time to time to reinforce the seriousness of these issues and to utilize our relationship leverage to prompt timely resolution of any concerns. We hold all suppliers to our high standards and, where circumstances warrant, we are prepared to terminate supplier relationships. GM also requires employees who are frequently at supplier facilities to undertake annual training about identifying child and forced labor and provides external training to improve supplier operations and practices in this area. </w:t>
      </w:r>
    </w:p>
    <w:p>
      <w:pPr>
        <w:pStyle w:val="TextBody"/>
        <w:bidi w:val="0"/>
        <w:spacing w:before="120" w:after="0"/>
        <w:jc w:val="both"/>
        <w:rPr>
          <w:rFonts w:ascii="arial" w:hAnsi="arial"/>
          <w:color w:val="3E3935"/>
          <w:sz w:val="18"/>
        </w:rPr>
      </w:pPr>
      <w:r>
        <w:rPr>
          <w:rFonts w:ascii="arial" w:hAnsi="arial"/>
          <w:color w:val="3E3935"/>
          <w:sz w:val="18"/>
        </w:rPr>
        <w:t xml:space="preserve">Understanding the importance of human rights and sustainability across global supply chains, GM has taken steps to enhance our understanding of, and improve accountability and transparency in, the global supply of certain key minerals through work with third-party organizations. For example, GM is a member of the Initiative for Responsible Mining Assurance. GM also has established contractual relationships with mines and suppliers closer to the origination point of certain minerals to increase supply chain visibility. </w:t>
      </w:r>
    </w:p>
    <w:p>
      <w:pPr>
        <w:pStyle w:val="TextBody"/>
        <w:bidi w:val="0"/>
        <w:spacing w:before="120" w:after="0"/>
        <w:jc w:val="both"/>
        <w:rPr>
          <w:rFonts w:ascii="arial" w:hAnsi="arial"/>
          <w:b/>
          <w:i/>
          <w:color w:val="3E3935"/>
          <w:sz w:val="18"/>
        </w:rPr>
      </w:pPr>
      <w:r>
        <w:rPr>
          <w:rFonts w:ascii="arial" w:hAnsi="arial"/>
          <w:b/>
          <w:i/>
          <w:color w:val="3E3935"/>
          <w:sz w:val="18"/>
        </w:rPr>
        <w:t xml:space="preserve">The requested report is unnecessary because GM already follows robust and transparent reporting practices. </w:t>
      </w:r>
    </w:p>
    <w:p>
      <w:pPr>
        <w:pStyle w:val="TextBody"/>
        <w:bidi w:val="0"/>
        <w:spacing w:before="120" w:after="0"/>
        <w:jc w:val="both"/>
        <w:rPr>
          <w:rFonts w:ascii="arial" w:hAnsi="arial"/>
          <w:sz w:val="18"/>
        </w:rPr>
      </w:pPr>
      <w:r>
        <w:rPr>
          <w:rFonts w:ascii="arial" w:hAnsi="arial"/>
          <w:color w:val="3E3935"/>
          <w:sz w:val="18"/>
        </w:rPr>
        <w:t xml:space="preserve">GM’s approach to supply chain governance, human rights, and compliance are addressed in our annual Sustainability Report, which will be available at </w:t>
      </w:r>
      <w:r>
        <w:rPr>
          <w:rFonts w:ascii="arial" w:hAnsi="arial"/>
          <w:i/>
          <w:color w:val="0071CE"/>
          <w:sz w:val="18"/>
        </w:rPr>
        <w:t>gmsustainability.com</w:t>
      </w:r>
      <w:r>
        <w:rPr>
          <w:rFonts w:ascii="arial" w:hAnsi="arial"/>
          <w:color w:val="3E3935"/>
          <w:sz w:val="18"/>
        </w:rPr>
        <w:t xml:space="preserve">. Specifically, GM makes disclosures aligned with relevant Global Reporting Initiatives and Sustainability Accounting Standards Board standards. Furthermore, GM engages regularly with shareholders and other stakeholders on these and other critical human rights and sustainability issues. GM will continue to provide robust public disclosure on its actions and engagement on human rights matters, including our expanding engagement with providers of raw materials throughout our supply chain. </w:t>
      </w:r>
    </w:p>
    <w:p>
      <w:pPr>
        <w:pStyle w:val="TextBody"/>
        <w:bidi w:val="0"/>
        <w:spacing w:before="120" w:after="0"/>
        <w:jc w:val="left"/>
        <w:rPr>
          <w:rFonts w:ascii="arial" w:hAnsi="arial"/>
          <w:b/>
          <w:color w:val="0071CE"/>
          <w:sz w:val="22"/>
        </w:rPr>
      </w:pPr>
      <w:r>
        <w:rPr>
          <w:rFonts w:ascii="arial" w:hAnsi="arial"/>
          <w:b/>
          <w:color w:val="0071CE"/>
          <w:sz w:val="22"/>
        </w:rPr>
        <w:t xml:space="preserve">Therefore, the Board of Directors recommends a vote </w:t>
      </w:r>
      <w:r>
        <w:rPr>
          <w:rFonts w:ascii="arial" w:hAnsi="arial"/>
          <w:b/>
          <w:color w:val="3E3935"/>
          <w:sz w:val="22"/>
          <w:u w:val="single"/>
        </w:rPr>
        <w:t>AGAINST</w:t>
      </w:r>
      <w:r>
        <w:rPr>
          <w:rFonts w:ascii="arial" w:hAnsi="arial"/>
          <w:b/>
          <w:color w:val="0071CE"/>
          <w:sz w:val="22"/>
        </w:rPr>
        <w:t xml:space="preserve"> this shareholder proposal. </w:t>
      </w:r>
    </w:p>
    <w:p>
      <w:pPr>
        <w:pStyle w:val="TextBody"/>
        <w:bidi w:val="0"/>
        <w:spacing w:before="0" w:after="0"/>
        <w:jc w:val="left"/>
        <w:rPr/>
      </w:pPr>
      <w:r>
        <w:rPr/>
        <w:t> </w:t>
      </w:r>
    </w:p>
    <w:tbl>
      <w:tblPr>
        <w:tblW w:w="5558" w:type="dxa"/>
        <w:jc w:val="left"/>
        <w:tblInd w:w="0" w:type="dxa"/>
        <w:tblLayout w:type="fixed"/>
        <w:tblCellMar>
          <w:top w:w="0" w:type="dxa"/>
          <w:left w:w="0" w:type="dxa"/>
          <w:bottom w:w="0" w:type="dxa"/>
          <w:right w:w="0" w:type="dxa"/>
        </w:tblCellMar>
      </w:tblPr>
      <w:tblGrid>
        <w:gridCol w:w="275"/>
        <w:gridCol w:w="60"/>
        <w:gridCol w:w="192"/>
        <w:gridCol w:w="60"/>
        <w:gridCol w:w="473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80</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54"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83" descr=""/>
                          <pic:cNvPicPr>
                            <a:picLocks noChangeAspect="1" noChangeArrowheads="1"/>
                          </pic:cNvPicPr>
                        </pic:nvPicPr>
                        <pic:blipFill>
                          <a:blip r:embed="rId337"/>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b/>
                <w:color w:val="3E3935"/>
              </w:rPr>
            </w:pPr>
            <w:r>
              <w:rPr>
                <w:b/>
                <w:color w:val="3E3935"/>
              </w:rPr>
              <w:t>ITEM NO. 4: SHAREHOLDER PROPOSAL</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32"/>
        </w:rPr>
      </w:pPr>
      <w:bookmarkStart w:id="43" w:name="toc648661_42"/>
      <w:bookmarkEnd w:id="43"/>
      <w:r>
        <w:rPr>
          <w:rFonts w:ascii="arial" w:hAnsi="arial"/>
          <w:b/>
          <w:color w:val="3E3935"/>
          <w:sz w:val="32"/>
        </w:rPr>
        <w:t xml:space="preserve">ITEM NO. 5: </w:t>
      </w:r>
    </w:p>
    <w:p>
      <w:pPr>
        <w:pStyle w:val="TextBody"/>
        <w:bidi w:val="0"/>
        <w:spacing w:before="0" w:after="0"/>
        <w:jc w:val="left"/>
        <w:rPr>
          <w:rFonts w:ascii="arial" w:hAnsi="arial"/>
          <w:color w:val="3E3935"/>
          <w:sz w:val="64"/>
        </w:rPr>
      </w:pPr>
      <w:r>
        <w:rPr>
          <w:rFonts w:ascii="arial" w:hAnsi="arial"/>
          <w:color w:val="3E3935"/>
          <w:sz w:val="64"/>
        </w:rPr>
        <w:t xml:space="preserve">Shareholder Proposal </w:t>
      </w:r>
    </w:p>
    <w:p>
      <w:pPr>
        <w:pStyle w:val="TextBody"/>
        <w:bidi w:val="0"/>
        <w:spacing w:before="0" w:after="0"/>
        <w:jc w:val="left"/>
        <w:rPr>
          <w:rFonts w:ascii="arial" w:hAnsi="arial"/>
          <w:color w:val="3E3935"/>
          <w:sz w:val="40"/>
        </w:rPr>
      </w:pPr>
      <w:r>
        <w:rPr>
          <w:rFonts w:ascii="arial" w:hAnsi="arial"/>
          <w:color w:val="3E3935"/>
          <w:sz w:val="40"/>
        </w:rPr>
        <w:t xml:space="preserve">To Eliminate EV Targets from Incentive Compensation Programs </w:t>
      </w:r>
    </w:p>
    <w:p>
      <w:pPr>
        <w:pStyle w:val="TextBody"/>
        <w:bidi w:val="0"/>
        <w:spacing w:before="240" w:after="0"/>
        <w:jc w:val="both"/>
        <w:rPr>
          <w:rFonts w:ascii="arial" w:hAnsi="arial"/>
          <w:i/>
          <w:color w:val="3E3935"/>
          <w:sz w:val="18"/>
        </w:rPr>
      </w:pPr>
      <w:r>
        <w:rPr>
          <w:rFonts w:ascii="arial" w:hAnsi="arial"/>
          <w:i/>
          <w:color w:val="3E3935"/>
          <w:sz w:val="18"/>
        </w:rPr>
        <w:t xml:space="preserve">The National Legal and Policy Center, 107 Park Washington Court, Falls Church, Virginia 22046, owner of 100 shares of GM common stock, has given notice that it intends to present for action at the Annual Meeting the following shareholder proposal. The shareholder proponent is responsible for the content of the proposal for which we and our Board accept no responsibility.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both"/>
        <w:rPr>
          <w:rFonts w:ascii="arial" w:hAnsi="arial"/>
          <w:color w:val="3E3935"/>
          <w:sz w:val="18"/>
        </w:rPr>
      </w:pPr>
      <w:r>
        <w:rPr>
          <w:rFonts w:ascii="arial" w:hAnsi="arial"/>
          <w:color w:val="3E3935"/>
          <w:sz w:val="18"/>
        </w:rPr>
        <w:t xml:space="preserve">Whereas: The “scientific consensus”1 2 claims anthropogenically-driven climate change will result in catastrophic impacts to the environment, to the planet, and to humans. Electric vehicles are touted as an essential tool to fight climate change.3 However, research increasingly shows the potential consequences of carbon dioxide emissions have been greatly overstated.4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Corporate climate policy is often guided by the Paris Agreement, which is heavily informed by the Intergovernmental Panel on Climate Change.5 These targets consistently misrepresent the underlying science, are not legally binding, nor legitimized by scientific evidence.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unrealistic targets assume a return to a previous era of unrestrained fossil fuel usage and heavy reliance on coal power.6 This extreme scenario is unlikely since most nations have climate policies in place.7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These apocalyptic predictions have been repeatedly proven false.8 Climate models used to predict future events “may be overly sensitive to carbon dioxide increases and therefore project future warming that is unrealistically high.”9 </w:t>
            </w:r>
          </w:p>
        </w:tc>
      </w:tr>
    </w:tbl>
    <w:p>
      <w:pPr>
        <w:pStyle w:val="TextBody"/>
        <w:bidi w:val="0"/>
        <w:spacing w:before="120" w:after="0"/>
        <w:jc w:val="both"/>
        <w:rPr>
          <w:rFonts w:ascii="arial" w:hAnsi="arial"/>
          <w:color w:val="3E3935"/>
          <w:sz w:val="18"/>
        </w:rPr>
      </w:pPr>
      <w:r>
        <w:rPr>
          <w:rFonts w:ascii="arial" w:hAnsi="arial"/>
          <w:color w:val="3E3935"/>
          <w:sz w:val="18"/>
        </w:rPr>
        <w:t xml:space="preserve">In addition, EVs are plagued by economic, logistical, and ethical downsides,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Pre-tax operating profit for the EV division at General Motors Company (“GM” or “Company”) may not be positive until 2025.10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division relies on politically controversial EV subsidies11 that may be repealed under a new U.S. government in 2025.12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According to an open letter to President Biden signed by almost 4,000 auto dealers, most consumers don’t want EVs.13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Electric vehicle batteries require large quantities of rare-earth elements, which are overwhelmingly owned, mined, and processed by China.14 This presents a risk for U.S. companies that could become political targets of the Chinese Communist Party.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Battery supply chains are tainted by forced labor.15 16 </w:t>
            </w:r>
          </w:p>
        </w:tc>
      </w:tr>
    </w:tbl>
    <w:p>
      <w:pPr>
        <w:pStyle w:val="TextBody"/>
        <w:bidi w:val="0"/>
        <w:spacing w:before="120" w:after="0"/>
        <w:jc w:val="both"/>
        <w:rPr>
          <w:rFonts w:ascii="arial" w:hAnsi="arial"/>
          <w:color w:val="3E3935"/>
          <w:sz w:val="18"/>
        </w:rPr>
      </w:pPr>
      <w:r>
        <w:rPr>
          <w:rFonts w:ascii="arial" w:hAnsi="arial"/>
          <w:color w:val="3E3935"/>
          <w:sz w:val="18"/>
        </w:rPr>
        <w:t xml:space="preserve">Supporting Statement: Considering the evidence that EVs are unnecessary, unprofitable, and unethical, GM’s executive pay incentives are an inefficient deployment of company resources: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According to the Company’s 2023 proxy statement, the Compensation Committee incorporates strategic goals into executive STIPs.17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113" w:type="dxa"/>
        <w:jc w:val="left"/>
        <w:tblInd w:w="0" w:type="dxa"/>
        <w:tblLayout w:type="fixed"/>
        <w:tblCellMar>
          <w:top w:w="0" w:type="dxa"/>
          <w:left w:w="0" w:type="dxa"/>
          <w:bottom w:w="0" w:type="dxa"/>
          <w:right w:w="0" w:type="dxa"/>
        </w:tblCellMar>
      </w:tblPr>
      <w:tblGrid>
        <w:gridCol w:w="75"/>
        <w:gridCol w:w="38"/>
      </w:tblGrid>
      <w:tr>
        <w:trPr/>
        <w:tc>
          <w:tcPr>
            <w:tcW w:w="75" w:type="dxa"/>
            <w:tcBorders/>
            <w:vAlign w:val="center"/>
          </w:tcPr>
          <w:p>
            <w:pPr>
              <w:pStyle w:val="TableContents"/>
              <w:bidi w:val="0"/>
              <w:spacing w:before="0" w:after="283"/>
              <w:jc w:val="left"/>
              <w:rPr>
                <w:color w:val="3E3935"/>
              </w:rPr>
            </w:pPr>
            <w:r>
              <w:rPr>
                <w:color w:val="3E3935"/>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3E3935"/>
        </w:pBdr>
        <w:bidi w:val="0"/>
        <w:spacing w:lineRule="atLeast" w:line="160" w:before="0" w:after="40"/>
        <w:jc w:val="left"/>
        <w:rPr/>
      </w:pPr>
      <w:r>
        <w:rPr/>
        <w:t> </w:t>
      </w:r>
    </w:p>
    <w:tbl>
      <w:tblPr>
        <w:tblW w:w="3370" w:type="dxa"/>
        <w:jc w:val="left"/>
        <w:tblInd w:w="0" w:type="dxa"/>
        <w:tblLayout w:type="fixed"/>
        <w:tblCellMar>
          <w:top w:w="0" w:type="dxa"/>
          <w:left w:w="0" w:type="dxa"/>
          <w:bottom w:w="0" w:type="dxa"/>
          <w:right w:w="0" w:type="dxa"/>
        </w:tblCellMar>
      </w:tblPr>
      <w:tblGrid>
        <w:gridCol w:w="215"/>
        <w:gridCol w:w="3155"/>
      </w:tblGrid>
      <w:tr>
        <w:trPr/>
        <w:tc>
          <w:tcPr>
            <w:tcW w:w="215" w:type="dxa"/>
            <w:tcBorders/>
            <w:vAlign w:val="center"/>
          </w:tcPr>
          <w:p>
            <w:pPr>
              <w:pStyle w:val="TableContents"/>
              <w:bidi w:val="0"/>
              <w:spacing w:before="0" w:after="283"/>
              <w:jc w:val="left"/>
              <w:rPr>
                <w:color w:val="3E3935"/>
              </w:rPr>
            </w:pPr>
            <w:r>
              <w:rPr>
                <w:color w:val="3E3935"/>
              </w:rPr>
              <w:t>1 </w:t>
            </w:r>
          </w:p>
        </w:tc>
        <w:tc>
          <w:tcPr>
            <w:tcW w:w="315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https://www.mdpi.com/2225-1154/11/11/215 </w:t>
            </w:r>
          </w:p>
        </w:tc>
      </w:tr>
    </w:tbl>
    <w:tbl>
      <w:tblPr>
        <w:tblW w:w="7300" w:type="dxa"/>
        <w:jc w:val="left"/>
        <w:tblInd w:w="0" w:type="dxa"/>
        <w:tblLayout w:type="fixed"/>
        <w:tblCellMar>
          <w:top w:w="0" w:type="dxa"/>
          <w:left w:w="0" w:type="dxa"/>
          <w:bottom w:w="0" w:type="dxa"/>
          <w:right w:w="0" w:type="dxa"/>
        </w:tblCellMar>
      </w:tblPr>
      <w:tblGrid>
        <w:gridCol w:w="215"/>
        <w:gridCol w:w="7085"/>
      </w:tblGrid>
      <w:tr>
        <w:trPr/>
        <w:tc>
          <w:tcPr>
            <w:tcW w:w="215" w:type="dxa"/>
            <w:tcBorders/>
            <w:vAlign w:val="center"/>
          </w:tcPr>
          <w:p>
            <w:pPr>
              <w:pStyle w:val="TableContents"/>
              <w:bidi w:val="0"/>
              <w:spacing w:before="0" w:after="283"/>
              <w:jc w:val="left"/>
              <w:rPr>
                <w:color w:val="3E3935"/>
              </w:rPr>
            </w:pPr>
            <w:r>
              <w:rPr>
                <w:color w:val="3E3935"/>
              </w:rPr>
              <w:t>2 </w:t>
            </w:r>
          </w:p>
        </w:tc>
        <w:tc>
          <w:tcPr>
            <w:tcW w:w="708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https://nypost.com/2023/08/09/climate-scientist-admits-the-overwhelming-consensus-is-manufactured/ </w:t>
            </w:r>
          </w:p>
        </w:tc>
      </w:tr>
    </w:tbl>
    <w:tbl>
      <w:tblPr>
        <w:tblW w:w="6460" w:type="dxa"/>
        <w:jc w:val="left"/>
        <w:tblInd w:w="0" w:type="dxa"/>
        <w:tblLayout w:type="fixed"/>
        <w:tblCellMar>
          <w:top w:w="0" w:type="dxa"/>
          <w:left w:w="0" w:type="dxa"/>
          <w:bottom w:w="0" w:type="dxa"/>
          <w:right w:w="0" w:type="dxa"/>
        </w:tblCellMar>
      </w:tblPr>
      <w:tblGrid>
        <w:gridCol w:w="215"/>
        <w:gridCol w:w="6245"/>
      </w:tblGrid>
      <w:tr>
        <w:trPr/>
        <w:tc>
          <w:tcPr>
            <w:tcW w:w="215" w:type="dxa"/>
            <w:tcBorders/>
            <w:vAlign w:val="center"/>
          </w:tcPr>
          <w:p>
            <w:pPr>
              <w:pStyle w:val="TableContents"/>
              <w:bidi w:val="0"/>
              <w:spacing w:before="0" w:after="283"/>
              <w:jc w:val="left"/>
              <w:rPr>
                <w:color w:val="3E3935"/>
              </w:rPr>
            </w:pPr>
            <w:r>
              <w:rPr>
                <w:color w:val="3E3935"/>
              </w:rPr>
              <w:t>3 </w:t>
            </w:r>
          </w:p>
        </w:tc>
        <w:tc>
          <w:tcPr>
            <w:tcW w:w="624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https://www.carbonbrief.org/factcheck-how-electric-vehicles-help-to-tackle-climate-change/ </w:t>
            </w:r>
          </w:p>
        </w:tc>
      </w:tr>
    </w:tbl>
    <w:tbl>
      <w:tblPr>
        <w:tblW w:w="5980" w:type="dxa"/>
        <w:jc w:val="left"/>
        <w:tblInd w:w="0" w:type="dxa"/>
        <w:tblLayout w:type="fixed"/>
        <w:tblCellMar>
          <w:top w:w="0" w:type="dxa"/>
          <w:left w:w="0" w:type="dxa"/>
          <w:bottom w:w="0" w:type="dxa"/>
          <w:right w:w="0" w:type="dxa"/>
        </w:tblCellMar>
      </w:tblPr>
      <w:tblGrid>
        <w:gridCol w:w="215"/>
        <w:gridCol w:w="5765"/>
      </w:tblGrid>
      <w:tr>
        <w:trPr/>
        <w:tc>
          <w:tcPr>
            <w:tcW w:w="215" w:type="dxa"/>
            <w:tcBorders/>
            <w:vAlign w:val="center"/>
          </w:tcPr>
          <w:p>
            <w:pPr>
              <w:pStyle w:val="TableContents"/>
              <w:bidi w:val="0"/>
              <w:spacing w:before="0" w:after="283"/>
              <w:jc w:val="left"/>
              <w:rPr>
                <w:color w:val="3E3935"/>
              </w:rPr>
            </w:pPr>
            <w:r>
              <w:rPr>
                <w:color w:val="3E3935"/>
              </w:rPr>
              <w:t>4 </w:t>
            </w:r>
          </w:p>
        </w:tc>
        <w:tc>
          <w:tcPr>
            <w:tcW w:w="576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 judithcurry.com/2023/03/28/uns-climate-panic-is-more-politics-than-science/ </w:t>
            </w:r>
          </w:p>
        </w:tc>
      </w:tr>
    </w:tbl>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283"/>
              <w:jc w:val="left"/>
              <w:rPr>
                <w:color w:val="3E3935"/>
              </w:rPr>
            </w:pPr>
            <w:r>
              <w:rPr>
                <w:color w:val="3E3935"/>
              </w:rPr>
              <w:t>5 </w:t>
            </w:r>
          </w:p>
        </w:tc>
        <w:tc>
          <w:tcPr>
            <w:tcW w:w="17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https://www.ipcc.ch/sr15/ </w:t>
            </w:r>
          </w:p>
        </w:tc>
      </w:tr>
    </w:tbl>
    <w:tbl>
      <w:tblPr>
        <w:tblW w:w="5170" w:type="dxa"/>
        <w:jc w:val="left"/>
        <w:tblInd w:w="0" w:type="dxa"/>
        <w:tblLayout w:type="fixed"/>
        <w:tblCellMar>
          <w:top w:w="0" w:type="dxa"/>
          <w:left w:w="0" w:type="dxa"/>
          <w:bottom w:w="0" w:type="dxa"/>
          <w:right w:w="0" w:type="dxa"/>
        </w:tblCellMar>
      </w:tblPr>
      <w:tblGrid>
        <w:gridCol w:w="215"/>
        <w:gridCol w:w="4955"/>
      </w:tblGrid>
      <w:tr>
        <w:trPr/>
        <w:tc>
          <w:tcPr>
            <w:tcW w:w="215" w:type="dxa"/>
            <w:tcBorders/>
            <w:vAlign w:val="center"/>
          </w:tcPr>
          <w:p>
            <w:pPr>
              <w:pStyle w:val="TableContents"/>
              <w:bidi w:val="0"/>
              <w:spacing w:before="0" w:after="283"/>
              <w:jc w:val="left"/>
              <w:rPr>
                <w:color w:val="3E3935"/>
              </w:rPr>
            </w:pPr>
            <w:r>
              <w:rPr>
                <w:color w:val="3E3935"/>
              </w:rPr>
              <w:t>6 </w:t>
            </w:r>
          </w:p>
        </w:tc>
        <w:tc>
          <w:tcPr>
            <w:tcW w:w="495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https://www.sciencedirect.com/science/article/pii/S0140988317301226 </w:t>
            </w:r>
          </w:p>
        </w:tc>
      </w:tr>
    </w:tbl>
    <w:tbl>
      <w:tblPr>
        <w:tblW w:w="6430" w:type="dxa"/>
        <w:jc w:val="left"/>
        <w:tblInd w:w="0" w:type="dxa"/>
        <w:tblLayout w:type="fixed"/>
        <w:tblCellMar>
          <w:top w:w="0" w:type="dxa"/>
          <w:left w:w="0" w:type="dxa"/>
          <w:bottom w:w="0" w:type="dxa"/>
          <w:right w:w="0" w:type="dxa"/>
        </w:tblCellMar>
      </w:tblPr>
      <w:tblGrid>
        <w:gridCol w:w="215"/>
        <w:gridCol w:w="6215"/>
      </w:tblGrid>
      <w:tr>
        <w:trPr/>
        <w:tc>
          <w:tcPr>
            <w:tcW w:w="215" w:type="dxa"/>
            <w:tcBorders/>
            <w:vAlign w:val="center"/>
          </w:tcPr>
          <w:p>
            <w:pPr>
              <w:pStyle w:val="TableContents"/>
              <w:bidi w:val="0"/>
              <w:spacing w:before="0" w:after="283"/>
              <w:jc w:val="left"/>
              <w:rPr>
                <w:color w:val="3E3935"/>
              </w:rPr>
            </w:pPr>
            <w:r>
              <w:rPr>
                <w:color w:val="3E3935"/>
              </w:rPr>
              <w:t>7 </w:t>
            </w:r>
          </w:p>
        </w:tc>
        <w:tc>
          <w:tcPr>
            <w:tcW w:w="62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https://www.carbonbrief.org/explainer-the-high-emissions-rcp8-5-global-warming-scenario/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color w:val="3E3935"/>
              </w:rPr>
            </w:pPr>
            <w:r>
              <w:rPr>
                <w:color w:val="3E3935"/>
              </w:rPr>
              <w:t>8 </w:t>
            </w:r>
          </w:p>
        </w:tc>
        <w:tc>
          <w:tcPr>
            <w:tcW w:w="99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https://www.aei.org/carpe-diem/18-spectacularly-wrong-predictions-were-made-around-the-time-of-the-frrst-earth</w:t>
              <w:softHyphen/>
              <w:t xml:space="preserve">day-in-1970-expect-more-this-year/ </w:t>
            </w:r>
          </w:p>
        </w:tc>
      </w:tr>
    </w:tbl>
    <w:tbl>
      <w:tblPr>
        <w:tblW w:w="4990" w:type="dxa"/>
        <w:jc w:val="left"/>
        <w:tblInd w:w="0" w:type="dxa"/>
        <w:tblLayout w:type="fixed"/>
        <w:tblCellMar>
          <w:top w:w="0" w:type="dxa"/>
          <w:left w:w="0" w:type="dxa"/>
          <w:bottom w:w="0" w:type="dxa"/>
          <w:right w:w="0" w:type="dxa"/>
        </w:tblCellMar>
      </w:tblPr>
      <w:tblGrid>
        <w:gridCol w:w="215"/>
        <w:gridCol w:w="4775"/>
      </w:tblGrid>
      <w:tr>
        <w:trPr/>
        <w:tc>
          <w:tcPr>
            <w:tcW w:w="215" w:type="dxa"/>
            <w:tcBorders/>
            <w:vAlign w:val="center"/>
          </w:tcPr>
          <w:p>
            <w:pPr>
              <w:pStyle w:val="TableContents"/>
              <w:bidi w:val="0"/>
              <w:spacing w:before="0" w:after="283"/>
              <w:jc w:val="left"/>
              <w:rPr>
                <w:color w:val="3E3935"/>
              </w:rPr>
            </w:pPr>
            <w:r>
              <w:rPr>
                <w:color w:val="3E3935"/>
              </w:rPr>
              <w:t>9 </w:t>
            </w:r>
          </w:p>
        </w:tc>
        <w:tc>
          <w:tcPr>
            <w:tcW w:w="477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https://www.sciencedaily.com/releases/2020/04/200430113003.htm </w:t>
            </w:r>
          </w:p>
        </w:tc>
      </w:tr>
    </w:tbl>
    <w:tbl>
      <w:tblPr>
        <w:tblW w:w="6010" w:type="dxa"/>
        <w:jc w:val="left"/>
        <w:tblInd w:w="0" w:type="dxa"/>
        <w:tblLayout w:type="fixed"/>
        <w:tblCellMar>
          <w:top w:w="0" w:type="dxa"/>
          <w:left w:w="0" w:type="dxa"/>
          <w:bottom w:w="0" w:type="dxa"/>
          <w:right w:w="0" w:type="dxa"/>
        </w:tblCellMar>
      </w:tblPr>
      <w:tblGrid>
        <w:gridCol w:w="335"/>
        <w:gridCol w:w="5675"/>
      </w:tblGrid>
      <w:tr>
        <w:trPr/>
        <w:tc>
          <w:tcPr>
            <w:tcW w:w="335" w:type="dxa"/>
            <w:tcBorders/>
            <w:vAlign w:val="center"/>
          </w:tcPr>
          <w:p>
            <w:pPr>
              <w:pStyle w:val="TableContents"/>
              <w:bidi w:val="0"/>
              <w:spacing w:before="0" w:after="283"/>
              <w:jc w:val="left"/>
              <w:rPr>
                <w:color w:val="3E3935"/>
              </w:rPr>
            </w:pPr>
            <w:r>
              <w:rPr>
                <w:color w:val="3E3935"/>
              </w:rPr>
              <w:t>10 </w:t>
            </w:r>
          </w:p>
        </w:tc>
        <w:tc>
          <w:tcPr>
            <w:tcW w:w="567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https://www.wsj.com/business/autos/general-motors-finds-itself-in-a-jam-7204ef81 </w:t>
            </w:r>
          </w:p>
        </w:tc>
      </w:tr>
    </w:tbl>
    <w:tbl>
      <w:tblPr>
        <w:tblW w:w="6100" w:type="dxa"/>
        <w:jc w:val="left"/>
        <w:tblInd w:w="0" w:type="dxa"/>
        <w:tblLayout w:type="fixed"/>
        <w:tblCellMar>
          <w:top w:w="0" w:type="dxa"/>
          <w:left w:w="0" w:type="dxa"/>
          <w:bottom w:w="0" w:type="dxa"/>
          <w:right w:w="0" w:type="dxa"/>
        </w:tblCellMar>
      </w:tblPr>
      <w:tblGrid>
        <w:gridCol w:w="335"/>
        <w:gridCol w:w="5765"/>
      </w:tblGrid>
      <w:tr>
        <w:trPr/>
        <w:tc>
          <w:tcPr>
            <w:tcW w:w="335" w:type="dxa"/>
            <w:tcBorders/>
            <w:vAlign w:val="center"/>
          </w:tcPr>
          <w:p>
            <w:pPr>
              <w:pStyle w:val="TableContents"/>
              <w:bidi w:val="0"/>
              <w:spacing w:before="0" w:after="283"/>
              <w:jc w:val="left"/>
              <w:rPr>
                <w:color w:val="3E3935"/>
              </w:rPr>
            </w:pPr>
            <w:r>
              <w:rPr>
                <w:color w:val="3E3935"/>
              </w:rPr>
              <w:t>11 </w:t>
            </w:r>
          </w:p>
        </w:tc>
        <w:tc>
          <w:tcPr>
            <w:tcW w:w="576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https://www.wsj.com/articles/subsidies-supercharge-gms-ev-strategy-11668776501 </w:t>
            </w:r>
          </w:p>
        </w:tc>
      </w:tr>
    </w:tbl>
    <w:tbl>
      <w:tblPr>
        <w:tblW w:w="8080" w:type="dxa"/>
        <w:jc w:val="left"/>
        <w:tblInd w:w="0" w:type="dxa"/>
        <w:tblLayout w:type="fixed"/>
        <w:tblCellMar>
          <w:top w:w="0" w:type="dxa"/>
          <w:left w:w="0" w:type="dxa"/>
          <w:bottom w:w="0" w:type="dxa"/>
          <w:right w:w="0" w:type="dxa"/>
        </w:tblCellMar>
      </w:tblPr>
      <w:tblGrid>
        <w:gridCol w:w="335"/>
        <w:gridCol w:w="7745"/>
      </w:tblGrid>
      <w:tr>
        <w:trPr/>
        <w:tc>
          <w:tcPr>
            <w:tcW w:w="335" w:type="dxa"/>
            <w:tcBorders/>
            <w:vAlign w:val="center"/>
          </w:tcPr>
          <w:p>
            <w:pPr>
              <w:pStyle w:val="TableContents"/>
              <w:bidi w:val="0"/>
              <w:spacing w:before="0" w:after="283"/>
              <w:jc w:val="left"/>
              <w:rPr>
                <w:color w:val="3E3935"/>
              </w:rPr>
            </w:pPr>
            <w:r>
              <w:rPr>
                <w:color w:val="3E3935"/>
              </w:rPr>
              <w:t>12 </w:t>
            </w:r>
          </w:p>
        </w:tc>
        <w:tc>
          <w:tcPr>
            <w:tcW w:w="774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https://www.politico.com/news/2023/08/16/how-a-republican-president-could-hobble-the-climate-law-OO111555 </w:t>
            </w:r>
          </w:p>
        </w:tc>
      </w:tr>
    </w:tbl>
    <w:tbl>
      <w:tblPr>
        <w:tblW w:w="2785" w:type="dxa"/>
        <w:jc w:val="left"/>
        <w:tblInd w:w="0" w:type="dxa"/>
        <w:tblLayout w:type="fixed"/>
        <w:tblCellMar>
          <w:top w:w="0" w:type="dxa"/>
          <w:left w:w="0" w:type="dxa"/>
          <w:bottom w:w="0" w:type="dxa"/>
          <w:right w:w="0" w:type="dxa"/>
        </w:tblCellMar>
      </w:tblPr>
      <w:tblGrid>
        <w:gridCol w:w="335"/>
        <w:gridCol w:w="2450"/>
      </w:tblGrid>
      <w:tr>
        <w:trPr/>
        <w:tc>
          <w:tcPr>
            <w:tcW w:w="335" w:type="dxa"/>
            <w:tcBorders/>
            <w:vAlign w:val="center"/>
          </w:tcPr>
          <w:p>
            <w:pPr>
              <w:pStyle w:val="TableContents"/>
              <w:bidi w:val="0"/>
              <w:spacing w:before="0" w:after="283"/>
              <w:jc w:val="left"/>
              <w:rPr>
                <w:color w:val="3E3935"/>
              </w:rPr>
            </w:pPr>
            <w:r>
              <w:rPr>
                <w:color w:val="3E3935"/>
              </w:rPr>
              <w:t>13 </w:t>
            </w:r>
          </w:p>
        </w:tc>
        <w:tc>
          <w:tcPr>
            <w:tcW w:w="245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https://evvoiceofthecustomer.com/ </w:t>
            </w:r>
          </w:p>
        </w:tc>
      </w:tr>
    </w:tbl>
    <w:tbl>
      <w:tblPr>
        <w:tblW w:w="7105" w:type="dxa"/>
        <w:jc w:val="left"/>
        <w:tblInd w:w="0" w:type="dxa"/>
        <w:tblLayout w:type="fixed"/>
        <w:tblCellMar>
          <w:top w:w="0" w:type="dxa"/>
          <w:left w:w="0" w:type="dxa"/>
          <w:bottom w:w="0" w:type="dxa"/>
          <w:right w:w="0" w:type="dxa"/>
        </w:tblCellMar>
      </w:tblPr>
      <w:tblGrid>
        <w:gridCol w:w="335"/>
        <w:gridCol w:w="6770"/>
      </w:tblGrid>
      <w:tr>
        <w:trPr/>
        <w:tc>
          <w:tcPr>
            <w:tcW w:w="335" w:type="dxa"/>
            <w:tcBorders/>
            <w:vAlign w:val="center"/>
          </w:tcPr>
          <w:p>
            <w:pPr>
              <w:pStyle w:val="TableContents"/>
              <w:bidi w:val="0"/>
              <w:spacing w:before="0" w:after="283"/>
              <w:jc w:val="left"/>
              <w:rPr>
                <w:color w:val="3E3935"/>
              </w:rPr>
            </w:pPr>
            <w:r>
              <w:rPr>
                <w:color w:val="3E3935"/>
              </w:rPr>
              <w:t>14 </w:t>
            </w:r>
          </w:p>
        </w:tc>
        <w:tc>
          <w:tcPr>
            <w:tcW w:w="677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https://www.wsj.com/articles/china-set-to-create-new-state-owned-rare-earths-giant-11638545586 </w:t>
            </w:r>
          </w:p>
        </w:tc>
      </w:tr>
    </w:tbl>
    <w:tbl>
      <w:tblPr>
        <w:tblW w:w="7765" w:type="dxa"/>
        <w:jc w:val="left"/>
        <w:tblInd w:w="0" w:type="dxa"/>
        <w:tblLayout w:type="fixed"/>
        <w:tblCellMar>
          <w:top w:w="0" w:type="dxa"/>
          <w:left w:w="0" w:type="dxa"/>
          <w:bottom w:w="0" w:type="dxa"/>
          <w:right w:w="0" w:type="dxa"/>
        </w:tblCellMar>
      </w:tblPr>
      <w:tblGrid>
        <w:gridCol w:w="335"/>
        <w:gridCol w:w="7430"/>
      </w:tblGrid>
      <w:tr>
        <w:trPr/>
        <w:tc>
          <w:tcPr>
            <w:tcW w:w="335" w:type="dxa"/>
            <w:tcBorders/>
            <w:vAlign w:val="center"/>
          </w:tcPr>
          <w:p>
            <w:pPr>
              <w:pStyle w:val="TableContents"/>
              <w:bidi w:val="0"/>
              <w:spacing w:before="0" w:after="283"/>
              <w:jc w:val="left"/>
              <w:rPr>
                <w:color w:val="3E3935"/>
              </w:rPr>
            </w:pPr>
            <w:r>
              <w:rPr>
                <w:color w:val="3E3935"/>
              </w:rPr>
              <w:t>15 </w:t>
            </w:r>
          </w:p>
        </w:tc>
        <w:tc>
          <w:tcPr>
            <w:tcW w:w="743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https://www.cnbc.com/2022/06/22/signs-of-forced-labor-found-in-chinas-ev-battery-supply-chain-report.html </w:t>
            </w:r>
          </w:p>
        </w:tc>
      </w:tr>
    </w:tbl>
    <w:tbl>
      <w:tblPr>
        <w:tblW w:w="7330" w:type="dxa"/>
        <w:jc w:val="left"/>
        <w:tblInd w:w="0" w:type="dxa"/>
        <w:tblLayout w:type="fixed"/>
        <w:tblCellMar>
          <w:top w:w="0" w:type="dxa"/>
          <w:left w:w="0" w:type="dxa"/>
          <w:bottom w:w="0" w:type="dxa"/>
          <w:right w:w="0" w:type="dxa"/>
        </w:tblCellMar>
      </w:tblPr>
      <w:tblGrid>
        <w:gridCol w:w="335"/>
        <w:gridCol w:w="6995"/>
      </w:tblGrid>
      <w:tr>
        <w:trPr/>
        <w:tc>
          <w:tcPr>
            <w:tcW w:w="335" w:type="dxa"/>
            <w:tcBorders/>
            <w:vAlign w:val="center"/>
          </w:tcPr>
          <w:p>
            <w:pPr>
              <w:pStyle w:val="TableContents"/>
              <w:bidi w:val="0"/>
              <w:spacing w:before="0" w:after="283"/>
              <w:jc w:val="left"/>
              <w:rPr>
                <w:color w:val="3E3935"/>
              </w:rPr>
            </w:pPr>
            <w:r>
              <w:rPr>
                <w:color w:val="3E3935"/>
              </w:rPr>
              <w:t>16 </w:t>
            </w:r>
          </w:p>
        </w:tc>
        <w:tc>
          <w:tcPr>
            <w:tcW w:w="69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https://news.bloomberglaw.com/esg/ev-phone-makers-warned-on-forced-labor-in-cobalt-supply-chain </w:t>
            </w:r>
          </w:p>
        </w:tc>
      </w:tr>
    </w:tbl>
    <w:tbl>
      <w:tblPr>
        <w:tblW w:w="5665" w:type="dxa"/>
        <w:jc w:val="left"/>
        <w:tblInd w:w="0" w:type="dxa"/>
        <w:tblLayout w:type="fixed"/>
        <w:tblCellMar>
          <w:top w:w="0" w:type="dxa"/>
          <w:left w:w="0" w:type="dxa"/>
          <w:bottom w:w="0" w:type="dxa"/>
          <w:right w:w="0" w:type="dxa"/>
        </w:tblCellMar>
      </w:tblPr>
      <w:tblGrid>
        <w:gridCol w:w="335"/>
        <w:gridCol w:w="5330"/>
      </w:tblGrid>
      <w:tr>
        <w:trPr/>
        <w:tc>
          <w:tcPr>
            <w:tcW w:w="335" w:type="dxa"/>
            <w:tcBorders/>
            <w:vAlign w:val="center"/>
          </w:tcPr>
          <w:p>
            <w:pPr>
              <w:pStyle w:val="TableContents"/>
              <w:bidi w:val="0"/>
              <w:spacing w:before="0" w:after="283"/>
              <w:jc w:val="left"/>
              <w:rPr>
                <w:color w:val="3E3935"/>
              </w:rPr>
            </w:pPr>
            <w:r>
              <w:rPr>
                <w:color w:val="3E3935"/>
              </w:rPr>
              <w:t>17 </w:t>
            </w:r>
          </w:p>
        </w:tc>
        <w:tc>
          <w:tcPr>
            <w:tcW w:w="533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https://investor.gm.com/static-files/b64a3a95-3f28-41e5-b43f-afc8a50c7ce6 </w:t>
            </w:r>
          </w:p>
        </w:tc>
      </w:tr>
    </w:tbl>
    <w:p>
      <w:pPr>
        <w:pStyle w:val="TextBody"/>
        <w:bidi w:val="0"/>
        <w:spacing w:before="0" w:after="0"/>
        <w:jc w:val="left"/>
        <w:rPr/>
      </w:pPr>
      <w:r>
        <w:rPr/>
        <w:t> </w:t>
      </w:r>
    </w:p>
    <w:tbl>
      <w:tblPr>
        <w:tblW w:w="7741" w:type="dxa"/>
        <w:jc w:val="left"/>
        <w:tblInd w:w="0" w:type="dxa"/>
        <w:tblLayout w:type="fixed"/>
        <w:tblCellMar>
          <w:top w:w="0" w:type="dxa"/>
          <w:left w:w="0" w:type="dxa"/>
          <w:bottom w:w="0" w:type="dxa"/>
          <w:right w:w="0" w:type="dxa"/>
        </w:tblCellMar>
      </w:tblPr>
      <w:tblGrid>
        <w:gridCol w:w="38"/>
        <w:gridCol w:w="60"/>
        <w:gridCol w:w="23"/>
        <w:gridCol w:w="60"/>
        <w:gridCol w:w="473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b/>
                <w:color w:val="3E3935"/>
              </w:rPr>
            </w:pPr>
            <w:r>
              <w:rPr>
                <w:b/>
                <w:color w:val="3E3935"/>
              </w:rPr>
              <w:t>ITEM NO. 5: SHAREHOLDER PROPOSAL</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81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Company’s strategic goals align with its vision of “zero crashes, zero emissions, and zero congestion.” These targets include: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color w:val="3E3935"/>
              </w:rPr>
            </w:pPr>
            <w:r>
              <w:rPr>
                <w:color w:val="3E3935"/>
              </w:rPr>
              <w:t>“</w:t>
            </w:r>
            <w:r>
              <w:rPr>
                <w:rFonts w:ascii="arial" w:hAnsi="arial"/>
                <w:color w:val="3E3935"/>
                <w:sz w:val="18"/>
              </w:rPr>
              <w:t xml:space="preserve">Maximizing our EV opportunity through scale and cost optimization by expanding manufacturing capabilities and operational excellence, while exceeding our financial and structural cost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color w:val="3E3935"/>
              </w:rPr>
            </w:pPr>
            <w:r>
              <w:rPr>
                <w:color w:val="3E3935"/>
              </w:rPr>
              <w:t>“</w:t>
            </w:r>
            <w:r>
              <w:rPr>
                <w:rFonts w:ascii="arial" w:hAnsi="arial"/>
                <w:color w:val="3E3935"/>
                <w:sz w:val="18"/>
              </w:rPr>
              <w:t xml:space="preserve">Reimagining the customer experience, while in pursuit of EV leadership and enhancing human experiences across the GM ecosystem.” </w:t>
            </w:r>
          </w:p>
        </w:tc>
      </w:tr>
    </w:tbl>
    <w:p>
      <w:pPr>
        <w:pStyle w:val="TextBody"/>
        <w:bidi w:val="0"/>
        <w:spacing w:before="120" w:after="0"/>
        <w:jc w:val="both"/>
        <w:rPr>
          <w:rFonts w:ascii="arial" w:hAnsi="arial"/>
          <w:color w:val="3E3935"/>
          <w:sz w:val="18"/>
        </w:rPr>
      </w:pPr>
      <w:r>
        <w:rPr>
          <w:rFonts w:ascii="arial" w:hAnsi="arial"/>
          <w:color w:val="3E3935"/>
          <w:sz w:val="18"/>
        </w:rPr>
        <w:t xml:space="preserve">These pay incentives reduce management’s strategic flexibility. We believe GM’s executives should focus on maximizing financial performance by pleasing customers. GM’s competitors substantially invest to meet demand for </w:t>
      </w:r>
      <w:r>
        <w:rPr>
          <w:rFonts w:ascii="arial" w:hAnsi="arial"/>
          <w:i/>
          <w:color w:val="3E3935"/>
          <w:sz w:val="18"/>
        </w:rPr>
        <w:t>non</w:t>
      </w:r>
      <w:r>
        <w:rPr>
          <w:rFonts w:ascii="arial" w:hAnsi="arial"/>
          <w:color w:val="3E3935"/>
          <w:sz w:val="18"/>
        </w:rPr>
        <w:t xml:space="preserve">-electric vehicles.18 The Company cannot afford to be left behind because of misguided executive pay incentives. </w:t>
      </w:r>
    </w:p>
    <w:p>
      <w:pPr>
        <w:pStyle w:val="TextBody"/>
        <w:bidi w:val="0"/>
        <w:spacing w:before="120" w:after="0"/>
        <w:jc w:val="both"/>
        <w:rPr>
          <w:rFonts w:ascii="arial" w:hAnsi="arial"/>
          <w:color w:val="3E3935"/>
          <w:sz w:val="18"/>
        </w:rPr>
      </w:pPr>
      <w:r>
        <w:rPr>
          <w:rFonts w:ascii="arial" w:hAnsi="arial"/>
          <w:color w:val="3E3935"/>
          <w:sz w:val="18"/>
        </w:rPr>
        <w:t xml:space="preserve">Resolved: Shareholders of the General Motors Company request the Executive Compensation Committee of the Board of Directors to revisit its incentive guidelines for executive pay, to emphasize legitimate fiduciary goals, and to consider eliminating EV production metric goals from compensation inducements. </w:t>
      </w:r>
    </w:p>
    <w:p>
      <w:pPr>
        <w:pStyle w:val="TextBody"/>
        <w:pBdr>
          <w:bottom w:val="single" w:sz="2" w:space="1" w:color="3E3935"/>
        </w:pBdr>
        <w:bidi w:val="0"/>
        <w:spacing w:lineRule="atLeast" w:line="160" w:before="0" w:after="40"/>
        <w:jc w:val="left"/>
        <w:rPr/>
      </w:pPr>
      <w:r>
        <w:rPr/>
        <w:t> </w:t>
      </w:r>
    </w:p>
    <w:tbl>
      <w:tblPr>
        <w:tblW w:w="8230" w:type="dxa"/>
        <w:jc w:val="left"/>
        <w:tblInd w:w="0" w:type="dxa"/>
        <w:tblLayout w:type="fixed"/>
        <w:tblCellMar>
          <w:top w:w="0" w:type="dxa"/>
          <w:left w:w="0" w:type="dxa"/>
          <w:bottom w:w="0" w:type="dxa"/>
          <w:right w:w="0" w:type="dxa"/>
        </w:tblCellMar>
      </w:tblPr>
      <w:tblGrid>
        <w:gridCol w:w="335"/>
        <w:gridCol w:w="7895"/>
      </w:tblGrid>
      <w:tr>
        <w:trPr/>
        <w:tc>
          <w:tcPr>
            <w:tcW w:w="335" w:type="dxa"/>
            <w:tcBorders/>
            <w:vAlign w:val="center"/>
          </w:tcPr>
          <w:p>
            <w:pPr>
              <w:pStyle w:val="TableContents"/>
              <w:bidi w:val="0"/>
              <w:spacing w:before="0" w:after="283"/>
              <w:jc w:val="left"/>
              <w:rPr>
                <w:color w:val="3E3935"/>
              </w:rPr>
            </w:pPr>
            <w:r>
              <w:rPr>
                <w:color w:val="3E3935"/>
              </w:rPr>
              <w:t>18 </w:t>
            </w:r>
          </w:p>
        </w:tc>
        <w:tc>
          <w:tcPr>
            <w:tcW w:w="78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https://www.wsj.com/business/autos/toyota-chairman-says-people-are-finally-seeing-the-reality-about-evs-3 lfl669c </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both"/>
        <w:rPr>
          <w:rFonts w:ascii="arial" w:hAnsi="arial"/>
          <w:b/>
          <w:color w:val="0071CE"/>
          <w:sz w:val="26"/>
        </w:rPr>
      </w:pPr>
      <w:r>
        <w:rPr>
          <w:rFonts w:ascii="arial" w:hAnsi="arial"/>
          <w:b/>
          <w:color w:val="0071CE"/>
          <w:sz w:val="26"/>
        </w:rPr>
        <w:t xml:space="preserve">The Board of Directors recommends a vote </w:t>
      </w:r>
      <w:r>
        <w:rPr>
          <w:rFonts w:ascii="arial" w:hAnsi="arial"/>
          <w:b/>
          <w:color w:val="3E3935"/>
          <w:sz w:val="26"/>
          <w:u w:val="single"/>
        </w:rPr>
        <w:t>AGAINST</w:t>
      </w:r>
      <w:r>
        <w:rPr>
          <w:rFonts w:ascii="arial" w:hAnsi="arial"/>
          <w:b/>
          <w:color w:val="0071CE"/>
          <w:sz w:val="26"/>
        </w:rPr>
        <w:t xml:space="preserve"> this proposal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Global demand for EVs continues to grow, and GM is committed to growing its EV business profitably.</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GM’s executive compensation practices are aligned with its four-pronged strategy: maximizing our winning ICE portfolio, growing our EV business profitability, delivering innovative software and services, and refocusing and relaunching our AV business.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120" w:after="0"/>
        <w:jc w:val="both"/>
        <w:rPr>
          <w:rFonts w:ascii="arial" w:hAnsi="arial"/>
          <w:b/>
          <w:i/>
          <w:color w:val="3E3935"/>
          <w:sz w:val="18"/>
        </w:rPr>
      </w:pPr>
      <w:r>
        <w:rPr>
          <w:rFonts w:ascii="arial" w:hAnsi="arial"/>
          <w:b/>
          <w:i/>
          <w:color w:val="3E3935"/>
          <w:sz w:val="18"/>
        </w:rPr>
        <w:t xml:space="preserve">Demand for EVs continues to grow, making EVs a critical component of our long-term strategy to drive growth and shareholder value. </w:t>
      </w:r>
    </w:p>
    <w:p>
      <w:pPr>
        <w:pStyle w:val="TextBody"/>
        <w:bidi w:val="0"/>
        <w:spacing w:before="120" w:after="0"/>
        <w:jc w:val="both"/>
        <w:rPr>
          <w:rFonts w:ascii="arial" w:hAnsi="arial"/>
          <w:color w:val="3E3935"/>
          <w:sz w:val="18"/>
        </w:rPr>
      </w:pPr>
      <w:r>
        <w:rPr>
          <w:rFonts w:ascii="arial" w:hAnsi="arial"/>
          <w:color w:val="3E3935"/>
          <w:sz w:val="18"/>
        </w:rPr>
        <w:t xml:space="preserve">U.S. sales of EVs surpassed 1 million vehicles for the first time in 2023 and GM saw a 93% year-over-year increase in EV sales in 2023, and many third-party forecasts are predicting another year of record EV sales in 2024. In addition, in China, new energy vehicles (“NEVs”) accounted for more than a quarter of GM’s total deliveries in 2023, and we expect to build upon this number in 2024 with an intensive NEV launch cadence in that region. While the rate of growth of EV adoption may vary in the short run, we expect EV demand to continue to grow as more vehicle options become available and markets continue to build out their charging infrastructure. </w:t>
      </w:r>
    </w:p>
    <w:p>
      <w:pPr>
        <w:pStyle w:val="TextBody"/>
        <w:bidi w:val="0"/>
        <w:spacing w:before="120" w:after="0"/>
        <w:jc w:val="both"/>
        <w:rPr>
          <w:rFonts w:ascii="arial" w:hAnsi="arial"/>
          <w:color w:val="3E3935"/>
          <w:sz w:val="18"/>
        </w:rPr>
      </w:pPr>
      <w:r>
        <w:rPr>
          <w:rFonts w:ascii="arial" w:hAnsi="arial"/>
          <w:color w:val="3E3935"/>
          <w:sz w:val="18"/>
        </w:rPr>
        <w:t xml:space="preserve">The production and profitable sale of EVs is critical to our long-term strategy to drive shareholder value, and we believe it is essential to align management and shareholder interests through our compensation plans as we continue our transition to an all-electric future. </w:t>
      </w:r>
    </w:p>
    <w:p>
      <w:pPr>
        <w:pStyle w:val="TextBody"/>
        <w:bidi w:val="0"/>
        <w:spacing w:before="120" w:after="0"/>
        <w:jc w:val="both"/>
        <w:rPr>
          <w:rFonts w:ascii="arial" w:hAnsi="arial"/>
          <w:b/>
          <w:i/>
          <w:color w:val="3E3935"/>
          <w:sz w:val="18"/>
        </w:rPr>
      </w:pPr>
      <w:r>
        <w:rPr>
          <w:rFonts w:ascii="arial" w:hAnsi="arial"/>
          <w:b/>
          <w:i/>
          <w:color w:val="3E3935"/>
          <w:sz w:val="18"/>
        </w:rPr>
        <w:t xml:space="preserve">GM is committed to growing our EV business profitably. </w:t>
      </w:r>
    </w:p>
    <w:p>
      <w:pPr>
        <w:pStyle w:val="TextBody"/>
        <w:bidi w:val="0"/>
        <w:spacing w:before="120" w:after="0"/>
        <w:jc w:val="both"/>
        <w:rPr>
          <w:rFonts w:ascii="arial" w:hAnsi="arial"/>
          <w:color w:val="3E3935"/>
          <w:sz w:val="18"/>
        </w:rPr>
      </w:pPr>
      <w:r>
        <w:rPr>
          <w:rFonts w:ascii="arial" w:hAnsi="arial"/>
          <w:color w:val="3E3935"/>
          <w:sz w:val="18"/>
        </w:rPr>
        <w:t xml:space="preserve">As one of the four pillars of our strategy, we remain committed to growing our EV business </w:t>
      </w:r>
      <w:r>
        <w:rPr>
          <w:rFonts w:ascii="arial" w:hAnsi="arial"/>
          <w:i/>
          <w:color w:val="3E3935"/>
          <w:sz w:val="18"/>
        </w:rPr>
        <w:t>profitably</w:t>
      </w:r>
      <w:r>
        <w:rPr>
          <w:rFonts w:ascii="arial" w:hAnsi="arial"/>
          <w:color w:val="3E3935"/>
          <w:sz w:val="18"/>
        </w:rPr>
        <w:t xml:space="preserve">. Based on current expectations for EV demand and production growth, strong interest in our vehicles, lower commodity prices, and other factors, we expect our U.S. EV portfolio will become variable profit positive in the second half of this year, and we continue to target low- to mid-single digit EBIT-adjusted margins on our EV portfolio by 2025. </w:t>
      </w:r>
    </w:p>
    <w:p>
      <w:pPr>
        <w:pStyle w:val="TextBody"/>
        <w:bidi w:val="0"/>
        <w:spacing w:before="120" w:after="0"/>
        <w:jc w:val="both"/>
        <w:rPr>
          <w:rFonts w:ascii="arial" w:hAnsi="arial"/>
          <w:color w:val="3E3935"/>
          <w:sz w:val="18"/>
        </w:rPr>
      </w:pPr>
      <w:r>
        <w:rPr>
          <w:rFonts w:ascii="arial" w:hAnsi="arial"/>
          <w:color w:val="3E3935"/>
          <w:sz w:val="18"/>
        </w:rPr>
        <w:t xml:space="preserve">However, if demand conditions change, we’ll take advantage of our manufacturing flexibility in Spring Hill and Ramos Arizpe to build more ICE models and fewer EVs, and we can adjust the mix between different EV products at Factory ZERO. In addition, while we remain committed to an all-electric future, our interim plans include bringing our plug-in hybrid technology to select vehicles in North America. Ultimately, we will follow the customer and build to demand – always with the goal of driving strong shareholder returns. </w:t>
      </w:r>
    </w:p>
    <w:p>
      <w:pPr>
        <w:pStyle w:val="TextBody"/>
        <w:bidi w:val="0"/>
        <w:spacing w:before="120" w:after="0"/>
        <w:jc w:val="left"/>
        <w:rPr>
          <w:rFonts w:ascii="arial" w:hAnsi="arial"/>
          <w:b/>
          <w:i/>
          <w:color w:val="3E3935"/>
          <w:sz w:val="18"/>
        </w:rPr>
      </w:pPr>
      <w:r>
        <w:rPr>
          <w:rFonts w:ascii="arial" w:hAnsi="arial"/>
          <w:b/>
          <w:i/>
          <w:color w:val="3E3935"/>
          <w:sz w:val="18"/>
        </w:rPr>
        <w:t xml:space="preserve">GM’s executive compensation practices are aligned with its strategy. </w:t>
      </w:r>
    </w:p>
    <w:p>
      <w:pPr>
        <w:pStyle w:val="TextBody"/>
        <w:bidi w:val="0"/>
        <w:spacing w:before="120" w:after="0"/>
        <w:jc w:val="both"/>
        <w:rPr>
          <w:rFonts w:ascii="arial" w:hAnsi="arial"/>
          <w:color w:val="3E3935"/>
          <w:sz w:val="18"/>
        </w:rPr>
      </w:pPr>
      <w:r>
        <w:rPr>
          <w:rFonts w:ascii="arial" w:hAnsi="arial"/>
          <w:color w:val="3E3935"/>
          <w:sz w:val="18"/>
        </w:rPr>
        <w:t xml:space="preserve">As we look ahead, the Company’s priorities and commitments are clear: to maximize the opportunities we have with our winning ICE portfolio, grow our EV business, deliver innovative software and services, and refocus and relaunch our AV business. As discussed in the Compensation Discussion &amp; Analysis section of this Proxy Statement, the Board believes it has the right plans in place to motivate, retain, and drive leaders to deliver results that are aligned with our strategy. Our fully independent Executive Compensation Committee works closely with its independent advisor each year to set appropriate metrics for the Company’s incentive compensation programs. The Committee has designed the Company’s short-term incentive plan to incentivize our executive officers to deliver on GM’s four-pronged strategy: ICE vehicles, EVs, software and services, and AVs. </w:t>
      </w:r>
    </w:p>
    <w:p>
      <w:pPr>
        <w:pStyle w:val="TextBody"/>
        <w:bidi w:val="0"/>
        <w:spacing w:before="120" w:after="0"/>
        <w:jc w:val="left"/>
        <w:rPr>
          <w:rFonts w:ascii="arial" w:hAnsi="arial"/>
          <w:b/>
          <w:color w:val="0071CE"/>
          <w:sz w:val="22"/>
        </w:rPr>
      </w:pPr>
      <w:r>
        <w:rPr>
          <w:rFonts w:ascii="arial" w:hAnsi="arial"/>
          <w:b/>
          <w:color w:val="0071CE"/>
          <w:sz w:val="22"/>
        </w:rPr>
        <w:t xml:space="preserve">Therefore, the Board of Directors recommends a vote </w:t>
      </w:r>
      <w:r>
        <w:rPr>
          <w:rFonts w:ascii="arial" w:hAnsi="arial"/>
          <w:b/>
          <w:color w:val="3E3935"/>
          <w:sz w:val="22"/>
          <w:u w:val="single"/>
        </w:rPr>
        <w:t>AGAINST</w:t>
      </w:r>
      <w:r>
        <w:rPr>
          <w:rFonts w:ascii="arial" w:hAnsi="arial"/>
          <w:b/>
          <w:color w:val="0071CE"/>
          <w:sz w:val="22"/>
        </w:rPr>
        <w:t xml:space="preserve"> this shareholder proposal. </w:t>
      </w:r>
    </w:p>
    <w:p>
      <w:pPr>
        <w:pStyle w:val="TextBody"/>
        <w:bidi w:val="0"/>
        <w:spacing w:before="0" w:after="0"/>
        <w:jc w:val="left"/>
        <w:rPr/>
      </w:pPr>
      <w:r>
        <w:rPr/>
        <w:t> </w:t>
      </w:r>
    </w:p>
    <w:tbl>
      <w:tblPr>
        <w:tblW w:w="5558" w:type="dxa"/>
        <w:jc w:val="left"/>
        <w:tblInd w:w="0" w:type="dxa"/>
        <w:tblLayout w:type="fixed"/>
        <w:tblCellMar>
          <w:top w:w="0" w:type="dxa"/>
          <w:left w:w="0" w:type="dxa"/>
          <w:bottom w:w="0" w:type="dxa"/>
          <w:right w:w="0" w:type="dxa"/>
        </w:tblCellMar>
      </w:tblPr>
      <w:tblGrid>
        <w:gridCol w:w="275"/>
        <w:gridCol w:w="60"/>
        <w:gridCol w:w="192"/>
        <w:gridCol w:w="60"/>
        <w:gridCol w:w="473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82</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55"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84" descr=""/>
                          <pic:cNvPicPr>
                            <a:picLocks noChangeAspect="1" noChangeArrowheads="1"/>
                          </pic:cNvPicPr>
                        </pic:nvPicPr>
                        <pic:blipFill>
                          <a:blip r:embed="rId338"/>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b/>
                <w:color w:val="3E3935"/>
              </w:rPr>
            </w:pPr>
            <w:r>
              <w:rPr>
                <w:b/>
                <w:color w:val="3E3935"/>
              </w:rPr>
              <w:t>ITEM NO. 5: SHAREHOLDER PROPOSAL</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32"/>
        </w:rPr>
      </w:pPr>
      <w:bookmarkStart w:id="44" w:name="toc648661_43"/>
      <w:bookmarkEnd w:id="44"/>
      <w:r>
        <w:rPr>
          <w:rFonts w:ascii="arial" w:hAnsi="arial"/>
          <w:b/>
          <w:color w:val="3E3935"/>
          <w:sz w:val="32"/>
        </w:rPr>
        <w:t xml:space="preserve">ITEM NO. 6: </w:t>
      </w:r>
    </w:p>
    <w:p>
      <w:pPr>
        <w:pStyle w:val="TextBody"/>
        <w:bidi w:val="0"/>
        <w:spacing w:before="0" w:after="0"/>
        <w:jc w:val="left"/>
        <w:rPr>
          <w:rFonts w:ascii="arial" w:hAnsi="arial"/>
          <w:color w:val="3E3935"/>
          <w:sz w:val="64"/>
        </w:rPr>
      </w:pPr>
      <w:r>
        <w:rPr>
          <w:rFonts w:ascii="arial" w:hAnsi="arial"/>
          <w:color w:val="3E3935"/>
          <w:sz w:val="64"/>
        </w:rPr>
        <w:t xml:space="preserve">Shareholder Proposal </w:t>
      </w:r>
    </w:p>
    <w:p>
      <w:pPr>
        <w:pStyle w:val="TextBody"/>
        <w:bidi w:val="0"/>
        <w:spacing w:before="0" w:after="0"/>
        <w:jc w:val="left"/>
        <w:rPr>
          <w:rFonts w:ascii="arial" w:hAnsi="arial"/>
          <w:color w:val="3E3935"/>
          <w:sz w:val="40"/>
        </w:rPr>
      </w:pPr>
      <w:r>
        <w:rPr>
          <w:rFonts w:ascii="arial" w:hAnsi="arial"/>
          <w:color w:val="3E3935"/>
          <w:sz w:val="40"/>
        </w:rPr>
        <w:t xml:space="preserve">Requesting a Report on the Company’s Use of Deep-Sea Mined Minerals in its Production and Supply Chains </w:t>
      </w:r>
    </w:p>
    <w:p>
      <w:pPr>
        <w:pStyle w:val="TextBody"/>
        <w:bidi w:val="0"/>
        <w:spacing w:before="240" w:after="0"/>
        <w:jc w:val="both"/>
        <w:rPr>
          <w:rFonts w:ascii="arial" w:hAnsi="arial"/>
          <w:i/>
          <w:color w:val="3E3935"/>
          <w:sz w:val="18"/>
        </w:rPr>
      </w:pPr>
      <w:r>
        <w:rPr>
          <w:rFonts w:ascii="arial" w:hAnsi="arial"/>
          <w:i/>
          <w:color w:val="3E3935"/>
          <w:sz w:val="18"/>
        </w:rPr>
        <w:t xml:space="preserve">The Woodcock Foundation, 1411 Broadway, 16th Fl, New York, NY 10018, owner of 1,016 shares of GM common stock, has given notice that it intends to present for action at the Annual Meeting the following shareholder proposal. The shareholder proponent is responsible for the content of the proposal for which we and our Board accept no responsibility.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both"/>
        <w:rPr>
          <w:rFonts w:ascii="arial" w:hAnsi="arial"/>
          <w:color w:val="3E3935"/>
          <w:sz w:val="18"/>
        </w:rPr>
      </w:pPr>
      <w:r>
        <w:rPr>
          <w:rFonts w:ascii="arial" w:hAnsi="arial"/>
          <w:color w:val="3E3935"/>
          <w:sz w:val="18"/>
        </w:rPr>
        <w:t xml:space="preserve">Whereas: The deep sea contains many of the planet’s intact ecosystems and plays a crucial role in regulating the climate.1 Studies indicate that mining this under explored and complex area for battery-related minerals will create irreversible habitat and ecosystem loss and could permanently destroy invaluable carbon storage.2 </w:t>
      </w:r>
    </w:p>
    <w:p>
      <w:pPr>
        <w:pStyle w:val="TextBody"/>
        <w:bidi w:val="0"/>
        <w:spacing w:before="120" w:after="0"/>
        <w:jc w:val="both"/>
        <w:rPr>
          <w:rFonts w:ascii="arial" w:hAnsi="arial"/>
          <w:color w:val="3E3935"/>
          <w:sz w:val="18"/>
        </w:rPr>
      </w:pPr>
      <w:r>
        <w:rPr>
          <w:rFonts w:ascii="arial" w:hAnsi="arial"/>
          <w:color w:val="3E3935"/>
          <w:sz w:val="18"/>
        </w:rPr>
        <w:t xml:space="preserve">Deep sea mining (DSM) for mineral deposits found in nodules on the seafloor can be devastating to marine ecosystems, even when performed cautiously. Removing nodules removes habitat.3 Dredging obliterates seafloor life and releases sediment plumes laced with toxic metals that poison marine food chains.4 Studies have found that deep-sea organisms are slow-growing and fragile, and habitats may never recover to pre-impact states.5 The likelihood of biodiversity loss associated with DSM jeopardizes fish-based livelihoods and food supplies.6 As importantly, industrial-scale seafloor exploitation could have grave consequences for the ocean’s ability to absorb carbon dioxide and may lead to release of carbon stores.7 </w:t>
      </w:r>
    </w:p>
    <w:p>
      <w:pPr>
        <w:pStyle w:val="TextBody"/>
        <w:bidi w:val="0"/>
        <w:spacing w:before="120" w:after="0"/>
        <w:jc w:val="both"/>
        <w:rPr>
          <w:rFonts w:ascii="arial" w:hAnsi="arial"/>
          <w:color w:val="3E3935"/>
          <w:sz w:val="18"/>
        </w:rPr>
      </w:pPr>
      <w:r>
        <w:rPr>
          <w:rFonts w:ascii="arial" w:hAnsi="arial"/>
          <w:color w:val="3E3935"/>
          <w:sz w:val="18"/>
        </w:rPr>
        <w:t xml:space="preserve">The scientific uncertainty and likely harms of DSM have caused civil society groups, governments, private organizations, and manufacturers to voice deep-seated concerns. Twenty-four governments have established bans, moratoriums, or precautionary pauses on DSM.8 DSM is also at odds with global goals to protect and restore nature, including the Kunming-Montreal Global Biodiversity Framework.9 </w:t>
      </w:r>
    </w:p>
    <w:p>
      <w:pPr>
        <w:pStyle w:val="TextBody"/>
        <w:bidi w:val="0"/>
        <w:spacing w:before="120" w:after="0"/>
        <w:jc w:val="both"/>
        <w:rPr>
          <w:rFonts w:ascii="arial" w:hAnsi="arial"/>
          <w:color w:val="3E3935"/>
          <w:sz w:val="18"/>
        </w:rPr>
      </w:pPr>
      <w:r>
        <w:rPr>
          <w:rFonts w:ascii="arial" w:hAnsi="arial"/>
          <w:color w:val="3E3935"/>
          <w:sz w:val="18"/>
        </w:rPr>
        <w:t xml:space="preserve">Finally, the supply of deep-sea minerals is technologically and financially insecure, making it expensive and risky for automakers to incorporate deep-sea sourced minerals into supply chains.10 </w:t>
      </w:r>
    </w:p>
    <w:p>
      <w:pPr>
        <w:pStyle w:val="TextBody"/>
        <w:bidi w:val="0"/>
        <w:spacing w:before="120" w:after="0"/>
        <w:jc w:val="both"/>
        <w:rPr>
          <w:rFonts w:ascii="arial" w:hAnsi="arial"/>
          <w:color w:val="3E3935"/>
          <w:sz w:val="18"/>
        </w:rPr>
      </w:pPr>
      <w:r>
        <w:rPr>
          <w:rFonts w:ascii="arial" w:hAnsi="arial"/>
          <w:color w:val="3E3935"/>
          <w:sz w:val="18"/>
        </w:rPr>
        <w:t xml:space="preserve">Companies are responding to the significant reputational risks inherent to such a destructive practice. Electric vehicle manufacturers, including BMW, Volvo, Volkswagen, Rivian, and Renault, have signed a global moratorium on deep sea mining, pledging to keep their supply chains deep-sea-mineral-free until scientific findings are sufficient to assess the environmental risks of DSM.11 </w:t>
      </w:r>
    </w:p>
    <w:p>
      <w:pPr>
        <w:pStyle w:val="TextBody"/>
        <w:bidi w:val="0"/>
        <w:spacing w:before="120" w:after="0"/>
        <w:jc w:val="both"/>
        <w:rPr>
          <w:rFonts w:ascii="arial" w:hAnsi="arial"/>
          <w:color w:val="3E3935"/>
          <w:sz w:val="18"/>
        </w:rPr>
      </w:pPr>
      <w:r>
        <w:rPr>
          <w:rFonts w:ascii="arial" w:hAnsi="arial"/>
          <w:color w:val="3E3935"/>
          <w:sz w:val="18"/>
        </w:rPr>
        <w:t xml:space="preserve">Peers’ commitment to a moratorium demonstrates the precautionary principle and the availability of more sustainable methods to obtain minerals. The BMW Group emphasizes that its “sustainability strategy is also relying more on resource-efficient closed-loop material cycles – with the aim of significantly increasing the percentage of secondary material in vehicles.”12 </w:t>
      </w:r>
    </w:p>
    <w:p>
      <w:pPr>
        <w:pStyle w:val="TextBody"/>
        <w:bidi w:val="0"/>
        <w:spacing w:before="120" w:after="0"/>
        <w:jc w:val="both"/>
        <w:rPr>
          <w:rFonts w:ascii="arial" w:hAnsi="arial"/>
          <w:color w:val="3E3935"/>
          <w:sz w:val="18"/>
        </w:rPr>
      </w:pPr>
      <w:r>
        <w:rPr>
          <w:rFonts w:ascii="arial" w:hAnsi="arial"/>
          <w:color w:val="3E3935"/>
          <w:sz w:val="18"/>
        </w:rPr>
        <w:t xml:space="preserve">Unlike its peers, General Motors (GM) has not supported a DSM moratorium or taken a public position on DSM, leaving shareholders concerned that the Company is not addressing the serious reputational, financial, and regulatory risks of DSM.13 By taking a public stance on DSM and deep-sea sourced minerals, GM can assure investors that it is addressing the risks of DSM and practicing responsible sourcing. </w:t>
      </w:r>
    </w:p>
    <w:p>
      <w:pPr>
        <w:pStyle w:val="TextBody"/>
        <w:pBdr>
          <w:bottom w:val="single" w:sz="2" w:space="1" w:color="3E3935"/>
        </w:pBdr>
        <w:bidi w:val="0"/>
        <w:spacing w:lineRule="atLeast" w:line="160" w:before="0" w:after="40"/>
        <w:jc w:val="left"/>
        <w:rPr/>
      </w:pPr>
      <w:r>
        <w:rPr/>
        <w:t> </w:t>
      </w:r>
    </w:p>
    <w:tbl>
      <w:tblPr>
        <w:tblW w:w="4900" w:type="dxa"/>
        <w:jc w:val="left"/>
        <w:tblInd w:w="0" w:type="dxa"/>
        <w:tblLayout w:type="fixed"/>
        <w:tblCellMar>
          <w:top w:w="0" w:type="dxa"/>
          <w:left w:w="0" w:type="dxa"/>
          <w:bottom w:w="0" w:type="dxa"/>
          <w:right w:w="0" w:type="dxa"/>
        </w:tblCellMar>
      </w:tblPr>
      <w:tblGrid>
        <w:gridCol w:w="215"/>
        <w:gridCol w:w="4685"/>
      </w:tblGrid>
      <w:tr>
        <w:trPr/>
        <w:tc>
          <w:tcPr>
            <w:tcW w:w="215" w:type="dxa"/>
            <w:tcBorders/>
            <w:vAlign w:val="center"/>
          </w:tcPr>
          <w:p>
            <w:pPr>
              <w:pStyle w:val="TableContents"/>
              <w:bidi w:val="0"/>
              <w:spacing w:before="0" w:after="283"/>
              <w:jc w:val="left"/>
              <w:rPr>
                <w:color w:val="3E3935"/>
              </w:rPr>
            </w:pPr>
            <w:r>
              <w:rPr>
                <w:color w:val="3E3935"/>
              </w:rPr>
              <w:t>1 </w:t>
            </w:r>
          </w:p>
        </w:tc>
        <w:tc>
          <w:tcPr>
            <w:tcW w:w="468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https://www.frontiersin.org/articles/10.3389/fclim.2023.1169665/full </w:t>
            </w:r>
          </w:p>
        </w:tc>
      </w:tr>
    </w:tbl>
    <w:tbl>
      <w:tblPr>
        <w:tblW w:w="8425" w:type="dxa"/>
        <w:jc w:val="left"/>
        <w:tblInd w:w="0" w:type="dxa"/>
        <w:tblLayout w:type="fixed"/>
        <w:tblCellMar>
          <w:top w:w="0" w:type="dxa"/>
          <w:left w:w="0" w:type="dxa"/>
          <w:bottom w:w="0" w:type="dxa"/>
          <w:right w:w="0" w:type="dxa"/>
        </w:tblCellMar>
      </w:tblPr>
      <w:tblGrid>
        <w:gridCol w:w="215"/>
        <w:gridCol w:w="8210"/>
      </w:tblGrid>
      <w:tr>
        <w:trPr/>
        <w:tc>
          <w:tcPr>
            <w:tcW w:w="215" w:type="dxa"/>
            <w:tcBorders/>
            <w:vAlign w:val="center"/>
          </w:tcPr>
          <w:p>
            <w:pPr>
              <w:pStyle w:val="TableContents"/>
              <w:bidi w:val="0"/>
              <w:spacing w:before="0" w:after="283"/>
              <w:jc w:val="left"/>
              <w:rPr>
                <w:color w:val="3E3935"/>
              </w:rPr>
            </w:pPr>
            <w:r>
              <w:rPr>
                <w:color w:val="3E3935"/>
              </w:rPr>
              <w:t>2 </w:t>
            </w:r>
          </w:p>
        </w:tc>
        <w:tc>
          <w:tcPr>
            <w:tcW w:w="821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https://www.unepfi.org/wordpress/wp-content/uploads/2022/05/Harmful-Marine-Extractives-Deep-Sea-Mining.pdf, p.11 </w:t>
            </w:r>
          </w:p>
        </w:tc>
      </w:tr>
    </w:tbl>
    <w:tbl>
      <w:tblPr>
        <w:tblW w:w="6160" w:type="dxa"/>
        <w:jc w:val="left"/>
        <w:tblInd w:w="0" w:type="dxa"/>
        <w:tblLayout w:type="fixed"/>
        <w:tblCellMar>
          <w:top w:w="0" w:type="dxa"/>
          <w:left w:w="0" w:type="dxa"/>
          <w:bottom w:w="0" w:type="dxa"/>
          <w:right w:w="0" w:type="dxa"/>
        </w:tblCellMar>
      </w:tblPr>
      <w:tblGrid>
        <w:gridCol w:w="215"/>
        <w:gridCol w:w="5945"/>
      </w:tblGrid>
      <w:tr>
        <w:trPr/>
        <w:tc>
          <w:tcPr>
            <w:tcW w:w="215" w:type="dxa"/>
            <w:tcBorders/>
            <w:vAlign w:val="center"/>
          </w:tcPr>
          <w:p>
            <w:pPr>
              <w:pStyle w:val="TableContents"/>
              <w:bidi w:val="0"/>
              <w:spacing w:before="0" w:after="283"/>
              <w:jc w:val="left"/>
              <w:rPr>
                <w:color w:val="3E3935"/>
              </w:rPr>
            </w:pPr>
            <w:r>
              <w:rPr>
                <w:color w:val="3E3935"/>
              </w:rPr>
              <w:t>3 </w:t>
            </w:r>
          </w:p>
        </w:tc>
        <w:tc>
          <w:tcPr>
            <w:tcW w:w="594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https://www.sciencedirect.com/science/article/pii/S0308597X1630495X?via%3Dihub; </w:t>
            </w:r>
          </w:p>
        </w:tc>
      </w:tr>
    </w:tbl>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283"/>
              <w:jc w:val="left"/>
              <w:rPr>
                <w:color w:val="3E3935"/>
              </w:rPr>
            </w:pPr>
            <w:r>
              <w:rPr>
                <w:color w:val="3E3935"/>
              </w:rPr>
              <w:t> </w:t>
            </w:r>
          </w:p>
        </w:tc>
        <w:tc>
          <w:tcPr>
            <w:tcW w:w="374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https://www.nature.com/articles/s41598-021-91703-4 </w:t>
            </w:r>
          </w:p>
        </w:tc>
      </w:tr>
    </w:tbl>
    <w:tbl>
      <w:tblPr>
        <w:tblW w:w="4810" w:type="dxa"/>
        <w:jc w:val="left"/>
        <w:tblInd w:w="0" w:type="dxa"/>
        <w:tblLayout w:type="fixed"/>
        <w:tblCellMar>
          <w:top w:w="0" w:type="dxa"/>
          <w:left w:w="0" w:type="dxa"/>
          <w:bottom w:w="0" w:type="dxa"/>
          <w:right w:w="0" w:type="dxa"/>
        </w:tblCellMar>
      </w:tblPr>
      <w:tblGrid>
        <w:gridCol w:w="215"/>
        <w:gridCol w:w="4595"/>
      </w:tblGrid>
      <w:tr>
        <w:trPr/>
        <w:tc>
          <w:tcPr>
            <w:tcW w:w="215" w:type="dxa"/>
            <w:tcBorders/>
            <w:vAlign w:val="center"/>
          </w:tcPr>
          <w:p>
            <w:pPr>
              <w:pStyle w:val="TableContents"/>
              <w:bidi w:val="0"/>
              <w:spacing w:before="0" w:after="283"/>
              <w:jc w:val="left"/>
              <w:rPr>
                <w:color w:val="3E3935"/>
              </w:rPr>
            </w:pPr>
            <w:r>
              <w:rPr>
                <w:color w:val="3E3935"/>
              </w:rPr>
              <w:t>4 </w:t>
            </w:r>
          </w:p>
        </w:tc>
        <w:tc>
          <w:tcPr>
            <w:tcW w:w="45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https://nhm.openrepository.com/handle/10141/622833, p. 12,13; </w:t>
            </w:r>
          </w:p>
        </w:tc>
      </w:tr>
    </w:tbl>
    <w:tbl>
      <w:tblPr>
        <w:tblW w:w="5245" w:type="dxa"/>
        <w:jc w:val="left"/>
        <w:tblInd w:w="0" w:type="dxa"/>
        <w:tblLayout w:type="fixed"/>
        <w:tblCellMar>
          <w:top w:w="0" w:type="dxa"/>
          <w:left w:w="0" w:type="dxa"/>
          <w:bottom w:w="0" w:type="dxa"/>
          <w:right w:w="0" w:type="dxa"/>
        </w:tblCellMar>
      </w:tblPr>
      <w:tblGrid>
        <w:gridCol w:w="275"/>
        <w:gridCol w:w="4970"/>
      </w:tblGrid>
      <w:tr>
        <w:trPr/>
        <w:tc>
          <w:tcPr>
            <w:tcW w:w="275" w:type="dxa"/>
            <w:tcBorders/>
            <w:vAlign w:val="center"/>
          </w:tcPr>
          <w:p>
            <w:pPr>
              <w:pStyle w:val="TableContents"/>
              <w:bidi w:val="0"/>
              <w:spacing w:before="0" w:after="283"/>
              <w:jc w:val="left"/>
              <w:rPr>
                <w:color w:val="3E3935"/>
              </w:rPr>
            </w:pPr>
            <w:r>
              <w:rPr>
                <w:color w:val="3E3935"/>
              </w:rPr>
              <w:t> </w:t>
            </w:r>
          </w:p>
        </w:tc>
        <w:tc>
          <w:tcPr>
            <w:tcW w:w="497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https://www.sciencedirect.com/science/article/pii/S0308597X18306407 </w:t>
            </w:r>
          </w:p>
        </w:tc>
      </w:tr>
    </w:tbl>
    <w:tbl>
      <w:tblPr>
        <w:tblW w:w="8815" w:type="dxa"/>
        <w:jc w:val="left"/>
        <w:tblInd w:w="0" w:type="dxa"/>
        <w:tblLayout w:type="fixed"/>
        <w:tblCellMar>
          <w:top w:w="0" w:type="dxa"/>
          <w:left w:w="0" w:type="dxa"/>
          <w:bottom w:w="0" w:type="dxa"/>
          <w:right w:w="0" w:type="dxa"/>
        </w:tblCellMar>
      </w:tblPr>
      <w:tblGrid>
        <w:gridCol w:w="215"/>
        <w:gridCol w:w="8600"/>
      </w:tblGrid>
      <w:tr>
        <w:trPr/>
        <w:tc>
          <w:tcPr>
            <w:tcW w:w="215" w:type="dxa"/>
            <w:tcBorders/>
            <w:vAlign w:val="center"/>
          </w:tcPr>
          <w:p>
            <w:pPr>
              <w:pStyle w:val="TableContents"/>
              <w:bidi w:val="0"/>
              <w:spacing w:before="0" w:after="283"/>
              <w:jc w:val="left"/>
              <w:rPr>
                <w:color w:val="3E3935"/>
              </w:rPr>
            </w:pPr>
            <w:r>
              <w:rPr>
                <w:color w:val="3E3935"/>
              </w:rPr>
              <w:t>5 </w:t>
            </w:r>
          </w:p>
        </w:tc>
        <w:tc>
          <w:tcPr>
            <w:tcW w:w="860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https://www.fauna-flora.org/wp-content/uploads/2023/05/fauna-flora-deep-sea-mining-update-report-march-23.pdf, p.17, 26 </w:t>
            </w:r>
          </w:p>
        </w:tc>
      </w:tr>
    </w:tbl>
    <w:tbl>
      <w:tblPr>
        <w:tblW w:w="3955" w:type="dxa"/>
        <w:jc w:val="left"/>
        <w:tblInd w:w="0" w:type="dxa"/>
        <w:tblLayout w:type="fixed"/>
        <w:tblCellMar>
          <w:top w:w="0" w:type="dxa"/>
          <w:left w:w="0" w:type="dxa"/>
          <w:bottom w:w="0" w:type="dxa"/>
          <w:right w:w="0" w:type="dxa"/>
        </w:tblCellMar>
      </w:tblPr>
      <w:tblGrid>
        <w:gridCol w:w="215"/>
        <w:gridCol w:w="3740"/>
      </w:tblGrid>
      <w:tr>
        <w:trPr/>
        <w:tc>
          <w:tcPr>
            <w:tcW w:w="215" w:type="dxa"/>
            <w:tcBorders/>
            <w:vAlign w:val="center"/>
          </w:tcPr>
          <w:p>
            <w:pPr>
              <w:pStyle w:val="TableContents"/>
              <w:bidi w:val="0"/>
              <w:spacing w:before="0" w:after="283"/>
              <w:jc w:val="left"/>
              <w:rPr>
                <w:color w:val="3E3935"/>
              </w:rPr>
            </w:pPr>
            <w:r>
              <w:rPr>
                <w:color w:val="3E3935"/>
              </w:rPr>
              <w:t>6 </w:t>
            </w:r>
          </w:p>
        </w:tc>
        <w:tc>
          <w:tcPr>
            <w:tcW w:w="374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https://www.nature.com/articles/s44183-023-00016-8 </w:t>
            </w:r>
          </w:p>
        </w:tc>
      </w:tr>
    </w:tbl>
    <w:tbl>
      <w:tblPr>
        <w:tblW w:w="4795" w:type="dxa"/>
        <w:jc w:val="left"/>
        <w:tblInd w:w="0" w:type="dxa"/>
        <w:tblLayout w:type="fixed"/>
        <w:tblCellMar>
          <w:top w:w="0" w:type="dxa"/>
          <w:left w:w="0" w:type="dxa"/>
          <w:bottom w:w="0" w:type="dxa"/>
          <w:right w:w="0" w:type="dxa"/>
        </w:tblCellMar>
      </w:tblPr>
      <w:tblGrid>
        <w:gridCol w:w="215"/>
        <w:gridCol w:w="4580"/>
      </w:tblGrid>
      <w:tr>
        <w:trPr/>
        <w:tc>
          <w:tcPr>
            <w:tcW w:w="215" w:type="dxa"/>
            <w:tcBorders/>
            <w:vAlign w:val="center"/>
          </w:tcPr>
          <w:p>
            <w:pPr>
              <w:pStyle w:val="TableContents"/>
              <w:bidi w:val="0"/>
              <w:spacing w:before="0" w:after="283"/>
              <w:jc w:val="left"/>
              <w:rPr>
                <w:color w:val="3E3935"/>
              </w:rPr>
            </w:pPr>
            <w:r>
              <w:rPr>
                <w:color w:val="3E3935"/>
              </w:rPr>
              <w:t>7 </w:t>
            </w:r>
          </w:p>
        </w:tc>
        <w:tc>
          <w:tcPr>
            <w:tcW w:w="458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https://www.frontiersin.org/articles/10.3389/fmars.2020.00165/full </w:t>
            </w:r>
          </w:p>
        </w:tc>
      </w:tr>
    </w:tbl>
    <w:tbl>
      <w:tblPr>
        <w:tblW w:w="6850" w:type="dxa"/>
        <w:jc w:val="left"/>
        <w:tblInd w:w="0" w:type="dxa"/>
        <w:tblLayout w:type="fixed"/>
        <w:tblCellMar>
          <w:top w:w="0" w:type="dxa"/>
          <w:left w:w="0" w:type="dxa"/>
          <w:bottom w:w="0" w:type="dxa"/>
          <w:right w:w="0" w:type="dxa"/>
        </w:tblCellMar>
      </w:tblPr>
      <w:tblGrid>
        <w:gridCol w:w="215"/>
        <w:gridCol w:w="6635"/>
      </w:tblGrid>
      <w:tr>
        <w:trPr/>
        <w:tc>
          <w:tcPr>
            <w:tcW w:w="215" w:type="dxa"/>
            <w:tcBorders/>
            <w:vAlign w:val="center"/>
          </w:tcPr>
          <w:p>
            <w:pPr>
              <w:pStyle w:val="TableContents"/>
              <w:bidi w:val="0"/>
              <w:spacing w:before="0" w:after="283"/>
              <w:jc w:val="left"/>
              <w:rPr>
                <w:color w:val="3E3935"/>
              </w:rPr>
            </w:pPr>
            <w:r>
              <w:rPr>
                <w:color w:val="3E3935"/>
              </w:rPr>
              <w:t>8 </w:t>
            </w:r>
          </w:p>
        </w:tc>
        <w:tc>
          <w:tcPr>
            <w:tcW w:w="66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https://savethehighseas.org/voices-calling-for-a-moratorium-governments-and-parliamentarians/ </w:t>
            </w:r>
          </w:p>
        </w:tc>
      </w:tr>
    </w:tbl>
    <w:tbl>
      <w:tblPr>
        <w:tblW w:w="5950" w:type="dxa"/>
        <w:jc w:val="left"/>
        <w:tblInd w:w="0" w:type="dxa"/>
        <w:tblLayout w:type="fixed"/>
        <w:tblCellMar>
          <w:top w:w="0" w:type="dxa"/>
          <w:left w:w="0" w:type="dxa"/>
          <w:bottom w:w="0" w:type="dxa"/>
          <w:right w:w="0" w:type="dxa"/>
        </w:tblCellMar>
      </w:tblPr>
      <w:tblGrid>
        <w:gridCol w:w="215"/>
        <w:gridCol w:w="5735"/>
      </w:tblGrid>
      <w:tr>
        <w:trPr/>
        <w:tc>
          <w:tcPr>
            <w:tcW w:w="215" w:type="dxa"/>
            <w:tcBorders/>
            <w:vAlign w:val="center"/>
          </w:tcPr>
          <w:p>
            <w:pPr>
              <w:pStyle w:val="TableContents"/>
              <w:bidi w:val="0"/>
              <w:spacing w:before="0" w:after="283"/>
              <w:jc w:val="left"/>
              <w:rPr>
                <w:color w:val="3E3935"/>
              </w:rPr>
            </w:pPr>
            <w:r>
              <w:rPr>
                <w:color w:val="3E3935"/>
              </w:rPr>
              <w:t>9 </w:t>
            </w:r>
          </w:p>
        </w:tc>
        <w:tc>
          <w:tcPr>
            <w:tcW w:w="57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https://planet-tracker.org/wp-content/uploads/2023/06/Deep-Sea-Mining.pdf, p.17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color w:val="3E3935"/>
              </w:rPr>
            </w:pPr>
            <w:r>
              <w:rPr>
                <w:color w:val="3E3935"/>
              </w:rPr>
              <w:t>10 </w:t>
            </w:r>
          </w:p>
        </w:tc>
        <w:tc>
          <w:tcPr>
            <w:tcW w:w="987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https://www.blueclimateinitiative.org/sites/default/files/2023-10/whitepaper.pdf, p.1; https://nautil.us/the-dubious-economics-of-deep-sea-mining-309597/ </w:t>
            </w:r>
          </w:p>
        </w:tc>
      </w:tr>
    </w:tbl>
    <w:tbl>
      <w:tblPr>
        <w:tblW w:w="3940" w:type="dxa"/>
        <w:jc w:val="left"/>
        <w:tblInd w:w="0" w:type="dxa"/>
        <w:tblLayout w:type="fixed"/>
        <w:tblCellMar>
          <w:top w:w="0" w:type="dxa"/>
          <w:left w:w="0" w:type="dxa"/>
          <w:bottom w:w="0" w:type="dxa"/>
          <w:right w:w="0" w:type="dxa"/>
        </w:tblCellMar>
      </w:tblPr>
      <w:tblGrid>
        <w:gridCol w:w="335"/>
        <w:gridCol w:w="3605"/>
      </w:tblGrid>
      <w:tr>
        <w:trPr/>
        <w:tc>
          <w:tcPr>
            <w:tcW w:w="335" w:type="dxa"/>
            <w:tcBorders/>
            <w:vAlign w:val="center"/>
          </w:tcPr>
          <w:p>
            <w:pPr>
              <w:pStyle w:val="TableContents"/>
              <w:bidi w:val="0"/>
              <w:spacing w:before="0" w:after="283"/>
              <w:jc w:val="left"/>
              <w:rPr>
                <w:color w:val="3E3935"/>
              </w:rPr>
            </w:pPr>
            <w:r>
              <w:rPr>
                <w:color w:val="3E3935"/>
              </w:rPr>
              <w:t>11 </w:t>
            </w:r>
          </w:p>
        </w:tc>
        <w:tc>
          <w:tcPr>
            <w:tcW w:w="360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https://www.stopdeepseabedmining.org/endorsers/ </w:t>
            </w:r>
          </w:p>
        </w:tc>
      </w:tr>
    </w:tbl>
    <w:tbl>
      <w:tblPr>
        <w:tblW w:w="7495" w:type="dxa"/>
        <w:jc w:val="left"/>
        <w:tblInd w:w="0" w:type="dxa"/>
        <w:tblLayout w:type="fixed"/>
        <w:tblCellMar>
          <w:top w:w="0" w:type="dxa"/>
          <w:left w:w="0" w:type="dxa"/>
          <w:bottom w:w="0" w:type="dxa"/>
          <w:right w:w="0" w:type="dxa"/>
        </w:tblCellMar>
      </w:tblPr>
      <w:tblGrid>
        <w:gridCol w:w="335"/>
        <w:gridCol w:w="7160"/>
      </w:tblGrid>
      <w:tr>
        <w:trPr/>
        <w:tc>
          <w:tcPr>
            <w:tcW w:w="335" w:type="dxa"/>
            <w:tcBorders/>
            <w:vAlign w:val="center"/>
          </w:tcPr>
          <w:p>
            <w:pPr>
              <w:pStyle w:val="TableContents"/>
              <w:bidi w:val="0"/>
              <w:spacing w:before="0" w:after="283"/>
              <w:jc w:val="left"/>
              <w:rPr>
                <w:color w:val="3E3935"/>
              </w:rPr>
            </w:pPr>
            <w:r>
              <w:rPr>
                <w:color w:val="3E3935"/>
              </w:rPr>
              <w:t>12 </w:t>
            </w:r>
          </w:p>
        </w:tc>
        <w:tc>
          <w:tcPr>
            <w:tcW w:w="716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https://www.press.bmwgroup.com/global/article/detail/T0328790EN/bmw-group-protects-the-deep-seas </w:t>
            </w:r>
          </w:p>
        </w:tc>
      </w:tr>
    </w:tbl>
    <w:tbl>
      <w:tblPr>
        <w:tblW w:w="8545" w:type="dxa"/>
        <w:jc w:val="left"/>
        <w:tblInd w:w="0" w:type="dxa"/>
        <w:tblLayout w:type="fixed"/>
        <w:tblCellMar>
          <w:top w:w="0" w:type="dxa"/>
          <w:left w:w="0" w:type="dxa"/>
          <w:bottom w:w="0" w:type="dxa"/>
          <w:right w:w="0" w:type="dxa"/>
        </w:tblCellMar>
      </w:tblPr>
      <w:tblGrid>
        <w:gridCol w:w="335"/>
        <w:gridCol w:w="8210"/>
      </w:tblGrid>
      <w:tr>
        <w:trPr/>
        <w:tc>
          <w:tcPr>
            <w:tcW w:w="335" w:type="dxa"/>
            <w:tcBorders/>
            <w:vAlign w:val="center"/>
          </w:tcPr>
          <w:p>
            <w:pPr>
              <w:pStyle w:val="TableContents"/>
              <w:bidi w:val="0"/>
              <w:spacing w:before="0" w:after="283"/>
              <w:jc w:val="left"/>
              <w:rPr>
                <w:color w:val="3E3935"/>
              </w:rPr>
            </w:pPr>
            <w:r>
              <w:rPr>
                <w:color w:val="3E3935"/>
              </w:rPr>
              <w:t>13 </w:t>
            </w:r>
          </w:p>
        </w:tc>
        <w:tc>
          <w:tcPr>
            <w:tcW w:w="821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https://www.unepfi.org/wordpress/wp-content/uploads/2022/05/Harmful-Marine-Extractives-Deep-Sea-Mining.pdf, p.34 </w:t>
            </w:r>
          </w:p>
        </w:tc>
      </w:tr>
    </w:tbl>
    <w:p>
      <w:pPr>
        <w:pStyle w:val="TextBody"/>
        <w:bidi w:val="0"/>
        <w:spacing w:before="0" w:after="0"/>
        <w:jc w:val="left"/>
        <w:rPr/>
      </w:pPr>
      <w:r>
        <w:rPr/>
        <w:t> </w:t>
      </w:r>
    </w:p>
    <w:tbl>
      <w:tblPr>
        <w:tblW w:w="7741" w:type="dxa"/>
        <w:jc w:val="left"/>
        <w:tblInd w:w="0" w:type="dxa"/>
        <w:tblLayout w:type="fixed"/>
        <w:tblCellMar>
          <w:top w:w="0" w:type="dxa"/>
          <w:left w:w="0" w:type="dxa"/>
          <w:bottom w:w="0" w:type="dxa"/>
          <w:right w:w="0" w:type="dxa"/>
        </w:tblCellMar>
      </w:tblPr>
      <w:tblGrid>
        <w:gridCol w:w="38"/>
        <w:gridCol w:w="60"/>
        <w:gridCol w:w="23"/>
        <w:gridCol w:w="60"/>
        <w:gridCol w:w="473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b/>
                <w:color w:val="3E3935"/>
              </w:rPr>
            </w:pPr>
            <w:r>
              <w:rPr>
                <w:b/>
                <w:color w:val="3E3935"/>
              </w:rPr>
              <w:t>ITEM NO. 6: SHAREHOLDER PROPOSAL</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83</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Resolved: Shareholders request that General Motors publicly disclose the Company’s policies on the use of deep-sea mined minerals in its production and supply chains. </w:t>
      </w:r>
    </w:p>
    <w:p>
      <w:pPr>
        <w:pStyle w:val="TextBody"/>
        <w:bidi w:val="0"/>
        <w:spacing w:before="120" w:after="0"/>
        <w:jc w:val="both"/>
        <w:rPr>
          <w:rFonts w:ascii="arial" w:hAnsi="arial"/>
          <w:color w:val="3E3935"/>
          <w:sz w:val="18"/>
        </w:rPr>
      </w:pPr>
      <w:r>
        <w:rPr>
          <w:rFonts w:ascii="arial" w:hAnsi="arial"/>
          <w:color w:val="3E3935"/>
          <w:sz w:val="18"/>
        </w:rPr>
        <w:t xml:space="preserve">Supporting Statement: At Board discretion, GM should disclose the criteria it will use for decision making related to the use of deep-sea sourced minerals. </w:t>
      </w:r>
    </w:p>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both"/>
        <w:rPr>
          <w:rFonts w:ascii="arial" w:hAnsi="arial"/>
          <w:b/>
          <w:color w:val="0071CE"/>
          <w:sz w:val="26"/>
        </w:rPr>
      </w:pPr>
      <w:r>
        <w:rPr>
          <w:rFonts w:ascii="arial" w:hAnsi="arial"/>
          <w:b/>
          <w:color w:val="0071CE"/>
          <w:sz w:val="26"/>
        </w:rPr>
        <w:t xml:space="preserve">The Board of Directors recommends a vote </w:t>
      </w:r>
      <w:r>
        <w:rPr>
          <w:rFonts w:ascii="arial" w:hAnsi="arial"/>
          <w:b/>
          <w:color w:val="3E3935"/>
          <w:sz w:val="26"/>
          <w:u w:val="single"/>
        </w:rPr>
        <w:t>AGAINST</w:t>
      </w:r>
      <w:r>
        <w:rPr>
          <w:rFonts w:ascii="arial" w:hAnsi="arial"/>
          <w:b/>
          <w:color w:val="0071CE"/>
          <w:sz w:val="26"/>
        </w:rPr>
        <w:t xml:space="preserve"> this proposal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283"/>
              <w:jc w:val="left"/>
              <w:rPr>
                <w:sz w:val="4"/>
                <w:szCs w:val="4"/>
              </w:rPr>
            </w:pPr>
            <w:r>
              <w:rPr>
                <w:sz w:val="4"/>
                <w:szCs w:val="4"/>
              </w:rPr>
            </w:r>
          </w:p>
        </w:tc>
      </w:tr>
      <w:tr>
        <w:trPr/>
        <w:tc>
          <w:tcPr>
            <w:tcW w:w="10205"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The proposal seeks public disclosure for a risk that currently does not exist in the Company’s supply chain.</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The Company has a long history of taking a science-based and data-driven approach with regards to its environmental footprint of alternate value chains and will do the same if it decides in the future to pursue a relationship with a terrestrial or undersea extraction supplier.</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120" w:after="0"/>
        <w:jc w:val="left"/>
        <w:rPr>
          <w:rFonts w:ascii="arial" w:hAnsi="arial"/>
          <w:b/>
          <w:i/>
          <w:color w:val="3E3935"/>
          <w:sz w:val="18"/>
        </w:rPr>
      </w:pPr>
      <w:r>
        <w:rPr>
          <w:rFonts w:ascii="arial" w:hAnsi="arial"/>
          <w:b/>
          <w:i/>
          <w:color w:val="3E3935"/>
          <w:sz w:val="18"/>
        </w:rPr>
        <w:t xml:space="preserve">GM’s commitment to fostering a sustainable supply chain guided by science and data drives our vision for an all-electric future. </w:t>
      </w:r>
    </w:p>
    <w:p>
      <w:pPr>
        <w:pStyle w:val="TextBody"/>
        <w:bidi w:val="0"/>
        <w:spacing w:before="120" w:after="0"/>
        <w:jc w:val="both"/>
        <w:rPr>
          <w:rFonts w:ascii="arial" w:hAnsi="arial"/>
          <w:color w:val="3E3935"/>
          <w:sz w:val="18"/>
        </w:rPr>
      </w:pPr>
      <w:r>
        <w:rPr>
          <w:rFonts w:ascii="arial" w:hAnsi="arial"/>
          <w:color w:val="3E3935"/>
          <w:sz w:val="18"/>
        </w:rPr>
        <w:t xml:space="preserve">GM is committed to actions that will help us contribute to our world’s changing needs. We believe our investments in research and development, design and engineering, manufacturing, and our supply chain will drive us forward as we develop and adopt impactful technologies that will make all-electric, zero-emission vehicles more accessible and affordable. We believe this is critical not only for GM’s business, our workforce, and our customers, but also for contributing to a more sustainable future. To this end, GM is investing heavily in domestic manufacturing and developing an EV supply chain that is secure, sustainable, scalable, and cost competitive — from raw materials through processing and battery manufacturing to final assembly. These significant and strategic investments in the U.S. and with our asset-rich allies include a $650 million equity investment in Lithium Americas – the largest-ever investment by an automaker to produce battery raw materials – and a joint venture with Future M to increase production of cathode active materials in North America, an investment projected to exceed $1 billion. </w:t>
      </w:r>
    </w:p>
    <w:p>
      <w:pPr>
        <w:pStyle w:val="TextBody"/>
        <w:bidi w:val="0"/>
        <w:spacing w:before="120" w:after="0"/>
        <w:jc w:val="left"/>
        <w:rPr>
          <w:rFonts w:ascii="arial" w:hAnsi="arial"/>
          <w:b/>
          <w:i/>
          <w:color w:val="3E3935"/>
          <w:sz w:val="18"/>
        </w:rPr>
      </w:pPr>
      <w:r>
        <w:rPr>
          <w:rFonts w:ascii="arial" w:hAnsi="arial"/>
          <w:b/>
          <w:i/>
          <w:color w:val="3E3935"/>
          <w:sz w:val="18"/>
        </w:rPr>
        <w:t xml:space="preserve">GM does not currently utilize deep-sea extraction in its supply chain. </w:t>
      </w:r>
    </w:p>
    <w:p>
      <w:pPr>
        <w:pStyle w:val="TextBody"/>
        <w:bidi w:val="0"/>
        <w:spacing w:before="120" w:after="0"/>
        <w:jc w:val="both"/>
        <w:rPr>
          <w:rFonts w:ascii="arial" w:hAnsi="arial"/>
          <w:color w:val="3E3935"/>
          <w:sz w:val="18"/>
        </w:rPr>
      </w:pPr>
      <w:r>
        <w:rPr>
          <w:rFonts w:ascii="arial" w:hAnsi="arial"/>
          <w:color w:val="3E3935"/>
          <w:sz w:val="18"/>
        </w:rPr>
        <w:t xml:space="preserve">GM believes more must be done to build sustainable EV and battery supply chains and increase our chances of success in an increasingly complex geopolitical environment. The continued growth in EV adoption has and will continue to drive significant demand for battery raw materials – and in light of consumer and regulatory pressure to make the EV transition happen as fast as possible, we believe it is important to conduct responsible due diligence on alternative value chains to determine if they are viable. Given the scientific uncertainty, to date, GM has not invested in deep-sea mineral extraction, and we do not currently use – or have plans to use – deep-sea minerals in our supply chain. However, we are following the efforts of respected third parties who are making science-based evaluations in an effort to establish criteria for if and how deep-sea minerals may be extracted sustainably and responsibly in the future. The Company engages regularly with relevant industry organizations and other stakeholders and will continue our deliberative cross-functional evaluation of all new technologies, including deep-sea mineral extraction. </w:t>
      </w:r>
    </w:p>
    <w:p>
      <w:pPr>
        <w:pStyle w:val="TextBody"/>
        <w:bidi w:val="0"/>
        <w:spacing w:before="120" w:after="0"/>
        <w:jc w:val="left"/>
        <w:rPr>
          <w:rFonts w:ascii="arial" w:hAnsi="arial"/>
          <w:b/>
          <w:i/>
          <w:color w:val="3E3935"/>
          <w:sz w:val="18"/>
        </w:rPr>
      </w:pPr>
      <w:r>
        <w:rPr>
          <w:rFonts w:ascii="arial" w:hAnsi="arial"/>
          <w:b/>
          <w:i/>
          <w:color w:val="3E3935"/>
          <w:sz w:val="18"/>
        </w:rPr>
        <w:t xml:space="preserve">The adoption of new technologies, including those like deep-sea extraction, is subject to GM’s robust processes and policies applicable to onboarding suppliers. </w:t>
      </w:r>
    </w:p>
    <w:p>
      <w:pPr>
        <w:pStyle w:val="TextBody"/>
        <w:bidi w:val="0"/>
        <w:spacing w:before="120" w:after="0"/>
        <w:jc w:val="both"/>
        <w:rPr>
          <w:rFonts w:ascii="arial" w:hAnsi="arial"/>
          <w:sz w:val="18"/>
        </w:rPr>
      </w:pPr>
      <w:r>
        <w:rPr>
          <w:rFonts w:ascii="arial" w:hAnsi="arial"/>
          <w:color w:val="3E3935"/>
          <w:sz w:val="18"/>
        </w:rPr>
        <w:t xml:space="preserve">As we state in our Global Environmental Policy, “GM recognizes that healthy, balanced, and functioning ecosystems are vital to the ongoing success of our business and to the livelihoods and wellbeing of our customers, communities, and people everywhere.” Accordingly, GM would treat any hypothetical future engagement with suppliers involved in deep-sea mineral extraction like any other and require the supplier to, at a minimum, (i) comply with its Responsible Minerals Sourcing Policy, which is aligned with the principles established by the Organization for Economic Co-operation and Development, and (ii) commit and live up to strong environmental and social sustainability contract provisions. If the Company opted to pursue a commercial relationship related to deep-sea mineral extraction, approval, and oversight would be managed by the Company’s Senior Leadership Team (or its appropriate delegates), who would consider all relevant risks and uncertainties – including environmental impacts – following adequate due diligence. For additional information about GM’s sourcing and environmental practices, please see </w:t>
      </w:r>
      <w:r>
        <w:rPr>
          <w:rFonts w:ascii="arial" w:hAnsi="arial"/>
          <w:i/>
          <w:color w:val="0071CE"/>
          <w:sz w:val="18"/>
        </w:rPr>
        <w:t>gmsustainability.com</w:t>
      </w:r>
      <w:r>
        <w:rPr>
          <w:rFonts w:ascii="arial" w:hAnsi="arial"/>
          <w:color w:val="3E3935"/>
          <w:sz w:val="18"/>
        </w:rPr>
        <w:t xml:space="preserve">. where we make our key policies and disclosures publicly available. </w:t>
      </w:r>
    </w:p>
    <w:p>
      <w:pPr>
        <w:pStyle w:val="TextBody"/>
        <w:bidi w:val="0"/>
        <w:spacing w:before="120" w:after="0"/>
        <w:jc w:val="left"/>
        <w:rPr>
          <w:rFonts w:ascii="arial" w:hAnsi="arial"/>
          <w:b/>
          <w:color w:val="0071CE"/>
          <w:sz w:val="22"/>
        </w:rPr>
      </w:pPr>
      <w:r>
        <w:rPr>
          <w:rFonts w:ascii="arial" w:hAnsi="arial"/>
          <w:b/>
          <w:color w:val="0071CE"/>
          <w:sz w:val="22"/>
        </w:rPr>
        <w:t xml:space="preserve">Therefore, the Board of Directors recommends a vote </w:t>
      </w:r>
      <w:r>
        <w:rPr>
          <w:rFonts w:ascii="arial" w:hAnsi="arial"/>
          <w:b/>
          <w:color w:val="3E3935"/>
          <w:sz w:val="22"/>
          <w:u w:val="single"/>
        </w:rPr>
        <w:t>AGAINST</w:t>
      </w:r>
      <w:r>
        <w:rPr>
          <w:rFonts w:ascii="arial" w:hAnsi="arial"/>
          <w:b/>
          <w:color w:val="0071CE"/>
          <w:sz w:val="22"/>
        </w:rPr>
        <w:t xml:space="preserve"> this shareholder proposal. </w:t>
      </w:r>
    </w:p>
    <w:p>
      <w:pPr>
        <w:pStyle w:val="TextBody"/>
        <w:bidi w:val="0"/>
        <w:spacing w:before="0" w:after="0"/>
        <w:jc w:val="left"/>
        <w:rPr/>
      </w:pPr>
      <w:r>
        <w:rPr/>
        <w:t> </w:t>
      </w:r>
    </w:p>
    <w:tbl>
      <w:tblPr>
        <w:tblW w:w="5558" w:type="dxa"/>
        <w:jc w:val="left"/>
        <w:tblInd w:w="0" w:type="dxa"/>
        <w:tblLayout w:type="fixed"/>
        <w:tblCellMar>
          <w:top w:w="0" w:type="dxa"/>
          <w:left w:w="0" w:type="dxa"/>
          <w:bottom w:w="0" w:type="dxa"/>
          <w:right w:w="0" w:type="dxa"/>
        </w:tblCellMar>
      </w:tblPr>
      <w:tblGrid>
        <w:gridCol w:w="275"/>
        <w:gridCol w:w="60"/>
        <w:gridCol w:w="192"/>
        <w:gridCol w:w="60"/>
        <w:gridCol w:w="473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84</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56"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85" descr=""/>
                          <pic:cNvPicPr>
                            <a:picLocks noChangeAspect="1" noChangeArrowheads="1"/>
                          </pic:cNvPicPr>
                        </pic:nvPicPr>
                        <pic:blipFill>
                          <a:blip r:embed="rId339"/>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b/>
                <w:color w:val="3E3935"/>
              </w:rPr>
            </w:pPr>
            <w:r>
              <w:rPr>
                <w:b/>
                <w:color w:val="3E3935"/>
              </w:rPr>
              <w:t>ITEM NO. 6: SHAREHOLDER PROPOSAL</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32"/>
        </w:rPr>
      </w:pPr>
      <w:bookmarkStart w:id="45" w:name="toc648661_154aa"/>
      <w:bookmarkStart w:id="46" w:name="summ648661_a1478"/>
      <w:bookmarkEnd w:id="45"/>
      <w:bookmarkEnd w:id="46"/>
      <w:r>
        <w:rPr>
          <w:rFonts w:ascii="arial" w:hAnsi="arial"/>
          <w:b/>
          <w:color w:val="3E3935"/>
          <w:sz w:val="32"/>
        </w:rPr>
        <w:t xml:space="preserve">ITEM NO. 7: </w:t>
      </w:r>
    </w:p>
    <w:p>
      <w:pPr>
        <w:pStyle w:val="TextBody"/>
        <w:bidi w:val="0"/>
        <w:spacing w:before="0" w:after="0"/>
        <w:jc w:val="left"/>
        <w:rPr>
          <w:rFonts w:ascii="arial" w:hAnsi="arial"/>
          <w:color w:val="3E3935"/>
          <w:sz w:val="64"/>
        </w:rPr>
      </w:pPr>
      <w:r>
        <w:rPr>
          <w:rFonts w:ascii="arial" w:hAnsi="arial"/>
          <w:color w:val="3E3935"/>
          <w:sz w:val="64"/>
        </w:rPr>
        <w:t xml:space="preserve">Shareholder Proposal </w:t>
      </w:r>
    </w:p>
    <w:p>
      <w:pPr>
        <w:pStyle w:val="TextBody"/>
        <w:bidi w:val="0"/>
        <w:spacing w:before="0" w:after="0"/>
        <w:jc w:val="left"/>
        <w:rPr>
          <w:rFonts w:ascii="arial" w:hAnsi="arial"/>
          <w:color w:val="3E3935"/>
          <w:sz w:val="40"/>
        </w:rPr>
      </w:pPr>
      <w:r>
        <w:rPr>
          <w:rFonts w:ascii="arial" w:hAnsi="arial"/>
          <w:color w:val="3E3935"/>
          <w:sz w:val="40"/>
        </w:rPr>
        <w:t xml:space="preserve">Requesting a Report on Sustainability Risk in the Company’s Supply Chain </w:t>
      </w:r>
    </w:p>
    <w:p>
      <w:pPr>
        <w:pStyle w:val="TextBody"/>
        <w:bidi w:val="0"/>
        <w:spacing w:before="240" w:after="0"/>
        <w:jc w:val="both"/>
        <w:rPr>
          <w:rFonts w:ascii="arial" w:hAnsi="arial"/>
          <w:i/>
          <w:color w:val="3E3935"/>
          <w:sz w:val="18"/>
        </w:rPr>
      </w:pPr>
      <w:r>
        <w:rPr>
          <w:rFonts w:ascii="arial" w:hAnsi="arial"/>
          <w:i/>
          <w:color w:val="3E3935"/>
          <w:sz w:val="18"/>
        </w:rPr>
        <w:t xml:space="preserve">Amy Floyd, owner of 150 shares of GM common stock, has given notice that she intends to present for action at the Annual Meeting the following shareholder proposal. The shareholder proponent is responsible for the content of the proposal for which we and our Board accept no responsibility. We will promptly provide Ms. Floyd’s address upon a shareholder’s request given to our Corporate Secretary at General Motors Company, Mail Code 482-C24-A68, 300 Renaissance Center, Detroit, Michigan 48265 or by email to </w:t>
      </w:r>
      <w:r>
        <w:rPr>
          <w:rFonts w:ascii="arial" w:hAnsi="arial"/>
          <w:i/>
          <w:color w:val="0071CE"/>
          <w:sz w:val="18"/>
        </w:rPr>
        <w:t>shareholder.relations@gm.com.</w:t>
      </w:r>
      <w:r>
        <w:rPr>
          <w:rFonts w:ascii="arial" w:hAnsi="arial"/>
          <w:i/>
          <w:color w:val="3E3935"/>
          <w:sz w:val="18"/>
        </w:rPr>
        <w:t xml:space="preserve"> </w:t>
      </w:r>
    </w:p>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120" w:after="0"/>
        <w:jc w:val="both"/>
        <w:rPr>
          <w:rFonts w:ascii="arial" w:hAnsi="arial"/>
          <w:color w:val="3E3935"/>
          <w:sz w:val="18"/>
        </w:rPr>
      </w:pPr>
      <w:r>
        <w:rPr>
          <w:rFonts w:ascii="arial" w:hAnsi="arial"/>
          <w:color w:val="3E3935"/>
          <w:sz w:val="18"/>
        </w:rPr>
        <w:t xml:space="preserve">Whereas: Vehicle manufacturing relies on extraction, processing, and manufacturing of natural resources to provide aluminum,1 steel,2 minerals,3 rubber,4 and leather5 - activities associated with intensive environmental degradation6 and substantial greenhouse gas (GHG) emissions. The aluminum and steel sectors emit billions of tons of carbon dioxide annually.7 By 2050, auto industry demand for aluminum is expected to double8 and global steel demand is predicted to increase by 30%,9 partially attributable to vehicle manufacturing. Without rapid decarbonization, these industries will likely overshoot net-zero pathways meant to avoid catastrophic global temperature rise. </w:t>
      </w:r>
    </w:p>
    <w:p>
      <w:pPr>
        <w:pStyle w:val="TextBody"/>
        <w:bidi w:val="0"/>
        <w:spacing w:before="120" w:after="0"/>
        <w:jc w:val="both"/>
        <w:rPr>
          <w:rFonts w:ascii="arial" w:hAnsi="arial"/>
          <w:color w:val="3E3935"/>
          <w:sz w:val="18"/>
        </w:rPr>
      </w:pPr>
      <w:r>
        <w:rPr>
          <w:rFonts w:ascii="arial" w:hAnsi="arial"/>
          <w:color w:val="3E3935"/>
          <w:sz w:val="18"/>
        </w:rPr>
        <w:t xml:space="preserve">General Motors (GM) issued low-carbon procurement targets for primary steel and aluminum of 10% by 2030. However, because demand for low-carbon steel and aluminum is surging,10,11 the Company may face competitive and reputational risks if it does not join broader initiatives aimed at securing additional supply. Competitors Volvo and Mercedes-Benz have taken steps to support sustainable steel supply by participating in ResponsibleSteel, a standard setting organization. Volvo and Polestar signed on to SteelZero, an initiative that builds demand for low-carbon steel in order to incentivize greater production. Further, Audi, BMW, and Mercedes-Benz participate in the Aluminum Stewardship Initiative, which promotes sustainable aluminum mining and production. </w:t>
      </w:r>
    </w:p>
    <w:p>
      <w:pPr>
        <w:pStyle w:val="TextBody"/>
        <w:bidi w:val="0"/>
        <w:spacing w:before="120" w:after="0"/>
        <w:jc w:val="both"/>
        <w:rPr>
          <w:rFonts w:ascii="arial" w:hAnsi="arial"/>
          <w:color w:val="3E3935"/>
          <w:sz w:val="18"/>
        </w:rPr>
      </w:pPr>
      <w:r>
        <w:rPr>
          <w:rFonts w:ascii="arial" w:hAnsi="arial"/>
          <w:color w:val="3E3935"/>
          <w:sz w:val="18"/>
        </w:rPr>
        <w:t xml:space="preserve">Other materials commonly used in vehicle manufacturing are linked to deforestation. Leather sourced from Brazil is associated with land clearing for cattle raising.12 Rubber tree plantations support the production of 2 billion tires annually,13 resulting in tropical deforestation in Southeast Asia and Africa,14 and mining of bauxite, the precursor to aluminum, accounts for 8% of all mineral-related deforestation.15 </w:t>
      </w:r>
    </w:p>
    <w:p>
      <w:pPr>
        <w:pStyle w:val="TextBody"/>
        <w:bidi w:val="0"/>
        <w:spacing w:before="120" w:after="0"/>
        <w:jc w:val="both"/>
        <w:rPr>
          <w:rFonts w:ascii="arial" w:hAnsi="arial"/>
          <w:color w:val="3E3935"/>
          <w:sz w:val="18"/>
        </w:rPr>
      </w:pPr>
      <w:r>
        <w:rPr>
          <w:rFonts w:ascii="arial" w:hAnsi="arial"/>
          <w:color w:val="3E3935"/>
          <w:sz w:val="18"/>
        </w:rPr>
        <w:t xml:space="preserve">Although GM is a founding member of the Global Platform for Sustainable Natural Rubber, it has not disclosed comprehensive information on deforestation risk posed by rubber cultivation, nor on risk mitigation. The Company fails to provide similar disclosures for its leather and mineral supply chains. While GM reported some deforestation risk in 2021 to the internationally recognized reporting platform, CDP, it submitted virtually no information in 2022 and 2023. Without greater disclosure, investors may be under informed about climate and deforestation risks embedded in GM’s supply chain or risk mitigation measures. </w:t>
      </w:r>
    </w:p>
    <w:p>
      <w:pPr>
        <w:pStyle w:val="TextBody"/>
        <w:bidi w:val="0"/>
        <w:spacing w:before="120" w:after="0"/>
        <w:jc w:val="both"/>
        <w:rPr>
          <w:rFonts w:ascii="arial" w:hAnsi="arial"/>
          <w:color w:val="3E3935"/>
          <w:sz w:val="18"/>
        </w:rPr>
      </w:pPr>
      <w:r>
        <w:rPr>
          <w:rFonts w:ascii="arial" w:hAnsi="arial"/>
          <w:color w:val="3E3935"/>
          <w:sz w:val="18"/>
        </w:rPr>
        <w:t xml:space="preserve">Resolved: Proponents request the Company issue an annual report providing additional disclosure on sustainability risks within its supply chain and risk mitigation efforts. </w:t>
      </w:r>
    </w:p>
    <w:p>
      <w:pPr>
        <w:pStyle w:val="TextBody"/>
        <w:pBdr>
          <w:bottom w:val="single" w:sz="2" w:space="1" w:color="3E3935"/>
        </w:pBdr>
        <w:bidi w:val="0"/>
        <w:spacing w:lineRule="atLeast" w:line="160" w:before="0" w:after="40"/>
        <w:jc w:val="left"/>
        <w:rPr/>
      </w:pPr>
      <w:r>
        <w:rPr/>
        <w:t> </w:t>
      </w:r>
    </w:p>
    <w:tbl>
      <w:tblPr>
        <w:tblW w:w="6040" w:type="dxa"/>
        <w:jc w:val="left"/>
        <w:tblInd w:w="0" w:type="dxa"/>
        <w:tblLayout w:type="fixed"/>
        <w:tblCellMar>
          <w:top w:w="0" w:type="dxa"/>
          <w:left w:w="0" w:type="dxa"/>
          <w:bottom w:w="0" w:type="dxa"/>
          <w:right w:w="0" w:type="dxa"/>
        </w:tblCellMar>
      </w:tblPr>
      <w:tblGrid>
        <w:gridCol w:w="215"/>
        <w:gridCol w:w="5825"/>
      </w:tblGrid>
      <w:tr>
        <w:trPr/>
        <w:tc>
          <w:tcPr>
            <w:tcW w:w="215" w:type="dxa"/>
            <w:tcBorders/>
            <w:vAlign w:val="center"/>
          </w:tcPr>
          <w:p>
            <w:pPr>
              <w:pStyle w:val="TableContents"/>
              <w:bidi w:val="0"/>
              <w:spacing w:before="0" w:after="283"/>
              <w:jc w:val="left"/>
              <w:rPr>
                <w:color w:val="3E3935"/>
              </w:rPr>
            </w:pPr>
            <w:r>
              <w:rPr>
                <w:color w:val="3E3935"/>
              </w:rPr>
              <w:t>1 </w:t>
            </w:r>
          </w:p>
        </w:tc>
        <w:tc>
          <w:tcPr>
            <w:tcW w:w="582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https://drivesustainability.org/wp-content/uploads/2018/07/Material-Change_VF.pdf </w:t>
            </w:r>
          </w:p>
        </w:tc>
      </w:tr>
    </w:tbl>
    <w:tbl>
      <w:tblPr>
        <w:tblW w:w="5470" w:type="dxa"/>
        <w:jc w:val="left"/>
        <w:tblInd w:w="0" w:type="dxa"/>
        <w:tblLayout w:type="fixed"/>
        <w:tblCellMar>
          <w:top w:w="0" w:type="dxa"/>
          <w:left w:w="0" w:type="dxa"/>
          <w:bottom w:w="0" w:type="dxa"/>
          <w:right w:w="0" w:type="dxa"/>
        </w:tblCellMar>
      </w:tblPr>
      <w:tblGrid>
        <w:gridCol w:w="215"/>
        <w:gridCol w:w="5255"/>
      </w:tblGrid>
      <w:tr>
        <w:trPr/>
        <w:tc>
          <w:tcPr>
            <w:tcW w:w="215" w:type="dxa"/>
            <w:tcBorders/>
            <w:vAlign w:val="center"/>
          </w:tcPr>
          <w:p>
            <w:pPr>
              <w:pStyle w:val="TableContents"/>
              <w:bidi w:val="0"/>
              <w:spacing w:before="0" w:after="283"/>
              <w:jc w:val="left"/>
              <w:rPr>
                <w:color w:val="3E3935"/>
              </w:rPr>
            </w:pPr>
            <w:r>
              <w:rPr>
                <w:color w:val="3E3935"/>
              </w:rPr>
              <w:t>2 </w:t>
            </w:r>
          </w:p>
        </w:tc>
        <w:tc>
          <w:tcPr>
            <w:tcW w:w="525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https://www.sciencedirect.com/science/article/abs/pii/S0301479719315002 </w:t>
            </w:r>
          </w:p>
        </w:tc>
      </w:tr>
    </w:tbl>
    <w:tbl>
      <w:tblPr>
        <w:tblW w:w="6040" w:type="dxa"/>
        <w:jc w:val="left"/>
        <w:tblInd w:w="0" w:type="dxa"/>
        <w:tblLayout w:type="fixed"/>
        <w:tblCellMar>
          <w:top w:w="0" w:type="dxa"/>
          <w:left w:w="0" w:type="dxa"/>
          <w:bottom w:w="0" w:type="dxa"/>
          <w:right w:w="0" w:type="dxa"/>
        </w:tblCellMar>
      </w:tblPr>
      <w:tblGrid>
        <w:gridCol w:w="215"/>
        <w:gridCol w:w="5825"/>
      </w:tblGrid>
      <w:tr>
        <w:trPr/>
        <w:tc>
          <w:tcPr>
            <w:tcW w:w="215" w:type="dxa"/>
            <w:tcBorders/>
            <w:vAlign w:val="center"/>
          </w:tcPr>
          <w:p>
            <w:pPr>
              <w:pStyle w:val="TableContents"/>
              <w:bidi w:val="0"/>
              <w:spacing w:before="0" w:after="283"/>
              <w:jc w:val="left"/>
              <w:rPr>
                <w:color w:val="3E3935"/>
              </w:rPr>
            </w:pPr>
            <w:r>
              <w:rPr>
                <w:color w:val="3E3935"/>
              </w:rPr>
              <w:t>3 </w:t>
            </w:r>
          </w:p>
        </w:tc>
        <w:tc>
          <w:tcPr>
            <w:tcW w:w="582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https://drivesustainability.org/wp-content/uploads/2018/07/Material-Change_VF.pdf </w:t>
            </w:r>
          </w:p>
        </w:tc>
      </w:tr>
    </w:tbl>
    <w:tbl>
      <w:tblPr>
        <w:tblW w:w="6115" w:type="dxa"/>
        <w:jc w:val="left"/>
        <w:tblInd w:w="0" w:type="dxa"/>
        <w:tblLayout w:type="fixed"/>
        <w:tblCellMar>
          <w:top w:w="0" w:type="dxa"/>
          <w:left w:w="0" w:type="dxa"/>
          <w:bottom w:w="0" w:type="dxa"/>
          <w:right w:w="0" w:type="dxa"/>
        </w:tblCellMar>
      </w:tblPr>
      <w:tblGrid>
        <w:gridCol w:w="215"/>
        <w:gridCol w:w="5900"/>
      </w:tblGrid>
      <w:tr>
        <w:trPr/>
        <w:tc>
          <w:tcPr>
            <w:tcW w:w="215" w:type="dxa"/>
            <w:tcBorders/>
            <w:vAlign w:val="center"/>
          </w:tcPr>
          <w:p>
            <w:pPr>
              <w:pStyle w:val="TableContents"/>
              <w:bidi w:val="0"/>
              <w:spacing w:before="0" w:after="283"/>
              <w:jc w:val="left"/>
              <w:rPr>
                <w:color w:val="3E3935"/>
              </w:rPr>
            </w:pPr>
            <w:r>
              <w:rPr>
                <w:color w:val="3E3935"/>
              </w:rPr>
              <w:t>4 </w:t>
            </w:r>
          </w:p>
        </w:tc>
        <w:tc>
          <w:tcPr>
            <w:tcW w:w="590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https://e360.yale.edu/features/rubber-plantations-deforestation-tires-electric-vehicles </w:t>
            </w:r>
          </w:p>
        </w:tc>
      </w:tr>
    </w:tbl>
    <w:tbl>
      <w:tblPr>
        <w:tblW w:w="5710" w:type="dxa"/>
        <w:jc w:val="left"/>
        <w:tblInd w:w="0" w:type="dxa"/>
        <w:tblLayout w:type="fixed"/>
        <w:tblCellMar>
          <w:top w:w="0" w:type="dxa"/>
          <w:left w:w="0" w:type="dxa"/>
          <w:bottom w:w="0" w:type="dxa"/>
          <w:right w:w="0" w:type="dxa"/>
        </w:tblCellMar>
      </w:tblPr>
      <w:tblGrid>
        <w:gridCol w:w="215"/>
        <w:gridCol w:w="5495"/>
      </w:tblGrid>
      <w:tr>
        <w:trPr/>
        <w:tc>
          <w:tcPr>
            <w:tcW w:w="215" w:type="dxa"/>
            <w:tcBorders/>
            <w:vAlign w:val="center"/>
          </w:tcPr>
          <w:p>
            <w:pPr>
              <w:pStyle w:val="TableContents"/>
              <w:bidi w:val="0"/>
              <w:spacing w:before="0" w:after="283"/>
              <w:jc w:val="left"/>
              <w:rPr>
                <w:color w:val="3E3935"/>
              </w:rPr>
            </w:pPr>
            <w:r>
              <w:rPr>
                <w:color w:val="3E3935"/>
              </w:rPr>
              <w:t>5 </w:t>
            </w:r>
          </w:p>
        </w:tc>
        <w:tc>
          <w:tcPr>
            <w:tcW w:w="54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https://www.nytimes.com/2021/11/17/climate/leather-seats-cars-rainforest.html. </w:t>
            </w:r>
          </w:p>
        </w:tc>
      </w:tr>
    </w:tbl>
    <w:tbl>
      <w:tblPr>
        <w:tblW w:w="5710" w:type="dxa"/>
        <w:jc w:val="left"/>
        <w:tblInd w:w="0" w:type="dxa"/>
        <w:tblLayout w:type="fixed"/>
        <w:tblCellMar>
          <w:top w:w="0" w:type="dxa"/>
          <w:left w:w="0" w:type="dxa"/>
          <w:bottom w:w="0" w:type="dxa"/>
          <w:right w:w="0" w:type="dxa"/>
        </w:tblCellMar>
      </w:tblPr>
      <w:tblGrid>
        <w:gridCol w:w="215"/>
        <w:gridCol w:w="5495"/>
      </w:tblGrid>
      <w:tr>
        <w:trPr/>
        <w:tc>
          <w:tcPr>
            <w:tcW w:w="215" w:type="dxa"/>
            <w:tcBorders/>
            <w:vAlign w:val="center"/>
          </w:tcPr>
          <w:p>
            <w:pPr>
              <w:pStyle w:val="TableContents"/>
              <w:bidi w:val="0"/>
              <w:spacing w:before="0" w:after="283"/>
              <w:jc w:val="left"/>
              <w:rPr>
                <w:color w:val="3E3935"/>
              </w:rPr>
            </w:pPr>
            <w:r>
              <w:rPr>
                <w:color w:val="3E3935"/>
              </w:rPr>
              <w:t>6 </w:t>
            </w:r>
          </w:p>
        </w:tc>
        <w:tc>
          <w:tcPr>
            <w:tcW w:w="54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https://www.nytimes.com/2021/11/17/climate/leather-seats-cars-rainforest.html.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color w:val="3E3935"/>
              </w:rPr>
            </w:pPr>
            <w:r>
              <w:rPr>
                <w:color w:val="3E3935"/>
              </w:rPr>
              <w:t>7 </w:t>
            </w:r>
          </w:p>
        </w:tc>
        <w:tc>
          <w:tcPr>
            <w:tcW w:w="99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https://www.globalefficiencyintel.com/new-blog/2021/global-steel-industrys-ghg ~emissions#:~:text=Based%20on%20total%20steel%20industry,of%20total%20global%20GHG%20emissions. </w:t>
            </w:r>
          </w:p>
        </w:tc>
      </w:tr>
    </w:tbl>
    <w:tbl>
      <w:tblPr>
        <w:tblW w:w="8710" w:type="dxa"/>
        <w:jc w:val="left"/>
        <w:tblInd w:w="0" w:type="dxa"/>
        <w:tblLayout w:type="fixed"/>
        <w:tblCellMar>
          <w:top w:w="0" w:type="dxa"/>
          <w:left w:w="0" w:type="dxa"/>
          <w:bottom w:w="0" w:type="dxa"/>
          <w:right w:w="0" w:type="dxa"/>
        </w:tblCellMar>
      </w:tblPr>
      <w:tblGrid>
        <w:gridCol w:w="215"/>
        <w:gridCol w:w="8495"/>
      </w:tblGrid>
      <w:tr>
        <w:trPr/>
        <w:tc>
          <w:tcPr>
            <w:tcW w:w="215" w:type="dxa"/>
            <w:tcBorders/>
            <w:vAlign w:val="center"/>
          </w:tcPr>
          <w:p>
            <w:pPr>
              <w:pStyle w:val="TableContents"/>
              <w:bidi w:val="0"/>
              <w:spacing w:before="0" w:after="283"/>
              <w:jc w:val="left"/>
              <w:rPr>
                <w:color w:val="3E3935"/>
              </w:rPr>
            </w:pPr>
            <w:r>
              <w:rPr>
                <w:color w:val="3E3935"/>
              </w:rPr>
              <w:t>8 </w:t>
            </w:r>
          </w:p>
        </w:tc>
        <w:tc>
          <w:tcPr>
            <w:tcW w:w="849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https://www.hrw.org/report/2021/07/22/aluminum-car-industrys-blind-spot/why-car-companies-should-address-human-rights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color w:val="3E3935"/>
              </w:rPr>
            </w:pPr>
            <w:r>
              <w:rPr>
                <w:color w:val="3E3935"/>
              </w:rPr>
              <w:t>9 </w:t>
            </w:r>
          </w:p>
        </w:tc>
        <w:tc>
          <w:tcPr>
            <w:tcW w:w="99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https://www.weforum.org/publications/the-net-zero-industry-tracker/in-full/steel- industry/#:~: text=Steel%20demand%20is%20projected%20to,role%20in%20decarbonizing%20steel%20supply.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color w:val="3E3935"/>
              </w:rPr>
            </w:pPr>
            <w:r>
              <w:rPr>
                <w:color w:val="3E3935"/>
              </w:rPr>
              <w:t>10 </w:t>
            </w:r>
          </w:p>
        </w:tc>
        <w:tc>
          <w:tcPr>
            <w:tcW w:w="987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https://medium.com/@kristinshellbmr/green-steel-market-on-the-rise-targeting-122-9-cagr-by-2030- 590e7393d0cb#:~:text=The%20global%2Ogreen%20steel%20market,by%20the%20conclusion%20of%202030. </w:t>
            </w:r>
          </w:p>
        </w:tc>
      </w:tr>
    </w:tbl>
    <w:tbl>
      <w:tblPr>
        <w:tblW w:w="7480" w:type="dxa"/>
        <w:jc w:val="left"/>
        <w:tblInd w:w="0" w:type="dxa"/>
        <w:tblLayout w:type="fixed"/>
        <w:tblCellMar>
          <w:top w:w="0" w:type="dxa"/>
          <w:left w:w="0" w:type="dxa"/>
          <w:bottom w:w="0" w:type="dxa"/>
          <w:right w:w="0" w:type="dxa"/>
        </w:tblCellMar>
      </w:tblPr>
      <w:tblGrid>
        <w:gridCol w:w="335"/>
        <w:gridCol w:w="7145"/>
      </w:tblGrid>
      <w:tr>
        <w:trPr/>
        <w:tc>
          <w:tcPr>
            <w:tcW w:w="335" w:type="dxa"/>
            <w:tcBorders/>
            <w:vAlign w:val="center"/>
          </w:tcPr>
          <w:p>
            <w:pPr>
              <w:pStyle w:val="TableContents"/>
              <w:bidi w:val="0"/>
              <w:spacing w:before="0" w:after="283"/>
              <w:jc w:val="left"/>
              <w:rPr>
                <w:color w:val="3E3935"/>
              </w:rPr>
            </w:pPr>
            <w:r>
              <w:rPr>
                <w:color w:val="3E3935"/>
              </w:rPr>
              <w:t>11 </w:t>
            </w:r>
          </w:p>
        </w:tc>
        <w:tc>
          <w:tcPr>
            <w:tcW w:w="714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https://intenational-aluminium.org/resource/aluminium-sector-greenhouse-gas-pathways-to-2050-2021/ </w:t>
            </w:r>
          </w:p>
        </w:tc>
      </w:tr>
    </w:tbl>
    <w:tbl>
      <w:tblPr>
        <w:tblW w:w="5785" w:type="dxa"/>
        <w:jc w:val="left"/>
        <w:tblInd w:w="0" w:type="dxa"/>
        <w:tblLayout w:type="fixed"/>
        <w:tblCellMar>
          <w:top w:w="0" w:type="dxa"/>
          <w:left w:w="0" w:type="dxa"/>
          <w:bottom w:w="0" w:type="dxa"/>
          <w:right w:w="0" w:type="dxa"/>
        </w:tblCellMar>
      </w:tblPr>
      <w:tblGrid>
        <w:gridCol w:w="335"/>
        <w:gridCol w:w="5450"/>
      </w:tblGrid>
      <w:tr>
        <w:trPr/>
        <w:tc>
          <w:tcPr>
            <w:tcW w:w="335" w:type="dxa"/>
            <w:tcBorders/>
            <w:vAlign w:val="center"/>
          </w:tcPr>
          <w:p>
            <w:pPr>
              <w:pStyle w:val="TableContents"/>
              <w:bidi w:val="0"/>
              <w:spacing w:before="0" w:after="283"/>
              <w:jc w:val="left"/>
              <w:rPr>
                <w:color w:val="3E3935"/>
              </w:rPr>
            </w:pPr>
            <w:r>
              <w:rPr>
                <w:color w:val="3E3935"/>
              </w:rPr>
              <w:t>12 </w:t>
            </w:r>
          </w:p>
        </w:tc>
        <w:tc>
          <w:tcPr>
            <w:tcW w:w="545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https://www.nytimes.com/2021/11/17/climate/leather-seats-cars-rainforest.html </w:t>
            </w:r>
          </w:p>
        </w:tc>
      </w:tr>
    </w:tbl>
    <w:tbl>
      <w:tblPr>
        <w:tblW w:w="6235" w:type="dxa"/>
        <w:jc w:val="left"/>
        <w:tblInd w:w="0" w:type="dxa"/>
        <w:tblLayout w:type="fixed"/>
        <w:tblCellMar>
          <w:top w:w="0" w:type="dxa"/>
          <w:left w:w="0" w:type="dxa"/>
          <w:bottom w:w="0" w:type="dxa"/>
          <w:right w:w="0" w:type="dxa"/>
        </w:tblCellMar>
      </w:tblPr>
      <w:tblGrid>
        <w:gridCol w:w="335"/>
        <w:gridCol w:w="5900"/>
      </w:tblGrid>
      <w:tr>
        <w:trPr/>
        <w:tc>
          <w:tcPr>
            <w:tcW w:w="335" w:type="dxa"/>
            <w:tcBorders/>
            <w:vAlign w:val="center"/>
          </w:tcPr>
          <w:p>
            <w:pPr>
              <w:pStyle w:val="TableContents"/>
              <w:bidi w:val="0"/>
              <w:spacing w:before="0" w:after="283"/>
              <w:jc w:val="left"/>
              <w:rPr>
                <w:color w:val="3E3935"/>
              </w:rPr>
            </w:pPr>
            <w:r>
              <w:rPr>
                <w:color w:val="3E3935"/>
              </w:rPr>
              <w:t>13 </w:t>
            </w:r>
          </w:p>
        </w:tc>
        <w:tc>
          <w:tcPr>
            <w:tcW w:w="590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https://e360.yale.edu/features/rubber-plantations-deforestation-tires-electric-vehicles </w:t>
            </w:r>
          </w:p>
        </w:tc>
      </w:tr>
    </w:tbl>
    <w:tbl>
      <w:tblPr>
        <w:tblW w:w="5305" w:type="dxa"/>
        <w:jc w:val="left"/>
        <w:tblInd w:w="0" w:type="dxa"/>
        <w:tblLayout w:type="fixed"/>
        <w:tblCellMar>
          <w:top w:w="0" w:type="dxa"/>
          <w:left w:w="0" w:type="dxa"/>
          <w:bottom w:w="0" w:type="dxa"/>
          <w:right w:w="0" w:type="dxa"/>
        </w:tblCellMar>
      </w:tblPr>
      <w:tblGrid>
        <w:gridCol w:w="335"/>
        <w:gridCol w:w="4970"/>
      </w:tblGrid>
      <w:tr>
        <w:trPr/>
        <w:tc>
          <w:tcPr>
            <w:tcW w:w="335" w:type="dxa"/>
            <w:tcBorders/>
            <w:vAlign w:val="center"/>
          </w:tcPr>
          <w:p>
            <w:pPr>
              <w:pStyle w:val="TableContents"/>
              <w:bidi w:val="0"/>
              <w:spacing w:before="0" w:after="283"/>
              <w:jc w:val="left"/>
              <w:rPr>
                <w:color w:val="3E3935"/>
              </w:rPr>
            </w:pPr>
            <w:r>
              <w:rPr>
                <w:color w:val="3E3935"/>
              </w:rPr>
              <w:t>14 </w:t>
            </w:r>
          </w:p>
        </w:tc>
        <w:tc>
          <w:tcPr>
            <w:tcW w:w="497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https://www.sciencedirect.com/science/article/pii/S096098222031006X </w:t>
            </w:r>
          </w:p>
        </w:tc>
      </w:tr>
    </w:tbl>
    <w:tbl>
      <w:tblPr>
        <w:tblW w:w="7570" w:type="dxa"/>
        <w:jc w:val="left"/>
        <w:tblInd w:w="0" w:type="dxa"/>
        <w:tblLayout w:type="fixed"/>
        <w:tblCellMar>
          <w:top w:w="0" w:type="dxa"/>
          <w:left w:w="0" w:type="dxa"/>
          <w:bottom w:w="0" w:type="dxa"/>
          <w:right w:w="0" w:type="dxa"/>
        </w:tblCellMar>
      </w:tblPr>
      <w:tblGrid>
        <w:gridCol w:w="335"/>
        <w:gridCol w:w="7235"/>
      </w:tblGrid>
      <w:tr>
        <w:trPr/>
        <w:tc>
          <w:tcPr>
            <w:tcW w:w="335" w:type="dxa"/>
            <w:tcBorders/>
            <w:vAlign w:val="center"/>
          </w:tcPr>
          <w:p>
            <w:pPr>
              <w:pStyle w:val="TableContents"/>
              <w:bidi w:val="0"/>
              <w:spacing w:before="0" w:after="283"/>
              <w:jc w:val="left"/>
              <w:rPr>
                <w:color w:val="3E3935"/>
              </w:rPr>
            </w:pPr>
            <w:r>
              <w:rPr>
                <w:color w:val="3E3935"/>
              </w:rPr>
              <w:t>15 </w:t>
            </w:r>
          </w:p>
        </w:tc>
        <w:tc>
          <w:tcPr>
            <w:tcW w:w="72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https://www.wwf.de/fileadmin/fm-wwf/Publikationen-PDF/Wald/WWF-Studie-Extracted-Forests.pdf. Pg20. </w:t>
            </w:r>
          </w:p>
        </w:tc>
      </w:tr>
    </w:tbl>
    <w:p>
      <w:pPr>
        <w:pStyle w:val="TextBody"/>
        <w:bidi w:val="0"/>
        <w:spacing w:before="0" w:after="0"/>
        <w:jc w:val="left"/>
        <w:rPr/>
      </w:pPr>
      <w:r>
        <w:rPr/>
        <w:t> </w:t>
      </w:r>
    </w:p>
    <w:tbl>
      <w:tblPr>
        <w:tblW w:w="7741" w:type="dxa"/>
        <w:jc w:val="left"/>
        <w:tblInd w:w="0" w:type="dxa"/>
        <w:tblLayout w:type="fixed"/>
        <w:tblCellMar>
          <w:top w:w="0" w:type="dxa"/>
          <w:left w:w="0" w:type="dxa"/>
          <w:bottom w:w="0" w:type="dxa"/>
          <w:right w:w="0" w:type="dxa"/>
        </w:tblCellMar>
      </w:tblPr>
      <w:tblGrid>
        <w:gridCol w:w="38"/>
        <w:gridCol w:w="60"/>
        <w:gridCol w:w="23"/>
        <w:gridCol w:w="60"/>
        <w:gridCol w:w="473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b/>
                <w:color w:val="3E3935"/>
              </w:rPr>
            </w:pPr>
            <w:r>
              <w:rPr>
                <w:b/>
                <w:color w:val="3E3935"/>
              </w:rPr>
              <w:t>ITEM NO. 7: SHAREHOLDER PROPOSAL</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85</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Supporting Statement: Shareholders recommend that the report be prepared at reasonable cost and omit proprietary information, and, in their discretion, encourage the board and management to assess in the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The pros and cons of joining global value chain emissions reduction efforts, such as the Aluminum Stewardship Initiative and ResponsibleSteel, and demand aggregation initiatives such as SteelZero and the Sustainable Steel Buyers Platform.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Progress toward attaining low-carbon steel and aluminum 2030 procurement targets.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71CE"/>
              </w:rPr>
            </w:pPr>
            <w:r>
              <w:rPr>
                <w:color w:val="0071C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color w:val="3E3935"/>
                <w:sz w:val="18"/>
              </w:rPr>
            </w:pPr>
            <w:r>
              <w:rPr>
                <w:rFonts w:ascii="arial" w:hAnsi="arial"/>
                <w:color w:val="3E3935"/>
                <w:sz w:val="18"/>
              </w:rPr>
              <w:t xml:space="preserve">Enhancing disclosure of deforestation risk associated with GM’s tire, leather, and mineral supply chains including the potential for adopting targets for eliminating supply chain deforestation. </w:t>
            </w:r>
          </w:p>
        </w:tc>
      </w:tr>
    </w:tbl>
    <w:p>
      <w:pPr>
        <w:pStyle w:val="TextBody"/>
        <w:bidi w:val="0"/>
        <w:spacing w:before="0" w:after="0"/>
        <w:jc w:val="left"/>
        <w:rPr/>
      </w:pPr>
      <w:r>
        <w:rPr/>
        <w:t> </w:t>
      </w:r>
    </w:p>
    <w:p>
      <w:pPr>
        <w:pStyle w:val="TextBody"/>
        <w:pBdr>
          <w:bottom w:val="single" w:sz="2" w:space="1" w:color="0071CE"/>
        </w:pBdr>
        <w:bidi w:val="0"/>
        <w:spacing w:lineRule="atLeast" w:line="142" w:before="0" w:after="40"/>
        <w:jc w:val="left"/>
        <w:rPr/>
      </w:pPr>
      <w:r>
        <w:rPr/>
        <w:t> </w:t>
      </w:r>
    </w:p>
    <w:p>
      <w:pPr>
        <w:pStyle w:val="TextBody"/>
        <w:bidi w:val="0"/>
        <w:spacing w:before="0" w:after="0"/>
        <w:jc w:val="left"/>
        <w:rPr>
          <w:rFonts w:ascii="arial" w:hAnsi="arial"/>
          <w:b/>
          <w:color w:val="0071CE"/>
          <w:sz w:val="26"/>
        </w:rPr>
      </w:pPr>
      <w:r>
        <w:rPr>
          <w:rFonts w:ascii="arial" w:hAnsi="arial"/>
          <w:b/>
          <w:color w:val="0071CE"/>
          <w:sz w:val="26"/>
        </w:rPr>
        <w:t xml:space="preserve">The Board of Directors recommends a vote </w:t>
      </w:r>
      <w:r>
        <w:rPr>
          <w:rFonts w:ascii="arial" w:hAnsi="arial"/>
          <w:b/>
          <w:color w:val="3E3935"/>
          <w:sz w:val="26"/>
          <w:u w:val="single"/>
        </w:rPr>
        <w:t>AGAINST</w:t>
      </w:r>
      <w:r>
        <w:rPr>
          <w:rFonts w:ascii="arial" w:hAnsi="arial"/>
          <w:b/>
          <w:color w:val="0071CE"/>
          <w:sz w:val="26"/>
        </w:rPr>
        <w:t xml:space="preserve"> this proposal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GM is committed to incorporating responsibly sourced materials into its supply chain, and GM collaborates with organizations inside and outside of the industry to develop sustainable supply chain programs.</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The requested report is unnecessary because GM already follows robust and transparent reporting practices.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120" w:after="0"/>
        <w:jc w:val="left"/>
        <w:rPr>
          <w:rFonts w:ascii="arial" w:hAnsi="arial"/>
          <w:b/>
          <w:i/>
          <w:color w:val="3E3935"/>
          <w:sz w:val="18"/>
        </w:rPr>
      </w:pPr>
      <w:r>
        <w:rPr>
          <w:rFonts w:ascii="arial" w:hAnsi="arial"/>
          <w:b/>
          <w:i/>
          <w:color w:val="3E3935"/>
          <w:sz w:val="18"/>
        </w:rPr>
        <w:t xml:space="preserve">GM is committed to incorporating responsibly sourced materials into its supply chain and is working to increase the sustainable materials used to make its vehicles. </w:t>
      </w:r>
    </w:p>
    <w:p>
      <w:pPr>
        <w:pStyle w:val="TextBody"/>
        <w:bidi w:val="0"/>
        <w:spacing w:before="120" w:after="0"/>
        <w:jc w:val="both"/>
        <w:rPr>
          <w:rFonts w:ascii="arial" w:hAnsi="arial"/>
          <w:sz w:val="18"/>
        </w:rPr>
      </w:pPr>
      <w:r>
        <w:rPr>
          <w:rFonts w:ascii="arial" w:hAnsi="arial"/>
          <w:color w:val="3E3935"/>
          <w:sz w:val="18"/>
        </w:rPr>
        <w:t xml:space="preserve">As we transform our business to support production of EVs, we are not only considering end-of-life reusability and recyclability, but also working to ensure the use of sustainable materials in our vehicles from inception. We aim to procure increasingly sustainable materials, with a focus on reducing carbon emissions through process innovation, recycled material content, and renewable and fossil free energy for electricity. We will drive collaboration with our suppliers and apply data-driven strategies that can be customized to the specific attributes of each commodity. In addition, GM has a number of policies that document our commitment to responsibly sourced materials, including our Sustainable Natural Rubber Policy and our Responsible Minerals Sourcing Policy, in addition to our Global Environmental Policy, all which are available at </w:t>
      </w:r>
      <w:r>
        <w:rPr>
          <w:rFonts w:ascii="arial" w:hAnsi="arial"/>
          <w:i/>
          <w:color w:val="0071CE"/>
          <w:sz w:val="18"/>
        </w:rPr>
        <w:t>gmsustainability.com</w:t>
      </w:r>
      <w:r>
        <w:rPr>
          <w:rFonts w:ascii="arial" w:hAnsi="arial"/>
          <w:color w:val="3E3935"/>
          <w:sz w:val="18"/>
        </w:rPr>
        <w:t xml:space="preserve">. </w:t>
      </w:r>
    </w:p>
    <w:p>
      <w:pPr>
        <w:pStyle w:val="TextBody"/>
        <w:bidi w:val="0"/>
        <w:spacing w:before="120" w:after="0"/>
        <w:jc w:val="both"/>
        <w:rPr>
          <w:rFonts w:ascii="arial" w:hAnsi="arial"/>
          <w:color w:val="3E3935"/>
          <w:sz w:val="18"/>
        </w:rPr>
      </w:pPr>
      <w:r>
        <w:rPr>
          <w:rFonts w:ascii="arial" w:hAnsi="arial"/>
          <w:color w:val="3E3935"/>
          <w:sz w:val="18"/>
        </w:rPr>
        <w:t xml:space="preserve">We know that our suppliers’ commitment to responsible and sustainable operations is a critical component of our vision of zero crashes, zero emissions, and zero congestion. GM’s cross-functional teams work directly with suppliers to integrate sustainability into all aspects of our supply chain. This includes our ESG Supplier Pledge, which invites our Tier 1 suppliers to embrace sustainability in a holistic manner, focusing on commitments related to environmental, social, and governance topics. As part of the Pledge, GM is asking its suppliers to commit to carbon neutrality for their Scope 1 and Scope 2 emissions relevant to products or services provided to GM, with a target of (i) 2035 for manufacturing suppliers that provide vehicle components and purchased equipment and (ii) 2038 for raw materials suppliers that provide raw materials or logistics. In addition, we have announced procurement commitments that are aligned with the goals of the First Movers Coalition with respect to concrete, steel, and aluminum. </w:t>
      </w:r>
    </w:p>
    <w:p>
      <w:pPr>
        <w:pStyle w:val="TextBody"/>
        <w:bidi w:val="0"/>
        <w:spacing w:before="120" w:after="0"/>
        <w:jc w:val="left"/>
        <w:rPr>
          <w:rFonts w:ascii="arial" w:hAnsi="arial"/>
          <w:b/>
          <w:i/>
          <w:color w:val="3E3935"/>
          <w:sz w:val="18"/>
        </w:rPr>
      </w:pPr>
      <w:r>
        <w:rPr>
          <w:rFonts w:ascii="arial" w:hAnsi="arial"/>
          <w:b/>
          <w:i/>
          <w:color w:val="3E3935"/>
          <w:sz w:val="18"/>
        </w:rPr>
        <w:t xml:space="preserve">GM collaborates with, and is an active member of, organizations inside and outside the automotive industry to develop sustainable and socially responsible supply chain programs. </w:t>
      </w:r>
    </w:p>
    <w:p>
      <w:pPr>
        <w:pStyle w:val="TextBody"/>
        <w:bidi w:val="0"/>
        <w:spacing w:before="120" w:after="0"/>
        <w:jc w:val="both"/>
        <w:rPr>
          <w:rFonts w:ascii="arial" w:hAnsi="arial"/>
          <w:color w:val="3E3935"/>
          <w:sz w:val="18"/>
        </w:rPr>
      </w:pPr>
      <w:r>
        <w:rPr>
          <w:rFonts w:ascii="arial" w:hAnsi="arial"/>
          <w:color w:val="3E3935"/>
          <w:sz w:val="18"/>
        </w:rPr>
        <w:t xml:space="preserve">We work closely with many industry and supply chain-focused organizations, including the Automotive Industry Action Group (AIAG), where we actively participate in the Responsible Materials Working Group and sit on the Corporate Responsibility Steering Committee, and the Suppliers Partnership for the Environment, which convenes companies in the automotive value chain, in partnership with U.S. Environmental Protection Agency, to advance projects with positive environmental, economic and community impact. GM has also partnered with the Responsible Business Alliance (RBA) to provide business ethics, environment, and human rights and working conditions training to our employees and suppliers. Additionally, GM is a member of the Global Platform for Sustainable Natural Rubber (GPSNR) and the First Movers Coalition. </w:t>
      </w:r>
    </w:p>
    <w:p>
      <w:pPr>
        <w:pStyle w:val="TextBody"/>
        <w:bidi w:val="0"/>
        <w:spacing w:before="120" w:after="0"/>
        <w:jc w:val="left"/>
        <w:rPr>
          <w:rFonts w:ascii="arial" w:hAnsi="arial"/>
          <w:b/>
          <w:i/>
          <w:color w:val="3E3935"/>
          <w:sz w:val="18"/>
        </w:rPr>
      </w:pPr>
      <w:r>
        <w:rPr>
          <w:rFonts w:ascii="arial" w:hAnsi="arial"/>
          <w:b/>
          <w:i/>
          <w:color w:val="3E3935"/>
          <w:sz w:val="18"/>
        </w:rPr>
        <w:t xml:space="preserve">The requested report is unnecessary because GM already follows robust and transparent reporting practices. </w:t>
      </w:r>
    </w:p>
    <w:p>
      <w:pPr>
        <w:pStyle w:val="TextBody"/>
        <w:bidi w:val="0"/>
        <w:spacing w:before="120" w:after="0"/>
        <w:jc w:val="both"/>
        <w:rPr>
          <w:rFonts w:ascii="arial" w:hAnsi="arial"/>
          <w:sz w:val="18"/>
        </w:rPr>
      </w:pPr>
      <w:r>
        <w:rPr>
          <w:rFonts w:ascii="arial" w:hAnsi="arial"/>
          <w:color w:val="3E3935"/>
          <w:sz w:val="18"/>
        </w:rPr>
        <w:t xml:space="preserve">GM’s approach to supply chain sourcing and sustainability are addressed in our annual Sustainability Report. Specifically, GM makes disclosures aligned with relevant Global Reporting Initiatives and Sustainability Accounting Standards Board standards. In addition, as a member of GPSNR, we report progress in implementing our Sustainable Natural Rubber Policy annually. Furthermore, GM engages regularly with shareholders and other stakeholders on these and other critical supply chain and sustainability issues. GM will continue to provide robust public disclosure on its actions and engagement on supply chain sustainability matters, including our expanding engagement with providers of raw materials throughout our supply chain. Visit </w:t>
      </w:r>
      <w:r>
        <w:rPr>
          <w:rFonts w:ascii="arial" w:hAnsi="arial"/>
          <w:i/>
          <w:color w:val="0071CE"/>
          <w:sz w:val="18"/>
        </w:rPr>
        <w:t>gmsustainability.com</w:t>
      </w:r>
      <w:r>
        <w:rPr>
          <w:rFonts w:ascii="arial" w:hAnsi="arial"/>
          <w:color w:val="3E3935"/>
          <w:sz w:val="18"/>
        </w:rPr>
        <w:t xml:space="preserve"> for more information. </w:t>
      </w:r>
    </w:p>
    <w:p>
      <w:pPr>
        <w:pStyle w:val="TextBody"/>
        <w:bidi w:val="0"/>
        <w:spacing w:before="120" w:after="0"/>
        <w:jc w:val="left"/>
        <w:rPr>
          <w:rFonts w:ascii="arial" w:hAnsi="arial"/>
          <w:b/>
          <w:color w:val="0071CE"/>
          <w:sz w:val="22"/>
        </w:rPr>
      </w:pPr>
      <w:r>
        <w:rPr>
          <w:rFonts w:ascii="arial" w:hAnsi="arial"/>
          <w:b/>
          <w:color w:val="0071CE"/>
          <w:sz w:val="22"/>
        </w:rPr>
        <w:t xml:space="preserve">Therefore, the Board of Directors recommends a vote </w:t>
      </w:r>
      <w:r>
        <w:rPr>
          <w:rFonts w:ascii="arial" w:hAnsi="arial"/>
          <w:b/>
          <w:color w:val="3E3935"/>
          <w:sz w:val="22"/>
          <w:u w:val="single"/>
        </w:rPr>
        <w:t>AGAINST</w:t>
      </w:r>
      <w:r>
        <w:rPr>
          <w:rFonts w:ascii="arial" w:hAnsi="arial"/>
          <w:b/>
          <w:color w:val="0071CE"/>
          <w:sz w:val="22"/>
        </w:rPr>
        <w:t xml:space="preserve"> this shareholder proposal. </w:t>
      </w:r>
    </w:p>
    <w:p>
      <w:pPr>
        <w:pStyle w:val="TextBody"/>
        <w:bidi w:val="0"/>
        <w:spacing w:before="0" w:after="0"/>
        <w:jc w:val="left"/>
        <w:rPr/>
      </w:pPr>
      <w:r>
        <w:rPr/>
        <w:t> </w:t>
      </w:r>
    </w:p>
    <w:tbl>
      <w:tblPr>
        <w:tblW w:w="6746" w:type="dxa"/>
        <w:jc w:val="left"/>
        <w:tblInd w:w="0" w:type="dxa"/>
        <w:tblLayout w:type="fixed"/>
        <w:tblCellMar>
          <w:top w:w="0" w:type="dxa"/>
          <w:left w:w="0" w:type="dxa"/>
          <w:bottom w:w="0" w:type="dxa"/>
          <w:right w:w="0" w:type="dxa"/>
        </w:tblCellMar>
      </w:tblPr>
      <w:tblGrid>
        <w:gridCol w:w="275"/>
        <w:gridCol w:w="60"/>
        <w:gridCol w:w="1380"/>
        <w:gridCol w:w="60"/>
        <w:gridCol w:w="473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86</w:t>
            </w:r>
          </w:p>
        </w:tc>
        <w:tc>
          <w:tcPr>
            <w:tcW w:w="60"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left"/>
              <w:rPr/>
            </w:pPr>
            <w:r>
              <w:rPr/>
              <w:drawing>
                <wp:inline distT="0" distB="0" distL="0" distR="0">
                  <wp:extent cx="838200" cy="107315"/>
                  <wp:effectExtent l="0" t="0" r="0" b="0"/>
                  <wp:docPr id="357"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86" descr=""/>
                          <pic:cNvPicPr>
                            <a:picLocks noChangeAspect="1" noChangeArrowheads="1"/>
                          </pic:cNvPicPr>
                        </pic:nvPicPr>
                        <pic:blipFill>
                          <a:blip r:embed="rId340"/>
                          <a:stretch>
                            <a:fillRect/>
                          </a:stretch>
                        </pic:blipFill>
                        <pic:spPr bwMode="auto">
                          <a:xfrm>
                            <a:off x="0" y="0"/>
                            <a:ext cx="838200" cy="1073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b/>
                <w:color w:val="3E3935"/>
              </w:rPr>
            </w:pPr>
            <w:r>
              <w:rPr>
                <w:b/>
                <w:color w:val="3E3935"/>
              </w:rPr>
              <w:t>ITEM NO. 7: SHAREHOLDER PROPOSAL</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bookmarkStart w:id="47" w:name="toc648661_45"/>
      <w:bookmarkEnd w:id="47"/>
      <w:r>
        <w:rPr>
          <w:rFonts w:ascii="arial" w:hAnsi="arial"/>
          <w:color w:val="3E3935"/>
          <w:sz w:val="64"/>
        </w:rPr>
        <w:t xml:space="preserve">General Information About The Annual Meeting </w:t>
      </w:r>
    </w:p>
    <w:p>
      <w:pPr>
        <w:pStyle w:val="TextBody"/>
        <w:bidi w:val="0"/>
        <w:spacing w:before="480" w:after="0"/>
        <w:jc w:val="left"/>
        <w:rPr>
          <w:rFonts w:ascii="arial" w:hAnsi="arial"/>
          <w:b/>
          <w:color w:val="0071CE"/>
          <w:sz w:val="28"/>
        </w:rPr>
      </w:pPr>
      <w:r>
        <w:rPr>
          <w:rFonts w:ascii="arial" w:hAnsi="arial"/>
          <w:b/>
          <w:color w:val="0071CE"/>
          <w:sz w:val="28"/>
        </w:rPr>
        <w:t xml:space="preserve">Voting and Meeting Information </w:t>
      </w:r>
    </w:p>
    <w:p>
      <w:pPr>
        <w:pStyle w:val="TextBody"/>
        <w:bidi w:val="0"/>
        <w:spacing w:before="360" w:after="0"/>
        <w:jc w:val="left"/>
        <w:rPr>
          <w:rFonts w:ascii="arial" w:hAnsi="arial"/>
          <w:b/>
          <w:color w:val="3E3935"/>
          <w:sz w:val="26"/>
        </w:rPr>
      </w:pPr>
      <w:r>
        <w:rPr>
          <w:rFonts w:ascii="arial" w:hAnsi="arial"/>
          <w:b/>
          <w:color w:val="3E3935"/>
          <w:sz w:val="26"/>
        </w:rPr>
        <w:t xml:space="preserve">Board Recommendations and Vote Requirements*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5"/>
        <w:gridCol w:w="120"/>
        <w:gridCol w:w="2454"/>
        <w:gridCol w:w="120"/>
        <w:gridCol w:w="1535"/>
        <w:gridCol w:w="120"/>
        <w:gridCol w:w="2255"/>
        <w:gridCol w:w="120"/>
        <w:gridCol w:w="1313"/>
        <w:gridCol w:w="120"/>
        <w:gridCol w:w="1353"/>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Agenda</w:t>
            </w:r>
          </w:p>
          <w:p>
            <w:pPr>
              <w:pStyle w:val="TableContents"/>
              <w:bidi w:val="0"/>
              <w:spacing w:before="0" w:after="20"/>
              <w:jc w:val="center"/>
              <w:rPr>
                <w:rFonts w:ascii="arial" w:hAnsi="arial"/>
                <w:b/>
                <w:color w:val="3E3935"/>
                <w:sz w:val="18"/>
              </w:rPr>
            </w:pPr>
            <w:r>
              <w:rPr>
                <w:rFonts w:ascii="arial" w:hAnsi="arial"/>
                <w:b/>
                <w:color w:val="3E3935"/>
                <w:sz w:val="18"/>
              </w:rPr>
              <w:t>Item</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454"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Description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535"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Board</w:t>
            </w:r>
          </w:p>
          <w:p>
            <w:pPr>
              <w:pStyle w:val="TableContents"/>
              <w:bidi w:val="0"/>
              <w:spacing w:before="0" w:after="20"/>
              <w:jc w:val="center"/>
              <w:rPr>
                <w:rFonts w:ascii="arial" w:hAnsi="arial"/>
                <w:b/>
                <w:color w:val="3E3935"/>
                <w:sz w:val="18"/>
              </w:rPr>
            </w:pPr>
            <w:r>
              <w:rPr>
                <w:rFonts w:ascii="arial" w:hAnsi="arial"/>
                <w:b/>
                <w:color w:val="3E3935"/>
                <w:sz w:val="18"/>
              </w:rPr>
              <w:t>Recommendation</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2255" w:type="dxa"/>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Vote Requirement for</w:t>
              <w:br/>
              <w:t>Approval</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13"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Effect of</w:t>
            </w:r>
          </w:p>
          <w:p>
            <w:pPr>
              <w:pStyle w:val="TableContents"/>
              <w:bidi w:val="0"/>
              <w:spacing w:before="0" w:after="20"/>
              <w:jc w:val="center"/>
              <w:rPr>
                <w:rFonts w:ascii="arial" w:hAnsi="arial"/>
                <w:b/>
                <w:color w:val="3E3935"/>
                <w:sz w:val="18"/>
              </w:rPr>
            </w:pPr>
            <w:r>
              <w:rPr>
                <w:rFonts w:ascii="arial" w:hAnsi="arial"/>
                <w:b/>
                <w:color w:val="3E3935"/>
                <w:sz w:val="18"/>
              </w:rPr>
              <w:t>Abstentions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1353" w:type="dxa"/>
            <w:tcBorders>
              <w:bottom w:val="single" w:sz="6" w:space="0" w:color="0071CE"/>
            </w:tcBorders>
            <w:tcMar>
              <w:bottom w:w="80" w:type="dxa"/>
            </w:tcMar>
            <w:vAlign w:val="center"/>
          </w:tcPr>
          <w:p>
            <w:pPr>
              <w:pStyle w:val="TableContents"/>
              <w:bidi w:val="0"/>
              <w:spacing w:before="0" w:after="0"/>
              <w:jc w:val="center"/>
              <w:rPr>
                <w:rFonts w:ascii="arial" w:hAnsi="arial"/>
                <w:b/>
                <w:color w:val="3E3935"/>
                <w:sz w:val="18"/>
              </w:rPr>
            </w:pPr>
            <w:r>
              <w:rPr>
                <w:rFonts w:ascii="arial" w:hAnsi="arial"/>
                <w:b/>
                <w:color w:val="3E3935"/>
                <w:sz w:val="18"/>
              </w:rPr>
              <w:t>Effect of</w:t>
            </w:r>
          </w:p>
          <w:p>
            <w:pPr>
              <w:pStyle w:val="TableContents"/>
              <w:bidi w:val="0"/>
              <w:spacing w:before="0" w:after="0"/>
              <w:jc w:val="center"/>
              <w:rPr>
                <w:rFonts w:ascii="arial" w:hAnsi="arial"/>
                <w:b/>
                <w:color w:val="3E3935"/>
                <w:sz w:val="18"/>
              </w:rPr>
            </w:pPr>
            <w:r>
              <w:rPr>
                <w:rFonts w:ascii="arial" w:hAnsi="arial"/>
                <w:b/>
                <w:color w:val="3E3935"/>
                <w:sz w:val="18"/>
              </w:rPr>
              <w:t>Broker</w:t>
            </w:r>
          </w:p>
          <w:p>
            <w:pPr>
              <w:pStyle w:val="TableContents"/>
              <w:bidi w:val="0"/>
              <w:spacing w:before="0" w:after="20"/>
              <w:jc w:val="center"/>
              <w:rPr>
                <w:rFonts w:ascii="arial" w:hAnsi="arial"/>
                <w:b/>
                <w:color w:val="3E3935"/>
                <w:sz w:val="18"/>
              </w:rPr>
            </w:pPr>
            <w:r>
              <w:rPr>
                <w:rFonts w:ascii="arial" w:hAnsi="arial"/>
                <w:b/>
                <w:color w:val="3E3935"/>
                <w:sz w:val="18"/>
              </w:rPr>
              <w:t>Non-Votes</w:t>
            </w:r>
          </w:p>
        </w:tc>
      </w:tr>
      <w:tr>
        <w:trPr/>
        <w:tc>
          <w:tcPr>
            <w:tcW w:w="695" w:type="dxa"/>
            <w:tcBorders/>
            <w:shd w:fill="CCF2F8" w:val="clear"/>
            <w:vAlign w:val="center"/>
          </w:tcPr>
          <w:p>
            <w:pPr>
              <w:pStyle w:val="TableContents"/>
              <w:bidi w:val="0"/>
              <w:spacing w:before="0" w:after="283"/>
              <w:jc w:val="left"/>
              <w:rPr>
                <w:sz w:val="4"/>
                <w:szCs w:val="4"/>
              </w:rPr>
            </w:pPr>
            <w:r>
              <w:rPr>
                <w:sz w:val="4"/>
                <w:szCs w:val="4"/>
              </w:rPr>
            </w:r>
          </w:p>
        </w:tc>
        <w:tc>
          <w:tcPr>
            <w:tcW w:w="2574" w:type="dxa"/>
            <w:gridSpan w:val="2"/>
            <w:tcBorders/>
            <w:shd w:fill="CCF2F8" w:val="clear"/>
            <w:vAlign w:val="center"/>
          </w:tcPr>
          <w:p>
            <w:pPr>
              <w:pStyle w:val="TableContents"/>
              <w:bidi w:val="0"/>
              <w:spacing w:before="0" w:after="283"/>
              <w:jc w:val="left"/>
              <w:rPr>
                <w:sz w:val="4"/>
                <w:szCs w:val="4"/>
              </w:rPr>
            </w:pPr>
            <w:r>
              <w:rPr>
                <w:sz w:val="4"/>
                <w:szCs w:val="4"/>
              </w:rPr>
            </w:r>
          </w:p>
        </w:tc>
        <w:tc>
          <w:tcPr>
            <w:tcW w:w="1655" w:type="dxa"/>
            <w:gridSpan w:val="2"/>
            <w:tcBorders/>
            <w:shd w:fill="CCF2F8" w:val="clear"/>
            <w:vAlign w:val="center"/>
          </w:tcPr>
          <w:p>
            <w:pPr>
              <w:pStyle w:val="TableContents"/>
              <w:bidi w:val="0"/>
              <w:spacing w:before="0" w:after="283"/>
              <w:jc w:val="left"/>
              <w:rPr>
                <w:sz w:val="4"/>
                <w:szCs w:val="4"/>
              </w:rPr>
            </w:pPr>
            <w:r>
              <w:rPr>
                <w:sz w:val="4"/>
                <w:szCs w:val="4"/>
              </w:rPr>
            </w:r>
          </w:p>
        </w:tc>
        <w:tc>
          <w:tcPr>
            <w:tcW w:w="2375" w:type="dxa"/>
            <w:gridSpan w:val="2"/>
            <w:tcBorders/>
            <w:shd w:fill="CCF2F8" w:val="clear"/>
            <w:vAlign w:val="center"/>
          </w:tcPr>
          <w:p>
            <w:pPr>
              <w:pStyle w:val="TableContents"/>
              <w:bidi w:val="0"/>
              <w:spacing w:before="0" w:after="283"/>
              <w:jc w:val="left"/>
              <w:rPr>
                <w:sz w:val="4"/>
                <w:szCs w:val="4"/>
              </w:rPr>
            </w:pPr>
            <w:r>
              <w:rPr>
                <w:sz w:val="4"/>
                <w:szCs w:val="4"/>
              </w:rPr>
            </w:r>
          </w:p>
        </w:tc>
        <w:tc>
          <w:tcPr>
            <w:tcW w:w="1433" w:type="dxa"/>
            <w:gridSpan w:val="2"/>
            <w:tcBorders/>
            <w:shd w:fill="CCF2F8" w:val="clear"/>
            <w:vAlign w:val="center"/>
          </w:tcPr>
          <w:p>
            <w:pPr>
              <w:pStyle w:val="TableContents"/>
              <w:bidi w:val="0"/>
              <w:spacing w:before="0" w:after="283"/>
              <w:jc w:val="left"/>
              <w:rPr>
                <w:sz w:val="4"/>
                <w:szCs w:val="4"/>
              </w:rPr>
            </w:pPr>
            <w:r>
              <w:rPr>
                <w:sz w:val="4"/>
                <w:szCs w:val="4"/>
              </w:rPr>
            </w:r>
          </w:p>
        </w:tc>
        <w:tc>
          <w:tcPr>
            <w:tcW w:w="1473"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95" w:type="dxa"/>
            <w:tcBorders/>
            <w:shd w:fill="CCF2F8" w:val="clear"/>
            <w:vAlign w:val="center"/>
          </w:tcPr>
          <w:p>
            <w:pPr>
              <w:pStyle w:val="TableContents"/>
              <w:bidi w:val="0"/>
              <w:spacing w:before="0" w:after="0"/>
              <w:jc w:val="center"/>
              <w:rPr>
                <w:rFonts w:ascii="arial" w:hAnsi="arial"/>
                <w:color w:val="3E3935"/>
                <w:sz w:val="17"/>
              </w:rPr>
            </w:pPr>
            <w:r>
              <w:rPr>
                <w:rFonts w:ascii="arial" w:hAnsi="arial"/>
                <w:color w:val="3E3935"/>
                <w:sz w:val="17"/>
              </w:rPr>
              <w:t>1</w:t>
            </w:r>
          </w:p>
        </w:tc>
        <w:tc>
          <w:tcPr>
            <w:tcW w:w="120" w:type="dxa"/>
            <w:tcBorders/>
            <w:shd w:fill="CCF2F8" w:val="clear"/>
            <w:vAlign w:val="center"/>
          </w:tcPr>
          <w:p>
            <w:pPr>
              <w:pStyle w:val="TableContents"/>
              <w:bidi w:val="0"/>
              <w:spacing w:before="0" w:after="283"/>
              <w:jc w:val="left"/>
              <w:rPr/>
            </w:pPr>
            <w:r>
              <w:rPr/>
              <w:t>  </w:t>
            </w:r>
          </w:p>
        </w:tc>
        <w:tc>
          <w:tcPr>
            <w:tcW w:w="2454" w:type="dxa"/>
            <w:tcBorders/>
            <w:shd w:fill="CCF2F8" w:val="clear"/>
            <w:vAlign w:val="center"/>
          </w:tcPr>
          <w:p>
            <w:pPr>
              <w:pStyle w:val="TableContents"/>
              <w:bidi w:val="0"/>
              <w:spacing w:before="0" w:after="283"/>
              <w:jc w:val="left"/>
              <w:rPr>
                <w:color w:val="3E3935"/>
              </w:rPr>
            </w:pPr>
            <w:r>
              <w:rPr>
                <w:color w:val="3E3935"/>
              </w:rPr>
              <w:t>Annual Election of Directors</w:t>
            </w:r>
          </w:p>
        </w:tc>
        <w:tc>
          <w:tcPr>
            <w:tcW w:w="120" w:type="dxa"/>
            <w:tcBorders/>
            <w:shd w:fill="CCF2F8" w:val="clear"/>
            <w:vAlign w:val="center"/>
          </w:tcPr>
          <w:p>
            <w:pPr>
              <w:pStyle w:val="TableContents"/>
              <w:bidi w:val="0"/>
              <w:spacing w:before="0" w:after="283"/>
              <w:jc w:val="left"/>
              <w:rPr/>
            </w:pPr>
            <w:r>
              <w:rPr/>
              <w:t>  </w:t>
            </w:r>
          </w:p>
        </w:tc>
        <w:tc>
          <w:tcPr>
            <w:tcW w:w="1535" w:type="dxa"/>
            <w:tcBorders/>
            <w:shd w:fill="CCF2F8" w:val="clear"/>
            <w:vAlign w:val="center"/>
          </w:tcPr>
          <w:p>
            <w:pPr>
              <w:pStyle w:val="TableContents"/>
              <w:bidi w:val="0"/>
              <w:spacing w:before="0" w:after="283"/>
              <w:jc w:val="center"/>
              <w:rPr>
                <w:b/>
                <w:color w:val="0071CE"/>
              </w:rPr>
            </w:pPr>
            <w:r>
              <w:rPr>
                <w:b/>
                <w:color w:val="0071CE"/>
              </w:rPr>
              <w:t>FOR</w:t>
              <w:br/>
              <w:t>each director</w:t>
              <w:br/>
              <w:t>nominee</w:t>
            </w:r>
          </w:p>
        </w:tc>
        <w:tc>
          <w:tcPr>
            <w:tcW w:w="120" w:type="dxa"/>
            <w:tcBorders/>
            <w:shd w:fill="CCF2F8" w:val="clear"/>
            <w:vAlign w:val="center"/>
          </w:tcPr>
          <w:p>
            <w:pPr>
              <w:pStyle w:val="TableContents"/>
              <w:bidi w:val="0"/>
              <w:spacing w:before="0" w:after="283"/>
              <w:jc w:val="left"/>
              <w:rPr/>
            </w:pPr>
            <w:r>
              <w:rPr/>
              <w:t>  </w:t>
            </w:r>
          </w:p>
        </w:tc>
        <w:tc>
          <w:tcPr>
            <w:tcW w:w="2255" w:type="dxa"/>
            <w:tcBorders/>
            <w:shd w:fill="CCF2F8" w:val="clear"/>
            <w:vAlign w:val="center"/>
          </w:tcPr>
          <w:p>
            <w:pPr>
              <w:pStyle w:val="TableContents"/>
              <w:bidi w:val="0"/>
              <w:spacing w:before="0" w:after="283"/>
              <w:jc w:val="center"/>
              <w:rPr>
                <w:color w:val="3E3935"/>
              </w:rPr>
            </w:pPr>
            <w:r>
              <w:rPr>
                <w:color w:val="3E3935"/>
              </w:rPr>
              <w:t>Majority of votes cast</w:t>
            </w:r>
          </w:p>
        </w:tc>
        <w:tc>
          <w:tcPr>
            <w:tcW w:w="120" w:type="dxa"/>
            <w:tcBorders/>
            <w:shd w:fill="CCF2F8" w:val="clear"/>
            <w:vAlign w:val="center"/>
          </w:tcPr>
          <w:p>
            <w:pPr>
              <w:pStyle w:val="TableContents"/>
              <w:bidi w:val="0"/>
              <w:spacing w:before="0" w:after="283"/>
              <w:jc w:val="left"/>
              <w:rPr/>
            </w:pPr>
            <w:r>
              <w:rPr/>
              <w:t>  </w:t>
            </w:r>
          </w:p>
        </w:tc>
        <w:tc>
          <w:tcPr>
            <w:tcW w:w="1313" w:type="dxa"/>
            <w:tcBorders/>
            <w:shd w:fill="CCF2F8" w:val="clear"/>
            <w:vAlign w:val="center"/>
          </w:tcPr>
          <w:p>
            <w:pPr>
              <w:pStyle w:val="TableContents"/>
              <w:bidi w:val="0"/>
              <w:spacing w:before="0" w:after="283"/>
              <w:jc w:val="center"/>
              <w:rPr>
                <w:color w:val="3E3935"/>
              </w:rPr>
            </w:pPr>
            <w:r>
              <w:rPr>
                <w:color w:val="3E3935"/>
              </w:rPr>
              <w:t>No effect</w:t>
            </w:r>
          </w:p>
        </w:tc>
        <w:tc>
          <w:tcPr>
            <w:tcW w:w="120" w:type="dxa"/>
            <w:tcBorders/>
            <w:shd w:fill="CCF2F8" w:val="clear"/>
            <w:vAlign w:val="center"/>
          </w:tcPr>
          <w:p>
            <w:pPr>
              <w:pStyle w:val="TableContents"/>
              <w:bidi w:val="0"/>
              <w:spacing w:before="0" w:after="283"/>
              <w:jc w:val="left"/>
              <w:rPr/>
            </w:pPr>
            <w:r>
              <w:rPr/>
              <w:t>  </w:t>
            </w:r>
          </w:p>
        </w:tc>
        <w:tc>
          <w:tcPr>
            <w:tcW w:w="1353" w:type="dxa"/>
            <w:tcBorders/>
            <w:shd w:fill="CCF2F8" w:val="clear"/>
            <w:vAlign w:val="center"/>
          </w:tcPr>
          <w:p>
            <w:pPr>
              <w:pStyle w:val="TableContents"/>
              <w:bidi w:val="0"/>
              <w:spacing w:before="0" w:after="283"/>
              <w:jc w:val="center"/>
              <w:rPr>
                <w:color w:val="3E3935"/>
              </w:rPr>
            </w:pPr>
            <w:r>
              <w:rPr>
                <w:color w:val="3E3935"/>
              </w:rPr>
              <w:t>No effect</w:t>
            </w:r>
          </w:p>
        </w:tc>
      </w:tr>
      <w:tr>
        <w:trPr/>
        <w:tc>
          <w:tcPr>
            <w:tcW w:w="695" w:type="dxa"/>
            <w:tcBorders/>
            <w:vAlign w:val="center"/>
          </w:tcPr>
          <w:p>
            <w:pPr>
              <w:pStyle w:val="TableContents"/>
              <w:bidi w:val="0"/>
              <w:spacing w:before="0" w:after="283"/>
              <w:jc w:val="left"/>
              <w:rPr>
                <w:sz w:val="4"/>
                <w:szCs w:val="4"/>
              </w:rPr>
            </w:pPr>
            <w:r>
              <w:rPr>
                <w:sz w:val="4"/>
                <w:szCs w:val="4"/>
              </w:rPr>
            </w:r>
          </w:p>
        </w:tc>
        <w:tc>
          <w:tcPr>
            <w:tcW w:w="2574"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c>
          <w:tcPr>
            <w:tcW w:w="1433" w:type="dxa"/>
            <w:gridSpan w:val="2"/>
            <w:tcBorders/>
            <w:vAlign w:val="center"/>
          </w:tcPr>
          <w:p>
            <w:pPr>
              <w:pStyle w:val="TableContents"/>
              <w:bidi w:val="0"/>
              <w:spacing w:before="0" w:after="283"/>
              <w:jc w:val="left"/>
              <w:rPr>
                <w:sz w:val="4"/>
                <w:szCs w:val="4"/>
              </w:rPr>
            </w:pPr>
            <w:r>
              <w:rPr>
                <w:sz w:val="4"/>
                <w:szCs w:val="4"/>
              </w:rPr>
            </w:r>
          </w:p>
        </w:tc>
        <w:tc>
          <w:tcPr>
            <w:tcW w:w="1473"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0"/>
              <w:jc w:val="center"/>
              <w:rPr>
                <w:rFonts w:ascii="arial" w:hAnsi="arial"/>
                <w:color w:val="3E3935"/>
                <w:sz w:val="17"/>
              </w:rPr>
            </w:pPr>
            <w:r>
              <w:rPr>
                <w:rFonts w:ascii="arial" w:hAnsi="arial"/>
                <w:color w:val="3E3935"/>
                <w:sz w:val="17"/>
              </w:rPr>
              <w:t>2</w:t>
            </w:r>
          </w:p>
        </w:tc>
        <w:tc>
          <w:tcPr>
            <w:tcW w:w="120"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color w:val="3E3935"/>
              </w:rPr>
            </w:pPr>
            <w:r>
              <w:rPr>
                <w:color w:val="3E3935"/>
              </w:rPr>
              <w:t>Proposal to Ratify the Selection of Ernst &amp; Young LLP as the Company’s Independent Registered Public Accounting Firm for 2024</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color w:val="0071CE"/>
              </w:rPr>
            </w:pPr>
            <w:r>
              <w:rPr>
                <w:b/>
                <w:color w:val="0071CE"/>
              </w:rPr>
              <w:t>FOR</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Majority of shares present</w:t>
              <w:br/>
              <w:t>(in person or by proxy)</w:t>
              <w:br/>
              <w:t>and entitled to vote</w:t>
            </w:r>
          </w:p>
        </w:tc>
        <w:tc>
          <w:tcPr>
            <w:tcW w:w="12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center"/>
              <w:rPr>
                <w:color w:val="3E3935"/>
              </w:rPr>
            </w:pPr>
            <w:r>
              <w:rPr>
                <w:color w:val="3E3935"/>
              </w:rPr>
              <w:t>Counted as “AGAINST”</w:t>
            </w:r>
          </w:p>
        </w:tc>
        <w:tc>
          <w:tcPr>
            <w:tcW w:w="12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center"/>
              <w:rPr>
                <w:color w:val="3E3935"/>
              </w:rPr>
            </w:pPr>
            <w:r>
              <w:rPr>
                <w:color w:val="3E3935"/>
              </w:rPr>
              <w:t>Discretionary vote</w:t>
            </w:r>
          </w:p>
        </w:tc>
      </w:tr>
      <w:tr>
        <w:trPr/>
        <w:tc>
          <w:tcPr>
            <w:tcW w:w="695" w:type="dxa"/>
            <w:tcBorders/>
            <w:shd w:fill="CCF2F8" w:val="clear"/>
            <w:vAlign w:val="center"/>
          </w:tcPr>
          <w:p>
            <w:pPr>
              <w:pStyle w:val="TableContents"/>
              <w:bidi w:val="0"/>
              <w:spacing w:before="0" w:after="283"/>
              <w:jc w:val="left"/>
              <w:rPr>
                <w:sz w:val="4"/>
                <w:szCs w:val="4"/>
              </w:rPr>
            </w:pPr>
            <w:r>
              <w:rPr>
                <w:sz w:val="4"/>
                <w:szCs w:val="4"/>
              </w:rPr>
            </w:r>
          </w:p>
        </w:tc>
        <w:tc>
          <w:tcPr>
            <w:tcW w:w="2574" w:type="dxa"/>
            <w:gridSpan w:val="2"/>
            <w:tcBorders/>
            <w:shd w:fill="CCF2F8" w:val="clear"/>
            <w:vAlign w:val="center"/>
          </w:tcPr>
          <w:p>
            <w:pPr>
              <w:pStyle w:val="TableContents"/>
              <w:bidi w:val="0"/>
              <w:spacing w:before="0" w:after="283"/>
              <w:jc w:val="left"/>
              <w:rPr>
                <w:sz w:val="4"/>
                <w:szCs w:val="4"/>
              </w:rPr>
            </w:pPr>
            <w:r>
              <w:rPr>
                <w:sz w:val="4"/>
                <w:szCs w:val="4"/>
              </w:rPr>
            </w:r>
          </w:p>
        </w:tc>
        <w:tc>
          <w:tcPr>
            <w:tcW w:w="1655" w:type="dxa"/>
            <w:gridSpan w:val="2"/>
            <w:tcBorders/>
            <w:shd w:fill="CCF2F8" w:val="clear"/>
            <w:vAlign w:val="center"/>
          </w:tcPr>
          <w:p>
            <w:pPr>
              <w:pStyle w:val="TableContents"/>
              <w:bidi w:val="0"/>
              <w:spacing w:before="0" w:after="283"/>
              <w:jc w:val="left"/>
              <w:rPr>
                <w:sz w:val="4"/>
                <w:szCs w:val="4"/>
              </w:rPr>
            </w:pPr>
            <w:r>
              <w:rPr>
                <w:sz w:val="4"/>
                <w:szCs w:val="4"/>
              </w:rPr>
            </w:r>
          </w:p>
        </w:tc>
        <w:tc>
          <w:tcPr>
            <w:tcW w:w="2375" w:type="dxa"/>
            <w:gridSpan w:val="2"/>
            <w:tcBorders/>
            <w:shd w:fill="CCF2F8" w:val="clear"/>
            <w:vAlign w:val="center"/>
          </w:tcPr>
          <w:p>
            <w:pPr>
              <w:pStyle w:val="TableContents"/>
              <w:bidi w:val="0"/>
              <w:spacing w:before="0" w:after="283"/>
              <w:jc w:val="left"/>
              <w:rPr>
                <w:sz w:val="4"/>
                <w:szCs w:val="4"/>
              </w:rPr>
            </w:pPr>
            <w:r>
              <w:rPr>
                <w:sz w:val="4"/>
                <w:szCs w:val="4"/>
              </w:rPr>
            </w:r>
          </w:p>
        </w:tc>
        <w:tc>
          <w:tcPr>
            <w:tcW w:w="1433" w:type="dxa"/>
            <w:gridSpan w:val="2"/>
            <w:tcBorders/>
            <w:shd w:fill="CCF2F8" w:val="clear"/>
            <w:vAlign w:val="center"/>
          </w:tcPr>
          <w:p>
            <w:pPr>
              <w:pStyle w:val="TableContents"/>
              <w:bidi w:val="0"/>
              <w:spacing w:before="0" w:after="283"/>
              <w:jc w:val="left"/>
              <w:rPr>
                <w:sz w:val="4"/>
                <w:szCs w:val="4"/>
              </w:rPr>
            </w:pPr>
            <w:r>
              <w:rPr>
                <w:sz w:val="4"/>
                <w:szCs w:val="4"/>
              </w:rPr>
            </w:r>
          </w:p>
        </w:tc>
        <w:tc>
          <w:tcPr>
            <w:tcW w:w="1473"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95" w:type="dxa"/>
            <w:tcBorders/>
            <w:shd w:fill="CCF2F8" w:val="clear"/>
            <w:vAlign w:val="center"/>
          </w:tcPr>
          <w:p>
            <w:pPr>
              <w:pStyle w:val="TableContents"/>
              <w:bidi w:val="0"/>
              <w:spacing w:before="0" w:after="0"/>
              <w:jc w:val="center"/>
              <w:rPr>
                <w:rFonts w:ascii="arial" w:hAnsi="arial"/>
                <w:color w:val="3E3935"/>
                <w:sz w:val="17"/>
              </w:rPr>
            </w:pPr>
            <w:r>
              <w:rPr>
                <w:rFonts w:ascii="arial" w:hAnsi="arial"/>
                <w:color w:val="3E3935"/>
                <w:sz w:val="17"/>
              </w:rPr>
              <w:t>3</w:t>
            </w:r>
          </w:p>
        </w:tc>
        <w:tc>
          <w:tcPr>
            <w:tcW w:w="120" w:type="dxa"/>
            <w:tcBorders/>
            <w:shd w:fill="CCF2F8" w:val="clear"/>
            <w:vAlign w:val="center"/>
          </w:tcPr>
          <w:p>
            <w:pPr>
              <w:pStyle w:val="TableContents"/>
              <w:bidi w:val="0"/>
              <w:spacing w:before="0" w:after="283"/>
              <w:jc w:val="left"/>
              <w:rPr/>
            </w:pPr>
            <w:r>
              <w:rPr/>
              <w:t>  </w:t>
            </w:r>
          </w:p>
        </w:tc>
        <w:tc>
          <w:tcPr>
            <w:tcW w:w="2454" w:type="dxa"/>
            <w:tcBorders/>
            <w:shd w:fill="CCF2F8" w:val="clear"/>
            <w:vAlign w:val="center"/>
          </w:tcPr>
          <w:p>
            <w:pPr>
              <w:pStyle w:val="TableContents"/>
              <w:bidi w:val="0"/>
              <w:spacing w:before="0" w:after="283"/>
              <w:jc w:val="left"/>
              <w:rPr>
                <w:color w:val="3E3935"/>
              </w:rPr>
            </w:pPr>
            <w:r>
              <w:rPr>
                <w:color w:val="3E3935"/>
              </w:rPr>
              <w:t>Proposal to Approve, on an Advisory Basis, Named Executive Officer Compensation</w:t>
            </w:r>
          </w:p>
        </w:tc>
        <w:tc>
          <w:tcPr>
            <w:tcW w:w="120" w:type="dxa"/>
            <w:tcBorders/>
            <w:shd w:fill="CCF2F8" w:val="clear"/>
            <w:vAlign w:val="center"/>
          </w:tcPr>
          <w:p>
            <w:pPr>
              <w:pStyle w:val="TableContents"/>
              <w:bidi w:val="0"/>
              <w:spacing w:before="0" w:after="283"/>
              <w:jc w:val="left"/>
              <w:rPr/>
            </w:pPr>
            <w:r>
              <w:rPr/>
              <w:t>  </w:t>
            </w:r>
          </w:p>
        </w:tc>
        <w:tc>
          <w:tcPr>
            <w:tcW w:w="1535" w:type="dxa"/>
            <w:tcBorders/>
            <w:shd w:fill="CCF2F8" w:val="clear"/>
            <w:vAlign w:val="center"/>
          </w:tcPr>
          <w:p>
            <w:pPr>
              <w:pStyle w:val="TableContents"/>
              <w:bidi w:val="0"/>
              <w:spacing w:before="0" w:after="283"/>
              <w:jc w:val="center"/>
              <w:rPr>
                <w:b/>
                <w:color w:val="0071CE"/>
              </w:rPr>
            </w:pPr>
            <w:r>
              <w:rPr>
                <w:b/>
                <w:color w:val="0071CE"/>
              </w:rPr>
              <w:t>FOR</w:t>
            </w:r>
          </w:p>
        </w:tc>
        <w:tc>
          <w:tcPr>
            <w:tcW w:w="120" w:type="dxa"/>
            <w:tcBorders/>
            <w:shd w:fill="CCF2F8" w:val="clear"/>
            <w:vAlign w:val="center"/>
          </w:tcPr>
          <w:p>
            <w:pPr>
              <w:pStyle w:val="TableContents"/>
              <w:bidi w:val="0"/>
              <w:spacing w:before="0" w:after="283"/>
              <w:jc w:val="left"/>
              <w:rPr/>
            </w:pPr>
            <w:r>
              <w:rPr/>
              <w:t>  </w:t>
            </w:r>
          </w:p>
        </w:tc>
        <w:tc>
          <w:tcPr>
            <w:tcW w:w="225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Majority of shares present</w:t>
              <w:br/>
              <w:t>(in person or by proxy)</w:t>
              <w:br/>
              <w:t>and entitled to vote</w:t>
            </w:r>
          </w:p>
        </w:tc>
        <w:tc>
          <w:tcPr>
            <w:tcW w:w="120" w:type="dxa"/>
            <w:tcBorders/>
            <w:shd w:fill="CCF2F8" w:val="clear"/>
            <w:vAlign w:val="center"/>
          </w:tcPr>
          <w:p>
            <w:pPr>
              <w:pStyle w:val="TableContents"/>
              <w:bidi w:val="0"/>
              <w:spacing w:before="0" w:after="283"/>
              <w:jc w:val="left"/>
              <w:rPr/>
            </w:pPr>
            <w:r>
              <w:rPr/>
              <w:t>  </w:t>
            </w:r>
          </w:p>
        </w:tc>
        <w:tc>
          <w:tcPr>
            <w:tcW w:w="1313" w:type="dxa"/>
            <w:tcBorders/>
            <w:shd w:fill="CCF2F8" w:val="clear"/>
            <w:vAlign w:val="center"/>
          </w:tcPr>
          <w:p>
            <w:pPr>
              <w:pStyle w:val="TableContents"/>
              <w:bidi w:val="0"/>
              <w:spacing w:before="0" w:after="283"/>
              <w:jc w:val="center"/>
              <w:rPr>
                <w:color w:val="3E3935"/>
              </w:rPr>
            </w:pPr>
            <w:r>
              <w:rPr>
                <w:color w:val="3E3935"/>
              </w:rPr>
              <w:t>Counted as “AGAINST”</w:t>
            </w:r>
          </w:p>
        </w:tc>
        <w:tc>
          <w:tcPr>
            <w:tcW w:w="120" w:type="dxa"/>
            <w:tcBorders/>
            <w:shd w:fill="CCF2F8" w:val="clear"/>
            <w:vAlign w:val="center"/>
          </w:tcPr>
          <w:p>
            <w:pPr>
              <w:pStyle w:val="TableContents"/>
              <w:bidi w:val="0"/>
              <w:spacing w:before="0" w:after="283"/>
              <w:jc w:val="left"/>
              <w:rPr/>
            </w:pPr>
            <w:r>
              <w:rPr/>
              <w:t>  </w:t>
            </w:r>
          </w:p>
        </w:tc>
        <w:tc>
          <w:tcPr>
            <w:tcW w:w="1353" w:type="dxa"/>
            <w:tcBorders/>
            <w:shd w:fill="CCF2F8" w:val="clear"/>
            <w:vAlign w:val="center"/>
          </w:tcPr>
          <w:p>
            <w:pPr>
              <w:pStyle w:val="TableContents"/>
              <w:bidi w:val="0"/>
              <w:spacing w:before="0" w:after="283"/>
              <w:jc w:val="center"/>
              <w:rPr>
                <w:color w:val="3E3935"/>
              </w:rPr>
            </w:pPr>
            <w:r>
              <w:rPr>
                <w:color w:val="3E3935"/>
              </w:rPr>
              <w:t>No effect</w:t>
            </w:r>
          </w:p>
        </w:tc>
      </w:tr>
      <w:tr>
        <w:trPr/>
        <w:tc>
          <w:tcPr>
            <w:tcW w:w="695" w:type="dxa"/>
            <w:tcBorders/>
            <w:vAlign w:val="center"/>
          </w:tcPr>
          <w:p>
            <w:pPr>
              <w:pStyle w:val="TableContents"/>
              <w:bidi w:val="0"/>
              <w:spacing w:before="0" w:after="283"/>
              <w:jc w:val="left"/>
              <w:rPr>
                <w:sz w:val="4"/>
                <w:szCs w:val="4"/>
              </w:rPr>
            </w:pPr>
            <w:r>
              <w:rPr>
                <w:sz w:val="4"/>
                <w:szCs w:val="4"/>
              </w:rPr>
            </w:r>
          </w:p>
        </w:tc>
        <w:tc>
          <w:tcPr>
            <w:tcW w:w="2574"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c>
          <w:tcPr>
            <w:tcW w:w="1433" w:type="dxa"/>
            <w:gridSpan w:val="2"/>
            <w:tcBorders/>
            <w:vAlign w:val="center"/>
          </w:tcPr>
          <w:p>
            <w:pPr>
              <w:pStyle w:val="TableContents"/>
              <w:bidi w:val="0"/>
              <w:spacing w:before="0" w:after="283"/>
              <w:jc w:val="left"/>
              <w:rPr>
                <w:sz w:val="4"/>
                <w:szCs w:val="4"/>
              </w:rPr>
            </w:pPr>
            <w:r>
              <w:rPr>
                <w:sz w:val="4"/>
                <w:szCs w:val="4"/>
              </w:rPr>
            </w:r>
          </w:p>
        </w:tc>
        <w:tc>
          <w:tcPr>
            <w:tcW w:w="1473"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0"/>
              <w:jc w:val="center"/>
              <w:rPr>
                <w:rFonts w:ascii="arial" w:hAnsi="arial"/>
                <w:color w:val="3E3935"/>
                <w:sz w:val="17"/>
              </w:rPr>
            </w:pPr>
            <w:r>
              <w:rPr>
                <w:rFonts w:ascii="arial" w:hAnsi="arial"/>
                <w:color w:val="3E3935"/>
                <w:sz w:val="17"/>
              </w:rPr>
              <w:t>4</w:t>
            </w:r>
          </w:p>
        </w:tc>
        <w:tc>
          <w:tcPr>
            <w:tcW w:w="120"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color w:val="3E3935"/>
              </w:rPr>
            </w:pPr>
            <w:r>
              <w:rPr>
                <w:color w:val="3E3935"/>
              </w:rPr>
              <w:t>Shareholder Proposal Requesting a Report on the Use of Child Labor in Connection with the Company’s EV Supply Chain</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color w:val="0071CE"/>
              </w:rPr>
            </w:pPr>
            <w:r>
              <w:rPr>
                <w:b/>
                <w:color w:val="0071CE"/>
              </w:rPr>
              <w:t>AGAINST</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Majority of shares present</w:t>
              <w:br/>
              <w:t>(in person or by proxy)</w:t>
              <w:br/>
              <w:t>and entitled to vote</w:t>
            </w:r>
          </w:p>
        </w:tc>
        <w:tc>
          <w:tcPr>
            <w:tcW w:w="12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center"/>
              <w:rPr>
                <w:color w:val="3E3935"/>
              </w:rPr>
            </w:pPr>
            <w:r>
              <w:rPr>
                <w:color w:val="3E3935"/>
              </w:rPr>
              <w:t>Counted as “AGAINST”</w:t>
            </w:r>
          </w:p>
        </w:tc>
        <w:tc>
          <w:tcPr>
            <w:tcW w:w="12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center"/>
              <w:rPr>
                <w:color w:val="3E3935"/>
              </w:rPr>
            </w:pPr>
            <w:r>
              <w:rPr>
                <w:color w:val="3E3935"/>
              </w:rPr>
              <w:t>No effect</w:t>
            </w:r>
          </w:p>
        </w:tc>
      </w:tr>
      <w:tr>
        <w:trPr/>
        <w:tc>
          <w:tcPr>
            <w:tcW w:w="695" w:type="dxa"/>
            <w:tcBorders/>
            <w:shd w:fill="CCF2F8" w:val="clear"/>
            <w:vAlign w:val="center"/>
          </w:tcPr>
          <w:p>
            <w:pPr>
              <w:pStyle w:val="TableContents"/>
              <w:bidi w:val="0"/>
              <w:spacing w:before="0" w:after="283"/>
              <w:jc w:val="left"/>
              <w:rPr>
                <w:sz w:val="4"/>
                <w:szCs w:val="4"/>
              </w:rPr>
            </w:pPr>
            <w:r>
              <w:rPr>
                <w:sz w:val="4"/>
                <w:szCs w:val="4"/>
              </w:rPr>
            </w:r>
          </w:p>
        </w:tc>
        <w:tc>
          <w:tcPr>
            <w:tcW w:w="2574" w:type="dxa"/>
            <w:gridSpan w:val="2"/>
            <w:tcBorders/>
            <w:shd w:fill="CCF2F8" w:val="clear"/>
            <w:vAlign w:val="center"/>
          </w:tcPr>
          <w:p>
            <w:pPr>
              <w:pStyle w:val="TableContents"/>
              <w:bidi w:val="0"/>
              <w:spacing w:before="0" w:after="283"/>
              <w:jc w:val="left"/>
              <w:rPr>
                <w:sz w:val="4"/>
                <w:szCs w:val="4"/>
              </w:rPr>
            </w:pPr>
            <w:r>
              <w:rPr>
                <w:sz w:val="4"/>
                <w:szCs w:val="4"/>
              </w:rPr>
            </w:r>
          </w:p>
        </w:tc>
        <w:tc>
          <w:tcPr>
            <w:tcW w:w="1655" w:type="dxa"/>
            <w:gridSpan w:val="2"/>
            <w:tcBorders/>
            <w:shd w:fill="CCF2F8" w:val="clear"/>
            <w:vAlign w:val="center"/>
          </w:tcPr>
          <w:p>
            <w:pPr>
              <w:pStyle w:val="TableContents"/>
              <w:bidi w:val="0"/>
              <w:spacing w:before="0" w:after="283"/>
              <w:jc w:val="left"/>
              <w:rPr>
                <w:sz w:val="4"/>
                <w:szCs w:val="4"/>
              </w:rPr>
            </w:pPr>
            <w:r>
              <w:rPr>
                <w:sz w:val="4"/>
                <w:szCs w:val="4"/>
              </w:rPr>
            </w:r>
          </w:p>
        </w:tc>
        <w:tc>
          <w:tcPr>
            <w:tcW w:w="2375" w:type="dxa"/>
            <w:gridSpan w:val="2"/>
            <w:tcBorders/>
            <w:shd w:fill="CCF2F8" w:val="clear"/>
            <w:vAlign w:val="center"/>
          </w:tcPr>
          <w:p>
            <w:pPr>
              <w:pStyle w:val="TableContents"/>
              <w:bidi w:val="0"/>
              <w:spacing w:before="0" w:after="283"/>
              <w:jc w:val="left"/>
              <w:rPr>
                <w:sz w:val="4"/>
                <w:szCs w:val="4"/>
              </w:rPr>
            </w:pPr>
            <w:r>
              <w:rPr>
                <w:sz w:val="4"/>
                <w:szCs w:val="4"/>
              </w:rPr>
            </w:r>
          </w:p>
        </w:tc>
        <w:tc>
          <w:tcPr>
            <w:tcW w:w="1433" w:type="dxa"/>
            <w:gridSpan w:val="2"/>
            <w:tcBorders/>
            <w:shd w:fill="CCF2F8" w:val="clear"/>
            <w:vAlign w:val="center"/>
          </w:tcPr>
          <w:p>
            <w:pPr>
              <w:pStyle w:val="TableContents"/>
              <w:bidi w:val="0"/>
              <w:spacing w:before="0" w:after="283"/>
              <w:jc w:val="left"/>
              <w:rPr>
                <w:sz w:val="4"/>
                <w:szCs w:val="4"/>
              </w:rPr>
            </w:pPr>
            <w:r>
              <w:rPr>
                <w:sz w:val="4"/>
                <w:szCs w:val="4"/>
              </w:rPr>
            </w:r>
          </w:p>
        </w:tc>
        <w:tc>
          <w:tcPr>
            <w:tcW w:w="1473"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95" w:type="dxa"/>
            <w:tcBorders/>
            <w:shd w:fill="CCF2F8" w:val="clear"/>
            <w:vAlign w:val="center"/>
          </w:tcPr>
          <w:p>
            <w:pPr>
              <w:pStyle w:val="TableContents"/>
              <w:bidi w:val="0"/>
              <w:spacing w:before="0" w:after="0"/>
              <w:jc w:val="center"/>
              <w:rPr>
                <w:rFonts w:ascii="arial" w:hAnsi="arial"/>
                <w:color w:val="3E3935"/>
                <w:sz w:val="17"/>
              </w:rPr>
            </w:pPr>
            <w:r>
              <w:rPr>
                <w:rFonts w:ascii="arial" w:hAnsi="arial"/>
                <w:color w:val="3E3935"/>
                <w:sz w:val="17"/>
              </w:rPr>
              <w:t>5</w:t>
            </w:r>
          </w:p>
        </w:tc>
        <w:tc>
          <w:tcPr>
            <w:tcW w:w="120" w:type="dxa"/>
            <w:tcBorders/>
            <w:shd w:fill="CCF2F8" w:val="clear"/>
            <w:vAlign w:val="center"/>
          </w:tcPr>
          <w:p>
            <w:pPr>
              <w:pStyle w:val="TableContents"/>
              <w:bidi w:val="0"/>
              <w:spacing w:before="0" w:after="283"/>
              <w:jc w:val="left"/>
              <w:rPr/>
            </w:pPr>
            <w:r>
              <w:rPr/>
              <w:t>  </w:t>
            </w:r>
          </w:p>
        </w:tc>
        <w:tc>
          <w:tcPr>
            <w:tcW w:w="2454" w:type="dxa"/>
            <w:tcBorders/>
            <w:shd w:fill="CCF2F8" w:val="clear"/>
            <w:vAlign w:val="center"/>
          </w:tcPr>
          <w:p>
            <w:pPr>
              <w:pStyle w:val="TableContents"/>
              <w:bidi w:val="0"/>
              <w:spacing w:before="0" w:after="283"/>
              <w:jc w:val="left"/>
              <w:rPr>
                <w:color w:val="3E3935"/>
              </w:rPr>
            </w:pPr>
            <w:r>
              <w:rPr>
                <w:color w:val="3E3935"/>
              </w:rPr>
              <w:t>Shareholder Proposal to Eliminate EV Targets from Incentive Compensation Programs</w:t>
            </w:r>
          </w:p>
        </w:tc>
        <w:tc>
          <w:tcPr>
            <w:tcW w:w="120" w:type="dxa"/>
            <w:tcBorders/>
            <w:shd w:fill="CCF2F8" w:val="clear"/>
            <w:vAlign w:val="center"/>
          </w:tcPr>
          <w:p>
            <w:pPr>
              <w:pStyle w:val="TableContents"/>
              <w:bidi w:val="0"/>
              <w:spacing w:before="0" w:after="283"/>
              <w:jc w:val="left"/>
              <w:rPr/>
            </w:pPr>
            <w:r>
              <w:rPr/>
              <w:t>  </w:t>
            </w:r>
          </w:p>
        </w:tc>
        <w:tc>
          <w:tcPr>
            <w:tcW w:w="1535" w:type="dxa"/>
            <w:tcBorders/>
            <w:shd w:fill="CCF2F8" w:val="clear"/>
            <w:vAlign w:val="center"/>
          </w:tcPr>
          <w:p>
            <w:pPr>
              <w:pStyle w:val="TableContents"/>
              <w:bidi w:val="0"/>
              <w:spacing w:before="0" w:after="283"/>
              <w:jc w:val="center"/>
              <w:rPr>
                <w:b/>
                <w:color w:val="0071CE"/>
              </w:rPr>
            </w:pPr>
            <w:r>
              <w:rPr>
                <w:b/>
                <w:color w:val="0071CE"/>
              </w:rPr>
              <w:t>AGAINST</w:t>
            </w:r>
          </w:p>
        </w:tc>
        <w:tc>
          <w:tcPr>
            <w:tcW w:w="120" w:type="dxa"/>
            <w:tcBorders/>
            <w:shd w:fill="CCF2F8" w:val="clear"/>
            <w:vAlign w:val="center"/>
          </w:tcPr>
          <w:p>
            <w:pPr>
              <w:pStyle w:val="TableContents"/>
              <w:bidi w:val="0"/>
              <w:spacing w:before="0" w:after="283"/>
              <w:jc w:val="left"/>
              <w:rPr/>
            </w:pPr>
            <w:r>
              <w:rPr/>
              <w:t>  </w:t>
            </w:r>
          </w:p>
        </w:tc>
        <w:tc>
          <w:tcPr>
            <w:tcW w:w="2255" w:type="dxa"/>
            <w:tcBorders/>
            <w:shd w:fill="CCF2F8"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Majority of shares present</w:t>
              <w:br/>
              <w:t>(in person or by proxy)</w:t>
              <w:br/>
              <w:t>and entitled to vote</w:t>
            </w:r>
          </w:p>
        </w:tc>
        <w:tc>
          <w:tcPr>
            <w:tcW w:w="120" w:type="dxa"/>
            <w:tcBorders/>
            <w:shd w:fill="CCF2F8" w:val="clear"/>
            <w:vAlign w:val="center"/>
          </w:tcPr>
          <w:p>
            <w:pPr>
              <w:pStyle w:val="TableContents"/>
              <w:bidi w:val="0"/>
              <w:spacing w:before="0" w:after="283"/>
              <w:jc w:val="left"/>
              <w:rPr/>
            </w:pPr>
            <w:r>
              <w:rPr/>
              <w:t>  </w:t>
            </w:r>
          </w:p>
        </w:tc>
        <w:tc>
          <w:tcPr>
            <w:tcW w:w="1313" w:type="dxa"/>
            <w:tcBorders/>
            <w:shd w:fill="CCF2F8" w:val="clear"/>
            <w:vAlign w:val="center"/>
          </w:tcPr>
          <w:p>
            <w:pPr>
              <w:pStyle w:val="TableContents"/>
              <w:bidi w:val="0"/>
              <w:spacing w:before="0" w:after="283"/>
              <w:jc w:val="center"/>
              <w:rPr>
                <w:color w:val="3E3935"/>
              </w:rPr>
            </w:pPr>
            <w:r>
              <w:rPr>
                <w:color w:val="3E3935"/>
              </w:rPr>
              <w:t>Counted as “AGAINST”</w:t>
            </w:r>
          </w:p>
        </w:tc>
        <w:tc>
          <w:tcPr>
            <w:tcW w:w="120" w:type="dxa"/>
            <w:tcBorders/>
            <w:shd w:fill="CCF2F8" w:val="clear"/>
            <w:vAlign w:val="center"/>
          </w:tcPr>
          <w:p>
            <w:pPr>
              <w:pStyle w:val="TableContents"/>
              <w:bidi w:val="0"/>
              <w:spacing w:before="0" w:after="283"/>
              <w:jc w:val="left"/>
              <w:rPr/>
            </w:pPr>
            <w:r>
              <w:rPr/>
              <w:t>  </w:t>
            </w:r>
          </w:p>
        </w:tc>
        <w:tc>
          <w:tcPr>
            <w:tcW w:w="1353" w:type="dxa"/>
            <w:tcBorders/>
            <w:shd w:fill="CCF2F8" w:val="clear"/>
            <w:vAlign w:val="center"/>
          </w:tcPr>
          <w:p>
            <w:pPr>
              <w:pStyle w:val="TableContents"/>
              <w:bidi w:val="0"/>
              <w:spacing w:before="0" w:after="283"/>
              <w:jc w:val="center"/>
              <w:rPr>
                <w:color w:val="3E3935"/>
              </w:rPr>
            </w:pPr>
            <w:r>
              <w:rPr>
                <w:color w:val="3E3935"/>
              </w:rPr>
              <w:t>No effect</w:t>
            </w:r>
          </w:p>
        </w:tc>
      </w:tr>
      <w:tr>
        <w:trPr/>
        <w:tc>
          <w:tcPr>
            <w:tcW w:w="695" w:type="dxa"/>
            <w:tcBorders/>
            <w:vAlign w:val="center"/>
          </w:tcPr>
          <w:p>
            <w:pPr>
              <w:pStyle w:val="TableContents"/>
              <w:bidi w:val="0"/>
              <w:spacing w:before="0" w:after="283"/>
              <w:jc w:val="left"/>
              <w:rPr>
                <w:sz w:val="4"/>
                <w:szCs w:val="4"/>
              </w:rPr>
            </w:pPr>
            <w:r>
              <w:rPr>
                <w:sz w:val="4"/>
                <w:szCs w:val="4"/>
              </w:rPr>
            </w:r>
          </w:p>
        </w:tc>
        <w:tc>
          <w:tcPr>
            <w:tcW w:w="2574"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c>
          <w:tcPr>
            <w:tcW w:w="1433" w:type="dxa"/>
            <w:gridSpan w:val="2"/>
            <w:tcBorders/>
            <w:vAlign w:val="center"/>
          </w:tcPr>
          <w:p>
            <w:pPr>
              <w:pStyle w:val="TableContents"/>
              <w:bidi w:val="0"/>
              <w:spacing w:before="0" w:after="283"/>
              <w:jc w:val="left"/>
              <w:rPr>
                <w:sz w:val="4"/>
                <w:szCs w:val="4"/>
              </w:rPr>
            </w:pPr>
            <w:r>
              <w:rPr>
                <w:sz w:val="4"/>
                <w:szCs w:val="4"/>
              </w:rPr>
            </w:r>
          </w:p>
        </w:tc>
        <w:tc>
          <w:tcPr>
            <w:tcW w:w="1473"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0"/>
              <w:jc w:val="center"/>
              <w:rPr>
                <w:rFonts w:ascii="arial" w:hAnsi="arial"/>
                <w:color w:val="3E3935"/>
                <w:sz w:val="17"/>
              </w:rPr>
            </w:pPr>
            <w:r>
              <w:rPr>
                <w:rFonts w:ascii="arial" w:hAnsi="arial"/>
                <w:color w:val="3E3935"/>
                <w:sz w:val="17"/>
              </w:rPr>
              <w:t>6</w:t>
            </w:r>
          </w:p>
        </w:tc>
        <w:tc>
          <w:tcPr>
            <w:tcW w:w="120"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color w:val="3E3935"/>
              </w:rPr>
            </w:pPr>
            <w:r>
              <w:rPr>
                <w:color w:val="3E3935"/>
              </w:rPr>
              <w:t>Shareholder Proposal Requesting a Report on the Company’s Use of Deep-Sea Mined Minerals in its Production and Supply Chains</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color w:val="0071CE"/>
              </w:rPr>
            </w:pPr>
            <w:r>
              <w:rPr>
                <w:b/>
                <w:color w:val="0071CE"/>
              </w:rPr>
              <w:t>AGAINST</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Majority of shares present</w:t>
              <w:br/>
              <w:t>(in person or by proxy)</w:t>
              <w:br/>
              <w:t>and entitled to vote</w:t>
            </w:r>
          </w:p>
        </w:tc>
        <w:tc>
          <w:tcPr>
            <w:tcW w:w="12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center"/>
              <w:rPr>
                <w:color w:val="3E3935"/>
              </w:rPr>
            </w:pPr>
            <w:r>
              <w:rPr>
                <w:color w:val="3E3935"/>
              </w:rPr>
              <w:t>Counted as “AGAINST”</w:t>
            </w:r>
          </w:p>
        </w:tc>
        <w:tc>
          <w:tcPr>
            <w:tcW w:w="12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center"/>
              <w:rPr>
                <w:color w:val="3E3935"/>
              </w:rPr>
            </w:pPr>
            <w:r>
              <w:rPr>
                <w:color w:val="3E3935"/>
              </w:rPr>
              <w:t>No effect</w:t>
            </w:r>
          </w:p>
        </w:tc>
      </w:tr>
      <w:tr>
        <w:trPr/>
        <w:tc>
          <w:tcPr>
            <w:tcW w:w="695" w:type="dxa"/>
            <w:tcBorders/>
            <w:shd w:fill="CCF2F8" w:val="clear"/>
            <w:vAlign w:val="center"/>
          </w:tcPr>
          <w:p>
            <w:pPr>
              <w:pStyle w:val="TableContents"/>
              <w:bidi w:val="0"/>
              <w:spacing w:before="0" w:after="283"/>
              <w:jc w:val="left"/>
              <w:rPr>
                <w:sz w:val="4"/>
                <w:szCs w:val="4"/>
              </w:rPr>
            </w:pPr>
            <w:r>
              <w:rPr>
                <w:sz w:val="4"/>
                <w:szCs w:val="4"/>
              </w:rPr>
            </w:r>
          </w:p>
        </w:tc>
        <w:tc>
          <w:tcPr>
            <w:tcW w:w="2574" w:type="dxa"/>
            <w:gridSpan w:val="2"/>
            <w:tcBorders/>
            <w:shd w:fill="CCF2F8" w:val="clear"/>
            <w:vAlign w:val="center"/>
          </w:tcPr>
          <w:p>
            <w:pPr>
              <w:pStyle w:val="TableContents"/>
              <w:bidi w:val="0"/>
              <w:spacing w:before="0" w:after="283"/>
              <w:jc w:val="left"/>
              <w:rPr>
                <w:sz w:val="4"/>
                <w:szCs w:val="4"/>
              </w:rPr>
            </w:pPr>
            <w:r>
              <w:rPr>
                <w:sz w:val="4"/>
                <w:szCs w:val="4"/>
              </w:rPr>
            </w:r>
          </w:p>
        </w:tc>
        <w:tc>
          <w:tcPr>
            <w:tcW w:w="1655" w:type="dxa"/>
            <w:gridSpan w:val="2"/>
            <w:tcBorders/>
            <w:shd w:fill="CCF2F8" w:val="clear"/>
            <w:vAlign w:val="center"/>
          </w:tcPr>
          <w:p>
            <w:pPr>
              <w:pStyle w:val="TableContents"/>
              <w:bidi w:val="0"/>
              <w:spacing w:before="0" w:after="283"/>
              <w:jc w:val="left"/>
              <w:rPr>
                <w:sz w:val="4"/>
                <w:szCs w:val="4"/>
              </w:rPr>
            </w:pPr>
            <w:r>
              <w:rPr>
                <w:sz w:val="4"/>
                <w:szCs w:val="4"/>
              </w:rPr>
            </w:r>
          </w:p>
        </w:tc>
        <w:tc>
          <w:tcPr>
            <w:tcW w:w="2375" w:type="dxa"/>
            <w:gridSpan w:val="2"/>
            <w:tcBorders/>
            <w:shd w:fill="CCF2F8" w:val="clear"/>
            <w:vAlign w:val="center"/>
          </w:tcPr>
          <w:p>
            <w:pPr>
              <w:pStyle w:val="TableContents"/>
              <w:bidi w:val="0"/>
              <w:spacing w:before="0" w:after="283"/>
              <w:jc w:val="left"/>
              <w:rPr>
                <w:sz w:val="4"/>
                <w:szCs w:val="4"/>
              </w:rPr>
            </w:pPr>
            <w:r>
              <w:rPr>
                <w:sz w:val="4"/>
                <w:szCs w:val="4"/>
              </w:rPr>
            </w:r>
          </w:p>
        </w:tc>
        <w:tc>
          <w:tcPr>
            <w:tcW w:w="1433" w:type="dxa"/>
            <w:gridSpan w:val="2"/>
            <w:tcBorders/>
            <w:shd w:fill="CCF2F8" w:val="clear"/>
            <w:vAlign w:val="center"/>
          </w:tcPr>
          <w:p>
            <w:pPr>
              <w:pStyle w:val="TableContents"/>
              <w:bidi w:val="0"/>
              <w:spacing w:before="0" w:after="283"/>
              <w:jc w:val="left"/>
              <w:rPr>
                <w:sz w:val="4"/>
                <w:szCs w:val="4"/>
              </w:rPr>
            </w:pPr>
            <w:r>
              <w:rPr>
                <w:sz w:val="4"/>
                <w:szCs w:val="4"/>
              </w:rPr>
            </w:r>
          </w:p>
        </w:tc>
        <w:tc>
          <w:tcPr>
            <w:tcW w:w="1473"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95" w:type="dxa"/>
            <w:tcBorders>
              <w:bottom w:val="single" w:sz="6" w:space="0" w:color="0071CE"/>
            </w:tcBorders>
            <w:shd w:fill="CCF2F8" w:val="clear"/>
            <w:tcMar>
              <w:bottom w:w="80" w:type="dxa"/>
            </w:tcMar>
            <w:vAlign w:val="center"/>
          </w:tcPr>
          <w:p>
            <w:pPr>
              <w:pStyle w:val="TableContents"/>
              <w:bidi w:val="0"/>
              <w:spacing w:before="0" w:after="0"/>
              <w:jc w:val="center"/>
              <w:rPr>
                <w:rFonts w:ascii="arial" w:hAnsi="arial"/>
                <w:color w:val="3E3935"/>
                <w:sz w:val="17"/>
              </w:rPr>
            </w:pPr>
            <w:r>
              <w:rPr>
                <w:rFonts w:ascii="arial" w:hAnsi="arial"/>
                <w:color w:val="3E3935"/>
                <w:sz w:val="17"/>
              </w:rPr>
              <w:t>7</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2454"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Shareholder Proposal Requesting a Report on Sustainability Risk in the Company’s Supply Chain</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535" w:type="dxa"/>
            <w:tcBorders>
              <w:bottom w:val="single" w:sz="6" w:space="0" w:color="0071CE"/>
            </w:tcBorders>
            <w:shd w:fill="CCF2F8" w:val="clear"/>
            <w:tcMar>
              <w:bottom w:w="80" w:type="dxa"/>
            </w:tcMar>
            <w:vAlign w:val="center"/>
          </w:tcPr>
          <w:p>
            <w:pPr>
              <w:pStyle w:val="TableContents"/>
              <w:bidi w:val="0"/>
              <w:spacing w:before="0" w:after="283"/>
              <w:jc w:val="center"/>
              <w:rPr>
                <w:b/>
                <w:color w:val="0071CE"/>
              </w:rPr>
            </w:pPr>
            <w:r>
              <w:rPr>
                <w:b/>
                <w:color w:val="0071CE"/>
              </w:rPr>
              <w:t>AGAINST</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2255" w:type="dxa"/>
            <w:tcBorders>
              <w:bottom w:val="single" w:sz="6" w:space="0" w:color="0071CE"/>
            </w:tcBorders>
            <w:shd w:fill="CCF2F8"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3E3935"/>
                <w:sz w:val="17"/>
              </w:rPr>
            </w:pPr>
            <w:r>
              <w:rPr>
                <w:rFonts w:ascii="arial" w:hAnsi="arial"/>
                <w:color w:val="3E3935"/>
                <w:sz w:val="17"/>
              </w:rPr>
              <w:t>Majority of shares present</w:t>
              <w:br/>
              <w:t>(in person or by proxy)</w:t>
              <w:br/>
              <w:t>and entitled to vote</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313" w:type="dxa"/>
            <w:tcBorders>
              <w:bottom w:val="single" w:sz="6" w:space="0" w:color="0071CE"/>
            </w:tcBorders>
            <w:shd w:fill="CCF2F8" w:val="clear"/>
            <w:tcMar>
              <w:bottom w:w="80" w:type="dxa"/>
            </w:tcMar>
            <w:vAlign w:val="center"/>
          </w:tcPr>
          <w:p>
            <w:pPr>
              <w:pStyle w:val="TableContents"/>
              <w:bidi w:val="0"/>
              <w:spacing w:before="0" w:after="283"/>
              <w:jc w:val="center"/>
              <w:rPr>
                <w:color w:val="3E3935"/>
              </w:rPr>
            </w:pPr>
            <w:r>
              <w:rPr>
                <w:color w:val="3E3935"/>
              </w:rPr>
              <w:t>Counted as “AGAINST”</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353" w:type="dxa"/>
            <w:tcBorders>
              <w:bottom w:val="single" w:sz="6" w:space="0" w:color="0071CE"/>
            </w:tcBorders>
            <w:shd w:fill="CCF2F8" w:val="clear"/>
            <w:tcMar>
              <w:bottom w:w="80" w:type="dxa"/>
            </w:tcMar>
            <w:vAlign w:val="center"/>
          </w:tcPr>
          <w:p>
            <w:pPr>
              <w:pStyle w:val="TableContents"/>
              <w:bidi w:val="0"/>
              <w:spacing w:before="0" w:after="283"/>
              <w:jc w:val="center"/>
              <w:rPr>
                <w:color w:val="3E3935"/>
              </w:rPr>
            </w:pPr>
            <w:r>
              <w:rPr>
                <w:color w:val="3E3935"/>
              </w:rPr>
              <w:t>No effect</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3E3935"/>
              </w:rPr>
            </w:pPr>
            <w:r>
              <w:rPr>
                <w:color w:val="3E3935"/>
              </w:rPr>
              <w:t>*</w:t>
            </w:r>
          </w:p>
        </w:tc>
        <w:tc>
          <w:tcPr>
            <w:tcW w:w="1005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See sections 1.7 and 2.2(c) of the Company’s Bylaws for a description of the vote requirements and the impact of abstentions and broker non-votes on the meeting agenda items listed above. </w:t>
            </w:r>
          </w:p>
        </w:tc>
      </w:tr>
    </w:tbl>
    <w:p>
      <w:pPr>
        <w:pStyle w:val="TextBody"/>
        <w:bidi w:val="0"/>
        <w:spacing w:before="360" w:after="0"/>
        <w:jc w:val="left"/>
        <w:rPr>
          <w:rFonts w:ascii="arial" w:hAnsi="arial"/>
          <w:b/>
          <w:color w:val="3E3935"/>
          <w:sz w:val="26"/>
        </w:rPr>
      </w:pPr>
      <w:r>
        <w:rPr>
          <w:rFonts w:ascii="arial" w:hAnsi="arial"/>
          <w:b/>
          <w:color w:val="3E3935"/>
          <w:sz w:val="26"/>
        </w:rPr>
        <w:t xml:space="preserve">Other Matters to Be Presented at the Annual Meeting </w:t>
      </w:r>
    </w:p>
    <w:p>
      <w:pPr>
        <w:pStyle w:val="TextBody"/>
        <w:bidi w:val="0"/>
        <w:spacing w:before="120" w:after="0"/>
        <w:jc w:val="both"/>
        <w:rPr>
          <w:rFonts w:ascii="arial" w:hAnsi="arial"/>
          <w:color w:val="3E3935"/>
          <w:sz w:val="18"/>
        </w:rPr>
      </w:pPr>
      <w:r>
        <w:rPr>
          <w:rFonts w:ascii="arial" w:hAnsi="arial"/>
          <w:color w:val="3E3935"/>
          <w:sz w:val="18"/>
        </w:rPr>
        <w:t xml:space="preserve">We do not know of any matters to be voted on by shareholders at the Annual Meeting other than those included in this Proxy Statement. If any matter other than the election of directors or items 2 through 8 in this Proxy Statement is properly presented at the meeting, your executed proxy gives the Proxies discretionary authority to vote your shares in accordance with their best judgment with respect to the matter presented. </w:t>
      </w:r>
    </w:p>
    <w:p>
      <w:pPr>
        <w:pStyle w:val="TextBody"/>
        <w:bidi w:val="0"/>
        <w:spacing w:before="0" w:after="0"/>
        <w:jc w:val="left"/>
        <w:rPr/>
      </w:pPr>
      <w:r>
        <w:rPr/>
        <w:t> </w:t>
      </w:r>
    </w:p>
    <w:tbl>
      <w:tblPr>
        <w:tblW w:w="9961" w:type="dxa"/>
        <w:jc w:val="left"/>
        <w:tblInd w:w="0" w:type="dxa"/>
        <w:tblLayout w:type="fixed"/>
        <w:tblCellMar>
          <w:top w:w="0" w:type="dxa"/>
          <w:left w:w="0" w:type="dxa"/>
          <w:bottom w:w="0" w:type="dxa"/>
          <w:right w:w="0" w:type="dxa"/>
        </w:tblCellMar>
      </w:tblPr>
      <w:tblGrid>
        <w:gridCol w:w="38"/>
        <w:gridCol w:w="60"/>
        <w:gridCol w:w="23"/>
        <w:gridCol w:w="60"/>
        <w:gridCol w:w="695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center"/>
              <w:rPr>
                <w:b/>
                <w:color w:val="3E3935"/>
              </w:rPr>
            </w:pPr>
            <w:r>
              <w:rPr>
                <w:b/>
                <w:color w:val="3E3935"/>
              </w:rPr>
              <w:t>GENERAL INFORMATION ABOUT THE ANNUAL MEETING</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87</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Attending the Virtual Annual Meeting </w:t>
      </w:r>
    </w:p>
    <w:p>
      <w:pPr>
        <w:pStyle w:val="TextBody"/>
        <w:bidi w:val="0"/>
        <w:spacing w:before="120" w:after="0"/>
        <w:jc w:val="both"/>
        <w:rPr>
          <w:rFonts w:ascii="arial" w:hAnsi="arial"/>
          <w:color w:val="3E3935"/>
          <w:sz w:val="18"/>
        </w:rPr>
      </w:pPr>
      <w:r>
        <w:rPr>
          <w:rFonts w:ascii="arial" w:hAnsi="arial"/>
          <w:color w:val="3E3935"/>
          <w:sz w:val="18"/>
        </w:rPr>
        <w:t xml:space="preserve">The Annual Meeting will be held virtually this year. If circumstances warrant, the Board and certain members of management may dial in to the webinar from remote locations and will not be present in person.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2"/>
        <w:gridCol w:w="120"/>
        <w:gridCol w:w="7573"/>
      </w:tblGrid>
      <w:tr>
        <w:trPr/>
        <w:tc>
          <w:tcPr>
            <w:tcW w:w="25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73" w:type="dxa"/>
            <w:tcBorders/>
            <w:vAlign w:val="center"/>
          </w:tcPr>
          <w:p>
            <w:pPr>
              <w:pStyle w:val="TableContents"/>
              <w:bidi w:val="0"/>
              <w:spacing w:before="0" w:after="283"/>
              <w:jc w:val="left"/>
              <w:rPr>
                <w:sz w:val="4"/>
                <w:szCs w:val="4"/>
              </w:rPr>
            </w:pPr>
            <w:r>
              <w:rPr>
                <w:sz w:val="4"/>
                <w:szCs w:val="4"/>
              </w:rPr>
            </w:r>
          </w:p>
        </w:tc>
      </w:tr>
      <w:tr>
        <w:trPr/>
        <w:tc>
          <w:tcPr>
            <w:tcW w:w="2512" w:type="dxa"/>
            <w:tcBorders>
              <w:top w:val="single" w:sz="6" w:space="0" w:color="0071CE"/>
            </w:tcBorders>
            <w:shd w:fill="CCF2F8" w:val="clear"/>
            <w:tcMar>
              <w:top w:w="28" w:type="dxa"/>
            </w:tcMar>
            <w:vAlign w:val="center"/>
          </w:tcPr>
          <w:p>
            <w:pPr>
              <w:pStyle w:val="TableContents"/>
              <w:bidi w:val="0"/>
              <w:spacing w:before="0" w:after="283"/>
              <w:jc w:val="left"/>
              <w:rPr/>
            </w:pPr>
            <w:r>
              <w:rPr/>
              <w:t> </w:t>
            </w:r>
          </w:p>
        </w:tc>
        <w:tc>
          <w:tcPr>
            <w:tcW w:w="7693" w:type="dxa"/>
            <w:gridSpan w:val="2"/>
            <w:tcBorders>
              <w:top w:val="single" w:sz="6" w:space="0" w:color="0071CE"/>
            </w:tcBorders>
            <w:shd w:fill="CCF2F8" w:val="clear"/>
            <w:tcMar>
              <w:top w:w="28" w:type="dxa"/>
            </w:tcMar>
            <w:vAlign w:val="center"/>
          </w:tcPr>
          <w:p>
            <w:pPr>
              <w:pStyle w:val="TableContents"/>
              <w:bidi w:val="0"/>
              <w:spacing w:before="0" w:after="283"/>
              <w:jc w:val="left"/>
              <w:rPr/>
            </w:pPr>
            <w:r>
              <w:rPr/>
              <w:t> </w:t>
            </w:r>
          </w:p>
        </w:tc>
      </w:tr>
      <w:tr>
        <w:trPr/>
        <w:tc>
          <w:tcPr>
            <w:tcW w:w="2512"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How to Participate in the Annual Meeting Online</w:t>
            </w:r>
          </w:p>
        </w:tc>
        <w:tc>
          <w:tcPr>
            <w:tcW w:w="120" w:type="dxa"/>
            <w:tcBorders/>
            <w:shd w:fill="CCF2F8" w:val="clear"/>
            <w:vAlign w:val="center"/>
          </w:tcPr>
          <w:p>
            <w:pPr>
              <w:pStyle w:val="TableContents"/>
              <w:bidi w:val="0"/>
              <w:spacing w:before="0" w:after="283"/>
              <w:jc w:val="left"/>
              <w:rPr/>
            </w:pPr>
            <w:r>
              <w:rPr/>
              <w:t>  </w:t>
            </w:r>
          </w:p>
        </w:tc>
        <w:tc>
          <w:tcPr>
            <w:tcW w:w="7573"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 xml:space="preserve">1.  Visit </w:t>
            </w:r>
            <w:r>
              <w:rPr>
                <w:rFonts w:ascii="arial" w:hAnsi="arial"/>
                <w:i/>
                <w:color w:val="0071CE"/>
                <w:sz w:val="17"/>
              </w:rPr>
              <w:t>virtualshareholdermeeting.com/GM2024</w:t>
            </w:r>
            <w:r>
              <w:rPr>
                <w:rFonts w:ascii="arial" w:hAnsi="arial"/>
                <w:color w:val="3E3935"/>
                <w:sz w:val="17"/>
              </w:rPr>
              <w:t>; and</w:t>
            </w:r>
          </w:p>
          <w:p>
            <w:pPr>
              <w:pStyle w:val="TableContents"/>
              <w:bidi w:val="0"/>
              <w:spacing w:before="0" w:after="0"/>
              <w:jc w:val="left"/>
              <w:rPr>
                <w:rFonts w:ascii="arial" w:hAnsi="arial"/>
                <w:color w:val="3E3935"/>
                <w:sz w:val="17"/>
              </w:rPr>
            </w:pPr>
            <w:r>
              <w:rPr>
                <w:rFonts w:ascii="arial" w:hAnsi="arial"/>
                <w:color w:val="3E3935"/>
                <w:sz w:val="17"/>
              </w:rPr>
              <w:t>2. Enter the 16-digit control number included on your Notice, on your proxy card (if you received a printed copy of the proxy materials), or on the instructions that accompanied your proxy materials.</w:t>
            </w:r>
          </w:p>
          <w:p>
            <w:pPr>
              <w:pStyle w:val="TableContents"/>
              <w:bidi w:val="0"/>
              <w:spacing w:before="0" w:after="0"/>
              <w:jc w:val="left"/>
              <w:rPr/>
            </w:pPr>
            <w:r>
              <w:rPr/>
              <w:t> </w:t>
            </w:r>
          </w:p>
          <w:p>
            <w:pPr>
              <w:pStyle w:val="TableContents"/>
              <w:bidi w:val="0"/>
              <w:spacing w:before="0" w:after="20"/>
              <w:jc w:val="left"/>
              <w:rPr>
                <w:rFonts w:ascii="arial" w:hAnsi="arial"/>
                <w:color w:val="3E3935"/>
                <w:sz w:val="17"/>
              </w:rPr>
            </w:pPr>
            <w:r>
              <w:rPr>
                <w:rFonts w:ascii="arial" w:hAnsi="arial"/>
                <w:color w:val="3E3935"/>
                <w:sz w:val="17"/>
              </w:rPr>
              <w:t>You may log in to the meeting platform beginning at 10:45 a.m. Eastern Time on June 4, 2024. The meeting will begin promptly at 11:00 a.m. Eastern Time.</w:t>
            </w:r>
          </w:p>
        </w:tc>
      </w:tr>
      <w:tr>
        <w:trPr/>
        <w:tc>
          <w:tcPr>
            <w:tcW w:w="2512" w:type="dxa"/>
            <w:tcBorders/>
            <w:vAlign w:val="center"/>
          </w:tcPr>
          <w:p>
            <w:pPr>
              <w:pStyle w:val="TableContents"/>
              <w:bidi w:val="0"/>
              <w:spacing w:before="0" w:after="283"/>
              <w:jc w:val="left"/>
              <w:rPr>
                <w:sz w:val="4"/>
                <w:szCs w:val="4"/>
              </w:rPr>
            </w:pPr>
            <w:r>
              <w:rPr>
                <w:sz w:val="4"/>
                <w:szCs w:val="4"/>
              </w:rPr>
            </w:r>
          </w:p>
        </w:tc>
        <w:tc>
          <w:tcPr>
            <w:tcW w:w="7693" w:type="dxa"/>
            <w:gridSpan w:val="2"/>
            <w:tcBorders/>
            <w:vAlign w:val="center"/>
          </w:tcPr>
          <w:p>
            <w:pPr>
              <w:pStyle w:val="TableContents"/>
              <w:bidi w:val="0"/>
              <w:spacing w:before="0" w:after="283"/>
              <w:jc w:val="left"/>
              <w:rPr>
                <w:sz w:val="4"/>
                <w:szCs w:val="4"/>
              </w:rPr>
            </w:pPr>
            <w:r>
              <w:rPr>
                <w:sz w:val="4"/>
                <w:szCs w:val="4"/>
              </w:rPr>
            </w:r>
          </w:p>
        </w:tc>
      </w:tr>
      <w:tr>
        <w:trPr/>
        <w:tc>
          <w:tcPr>
            <w:tcW w:w="2512"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How to Participate in the Annual Meeting Without Internet Access</w:t>
            </w:r>
          </w:p>
        </w:tc>
        <w:tc>
          <w:tcPr>
            <w:tcW w:w="120" w:type="dxa"/>
            <w:tcBorders/>
            <w:vAlign w:val="center"/>
          </w:tcPr>
          <w:p>
            <w:pPr>
              <w:pStyle w:val="TableContents"/>
              <w:bidi w:val="0"/>
              <w:spacing w:before="0" w:after="283"/>
              <w:jc w:val="left"/>
              <w:rPr/>
            </w:pPr>
            <w:r>
              <w:rPr/>
              <w:t>  </w:t>
            </w:r>
          </w:p>
        </w:tc>
        <w:tc>
          <w:tcPr>
            <w:tcW w:w="7573" w:type="dxa"/>
            <w:tcBorders/>
            <w:vAlign w:val="center"/>
          </w:tcPr>
          <w:p>
            <w:pPr>
              <w:pStyle w:val="TableContents"/>
              <w:bidi w:val="0"/>
              <w:spacing w:before="0" w:after="283"/>
              <w:jc w:val="left"/>
              <w:rPr>
                <w:color w:val="3E3935"/>
              </w:rPr>
            </w:pPr>
            <w:r>
              <w:rPr>
                <w:color w:val="3E3935"/>
              </w:rPr>
              <w:t>Call (877) 328-2502 (toll free) or (412) 317-5419 (international) to listen to the meeting proceedings. If you join via phone, you will not be able to vote your shares during the meeting.</w:t>
            </w:r>
          </w:p>
        </w:tc>
      </w:tr>
      <w:tr>
        <w:trPr/>
        <w:tc>
          <w:tcPr>
            <w:tcW w:w="2512" w:type="dxa"/>
            <w:tcBorders/>
            <w:shd w:fill="CCF2F8" w:val="clear"/>
            <w:vAlign w:val="center"/>
          </w:tcPr>
          <w:p>
            <w:pPr>
              <w:pStyle w:val="TableContents"/>
              <w:bidi w:val="0"/>
              <w:spacing w:before="0" w:after="283"/>
              <w:jc w:val="left"/>
              <w:rPr>
                <w:sz w:val="4"/>
                <w:szCs w:val="4"/>
              </w:rPr>
            </w:pPr>
            <w:r>
              <w:rPr>
                <w:sz w:val="4"/>
                <w:szCs w:val="4"/>
              </w:rPr>
            </w:r>
          </w:p>
        </w:tc>
        <w:tc>
          <w:tcPr>
            <w:tcW w:w="7693"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512"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How to Participate in the Annual Meeting Without a 16-digit Control Number</w:t>
            </w:r>
          </w:p>
        </w:tc>
        <w:tc>
          <w:tcPr>
            <w:tcW w:w="120" w:type="dxa"/>
            <w:tcBorders/>
            <w:shd w:fill="CCF2F8" w:val="clear"/>
            <w:vAlign w:val="center"/>
          </w:tcPr>
          <w:p>
            <w:pPr>
              <w:pStyle w:val="TableContents"/>
              <w:bidi w:val="0"/>
              <w:spacing w:before="0" w:after="283"/>
              <w:jc w:val="left"/>
              <w:rPr/>
            </w:pPr>
            <w:r>
              <w:rPr/>
              <w:t>  </w:t>
            </w:r>
          </w:p>
        </w:tc>
        <w:tc>
          <w:tcPr>
            <w:tcW w:w="7573" w:type="dxa"/>
            <w:tcBorders/>
            <w:shd w:fill="CCF2F8" w:val="clear"/>
            <w:vAlign w:val="center"/>
          </w:tcPr>
          <w:p>
            <w:pPr>
              <w:pStyle w:val="TableContents"/>
              <w:bidi w:val="0"/>
              <w:spacing w:before="0" w:after="283"/>
              <w:jc w:val="left"/>
              <w:rPr>
                <w:color w:val="3E3935"/>
              </w:rPr>
            </w:pPr>
            <w:r>
              <w:rPr>
                <w:color w:val="3E3935"/>
              </w:rPr>
              <w:t xml:space="preserve">Visit </w:t>
            </w:r>
            <w:r>
              <w:rPr>
                <w:i/>
                <w:color w:val="0071CE"/>
              </w:rPr>
              <w:t>virtualshareholdermeeting.com/GM2024</w:t>
            </w:r>
            <w:r>
              <w:rPr>
                <w:color w:val="3E3935"/>
              </w:rPr>
              <w:t> and register as a guest. If you join as a guest, you will not be able to vote your shares or ask questions during the meeting.</w:t>
            </w:r>
          </w:p>
        </w:tc>
      </w:tr>
      <w:tr>
        <w:trPr/>
        <w:tc>
          <w:tcPr>
            <w:tcW w:w="2512" w:type="dxa"/>
            <w:tcBorders/>
            <w:vAlign w:val="center"/>
          </w:tcPr>
          <w:p>
            <w:pPr>
              <w:pStyle w:val="TableContents"/>
              <w:bidi w:val="0"/>
              <w:spacing w:before="0" w:after="283"/>
              <w:jc w:val="left"/>
              <w:rPr>
                <w:sz w:val="4"/>
                <w:szCs w:val="4"/>
              </w:rPr>
            </w:pPr>
            <w:r>
              <w:rPr>
                <w:sz w:val="4"/>
                <w:szCs w:val="4"/>
              </w:rPr>
            </w:r>
          </w:p>
        </w:tc>
        <w:tc>
          <w:tcPr>
            <w:tcW w:w="7693" w:type="dxa"/>
            <w:gridSpan w:val="2"/>
            <w:tcBorders/>
            <w:vAlign w:val="center"/>
          </w:tcPr>
          <w:p>
            <w:pPr>
              <w:pStyle w:val="TableContents"/>
              <w:bidi w:val="0"/>
              <w:spacing w:before="0" w:after="283"/>
              <w:jc w:val="left"/>
              <w:rPr>
                <w:sz w:val="4"/>
                <w:szCs w:val="4"/>
              </w:rPr>
            </w:pPr>
            <w:r>
              <w:rPr>
                <w:sz w:val="4"/>
                <w:szCs w:val="4"/>
              </w:rPr>
            </w:r>
          </w:p>
        </w:tc>
      </w:tr>
      <w:tr>
        <w:trPr/>
        <w:tc>
          <w:tcPr>
            <w:tcW w:w="2512"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For Help with Technical Difficulties</w:t>
            </w:r>
          </w:p>
        </w:tc>
        <w:tc>
          <w:tcPr>
            <w:tcW w:w="120" w:type="dxa"/>
            <w:tcBorders/>
            <w:vAlign w:val="center"/>
          </w:tcPr>
          <w:p>
            <w:pPr>
              <w:pStyle w:val="TableContents"/>
              <w:bidi w:val="0"/>
              <w:spacing w:before="0" w:after="283"/>
              <w:jc w:val="left"/>
              <w:rPr/>
            </w:pPr>
            <w:r>
              <w:rPr/>
              <w:t>  </w:t>
            </w:r>
          </w:p>
        </w:tc>
        <w:tc>
          <w:tcPr>
            <w:tcW w:w="7573" w:type="dxa"/>
            <w:tcBorders/>
            <w:vAlign w:val="center"/>
          </w:tcPr>
          <w:p>
            <w:pPr>
              <w:pStyle w:val="TableContents"/>
              <w:bidi w:val="0"/>
              <w:spacing w:before="0" w:after="283"/>
              <w:jc w:val="left"/>
              <w:rPr>
                <w:color w:val="3E3935"/>
              </w:rPr>
            </w:pPr>
            <w:r>
              <w:rPr>
                <w:color w:val="3E3935"/>
              </w:rPr>
              <w:t>Call (844) 986-0822 (U.S.) or (303) 562-9302 (international) for assistance.</w:t>
            </w:r>
          </w:p>
        </w:tc>
      </w:tr>
      <w:tr>
        <w:trPr/>
        <w:tc>
          <w:tcPr>
            <w:tcW w:w="2512" w:type="dxa"/>
            <w:tcBorders/>
            <w:shd w:fill="CCF2F8" w:val="clear"/>
            <w:vAlign w:val="center"/>
          </w:tcPr>
          <w:p>
            <w:pPr>
              <w:pStyle w:val="TableContents"/>
              <w:bidi w:val="0"/>
              <w:spacing w:before="0" w:after="283"/>
              <w:jc w:val="left"/>
              <w:rPr>
                <w:sz w:val="4"/>
                <w:szCs w:val="4"/>
              </w:rPr>
            </w:pPr>
            <w:r>
              <w:rPr>
                <w:sz w:val="4"/>
                <w:szCs w:val="4"/>
              </w:rPr>
            </w:r>
          </w:p>
        </w:tc>
        <w:tc>
          <w:tcPr>
            <w:tcW w:w="7693"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512"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Additional Questions</w:t>
            </w:r>
          </w:p>
        </w:tc>
        <w:tc>
          <w:tcPr>
            <w:tcW w:w="120" w:type="dxa"/>
            <w:tcBorders/>
            <w:shd w:fill="CCF2F8" w:val="clear"/>
            <w:vAlign w:val="center"/>
          </w:tcPr>
          <w:p>
            <w:pPr>
              <w:pStyle w:val="TableContents"/>
              <w:bidi w:val="0"/>
              <w:spacing w:before="0" w:after="283"/>
              <w:jc w:val="left"/>
              <w:rPr/>
            </w:pPr>
            <w:r>
              <w:rPr/>
              <w:t>  </w:t>
            </w:r>
          </w:p>
        </w:tc>
        <w:tc>
          <w:tcPr>
            <w:tcW w:w="7573" w:type="dxa"/>
            <w:tcBorders/>
            <w:shd w:fill="CCF2F8" w:val="clear"/>
            <w:vAlign w:val="center"/>
          </w:tcPr>
          <w:p>
            <w:pPr>
              <w:pStyle w:val="TableContents"/>
              <w:bidi w:val="0"/>
              <w:spacing w:before="0" w:after="283"/>
              <w:jc w:val="left"/>
              <w:rPr>
                <w:color w:val="3E3935"/>
              </w:rPr>
            </w:pPr>
            <w:r>
              <w:rPr>
                <w:color w:val="3E3935"/>
              </w:rPr>
              <w:t xml:space="preserve">Email GM Shareholder Relations at </w:t>
            </w:r>
            <w:r>
              <w:rPr>
                <w:i/>
                <w:color w:val="0071CE"/>
              </w:rPr>
              <w:t>shareholder.relations@gm.com</w:t>
            </w:r>
            <w:r>
              <w:rPr>
                <w:color w:val="3E3935"/>
              </w:rPr>
              <w:t>.</w:t>
            </w:r>
          </w:p>
        </w:tc>
      </w:tr>
    </w:tbl>
    <w:p>
      <w:pPr>
        <w:pStyle w:val="TextBody"/>
        <w:bidi w:val="0"/>
        <w:spacing w:before="120" w:after="0"/>
        <w:jc w:val="left"/>
        <w:rPr>
          <w:rFonts w:ascii="arial" w:hAnsi="arial"/>
          <w:b/>
          <w:color w:val="3E3935"/>
          <w:sz w:val="26"/>
        </w:rPr>
      </w:pPr>
      <w:r>
        <w:rPr>
          <w:rFonts w:ascii="arial" w:hAnsi="arial"/>
          <w:b/>
          <w:color w:val="3E3935"/>
          <w:sz w:val="26"/>
        </w:rPr>
        <w:t xml:space="preserve">Submitting Questions for Our Online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6"/>
        <w:gridCol w:w="120"/>
        <w:gridCol w:w="8519"/>
      </w:tblGrid>
      <w:tr>
        <w:trPr/>
        <w:tc>
          <w:tcPr>
            <w:tcW w:w="1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19"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Submitting Questions</w:t>
            </w:r>
          </w:p>
          <w:p>
            <w:pPr>
              <w:pStyle w:val="TableContents"/>
              <w:bidi w:val="0"/>
              <w:spacing w:before="0" w:after="20"/>
              <w:jc w:val="left"/>
              <w:rPr>
                <w:rFonts w:ascii="arial" w:hAnsi="arial"/>
                <w:b/>
                <w:color w:val="0071CE"/>
                <w:sz w:val="17"/>
              </w:rPr>
            </w:pPr>
            <w:r>
              <w:rPr>
                <w:rFonts w:ascii="arial" w:hAnsi="arial"/>
                <w:b/>
                <w:color w:val="0071CE"/>
                <w:sz w:val="17"/>
              </w:rPr>
              <w:t>Before the Meeting</w:t>
            </w:r>
          </w:p>
        </w:tc>
        <w:tc>
          <w:tcPr>
            <w:tcW w:w="120" w:type="dxa"/>
            <w:tcBorders/>
            <w:shd w:fill="CCF2F8" w:val="clear"/>
            <w:vAlign w:val="center"/>
          </w:tcPr>
          <w:p>
            <w:pPr>
              <w:pStyle w:val="TableContents"/>
              <w:bidi w:val="0"/>
              <w:spacing w:before="0" w:after="283"/>
              <w:jc w:val="left"/>
              <w:rPr/>
            </w:pPr>
            <w:r>
              <w:rPr/>
              <w:t>  </w:t>
            </w:r>
          </w:p>
        </w:tc>
        <w:tc>
          <w:tcPr>
            <w:tcW w:w="8519"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 xml:space="preserve">1.  Log in to </w:t>
            </w:r>
            <w:r>
              <w:rPr>
                <w:rFonts w:ascii="arial" w:hAnsi="arial"/>
                <w:i/>
                <w:color w:val="0071CE"/>
                <w:sz w:val="17"/>
              </w:rPr>
              <w:t>proxyvote.com</w:t>
            </w:r>
            <w:r>
              <w:rPr>
                <w:rFonts w:ascii="arial" w:hAnsi="arial"/>
                <w:color w:val="3E3935"/>
                <w:sz w:val="17"/>
              </w:rPr>
              <w:t>;</w:t>
            </w:r>
          </w:p>
          <w:p>
            <w:pPr>
              <w:pStyle w:val="TableContents"/>
              <w:bidi w:val="0"/>
              <w:spacing w:before="0" w:after="0"/>
              <w:jc w:val="left"/>
              <w:rPr>
                <w:rFonts w:ascii="arial" w:hAnsi="arial"/>
                <w:color w:val="3E3935"/>
                <w:sz w:val="17"/>
              </w:rPr>
            </w:pPr>
            <w:r>
              <w:rPr>
                <w:rFonts w:ascii="arial" w:hAnsi="arial"/>
                <w:color w:val="3E3935"/>
                <w:sz w:val="17"/>
              </w:rPr>
              <w:t>2. Enter your 16-digit control number; and</w:t>
            </w:r>
          </w:p>
          <w:p>
            <w:pPr>
              <w:pStyle w:val="TableContents"/>
              <w:bidi w:val="0"/>
              <w:spacing w:before="0" w:after="20"/>
              <w:jc w:val="left"/>
              <w:rPr>
                <w:rFonts w:ascii="arial" w:hAnsi="arial"/>
                <w:color w:val="3E3935"/>
                <w:sz w:val="17"/>
              </w:rPr>
            </w:pPr>
            <w:r>
              <w:rPr>
                <w:rFonts w:ascii="arial" w:hAnsi="arial"/>
                <w:color w:val="3E3935"/>
                <w:sz w:val="17"/>
              </w:rPr>
              <w:t>3. Once past the login screen, click on “Questions for Management,” type in your question, and click “Submit.”</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8639" w:type="dxa"/>
            <w:gridSpan w:val="2"/>
            <w:tcBorders/>
            <w:vAlign w:val="center"/>
          </w:tcPr>
          <w:p>
            <w:pPr>
              <w:pStyle w:val="TableContents"/>
              <w:bidi w:val="0"/>
              <w:spacing w:before="0" w:after="283"/>
              <w:jc w:val="left"/>
              <w:rPr>
                <w:sz w:val="4"/>
                <w:szCs w:val="4"/>
              </w:rPr>
            </w:pPr>
            <w:r>
              <w:rPr>
                <w:sz w:val="4"/>
                <w:szCs w:val="4"/>
              </w:rPr>
            </w:r>
          </w:p>
        </w:tc>
      </w:tr>
      <w:tr>
        <w:trPr/>
        <w:tc>
          <w:tcPr>
            <w:tcW w:w="1566" w:type="dxa"/>
            <w:tcBorders>
              <w:bottom w:val="single" w:sz="6" w:space="0" w:color="0071CE"/>
            </w:tcBorders>
            <w:tcMar>
              <w:bottom w:w="8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 xml:space="preserve">Submitting Questions </w:t>
              <w:br/>
              <w:t>During the Meeting</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8519" w:type="dxa"/>
            <w:tcBorders>
              <w:bottom w:val="single" w:sz="6" w:space="0" w:color="0071CE"/>
            </w:tcBorders>
            <w:tcMar>
              <w:bottom w:w="80" w:type="dxa"/>
            </w:tcMar>
            <w:vAlign w:val="center"/>
          </w:tcPr>
          <w:p>
            <w:pPr>
              <w:pStyle w:val="TableContents"/>
              <w:bidi w:val="0"/>
              <w:spacing w:before="0" w:after="0"/>
              <w:jc w:val="left"/>
              <w:rPr>
                <w:rFonts w:ascii="arial" w:hAnsi="arial"/>
                <w:color w:val="3E3935"/>
                <w:sz w:val="17"/>
              </w:rPr>
            </w:pPr>
            <w:r>
              <w:rPr>
                <w:rFonts w:ascii="arial" w:hAnsi="arial"/>
                <w:color w:val="3E3935"/>
                <w:sz w:val="17"/>
              </w:rPr>
              <w:t xml:space="preserve">1.  Log in to the online meeting platform at </w:t>
            </w:r>
            <w:r>
              <w:rPr>
                <w:rFonts w:ascii="arial" w:hAnsi="arial"/>
                <w:i/>
                <w:color w:val="0071CE"/>
                <w:sz w:val="17"/>
              </w:rPr>
              <w:t>virtualshareholdermeeting.com/GM2024</w:t>
            </w:r>
            <w:r>
              <w:rPr>
                <w:rFonts w:ascii="arial" w:hAnsi="arial"/>
                <w:color w:val="3E3935"/>
                <w:sz w:val="17"/>
              </w:rPr>
              <w:t>, type your question in the “Ask a Question” field, and click “Submit”; or</w:t>
            </w:r>
          </w:p>
          <w:p>
            <w:pPr>
              <w:pStyle w:val="TableContents"/>
              <w:bidi w:val="0"/>
              <w:spacing w:before="0" w:after="20"/>
              <w:jc w:val="left"/>
              <w:rPr>
                <w:rFonts w:ascii="arial" w:hAnsi="arial"/>
                <w:color w:val="3E3935"/>
                <w:sz w:val="17"/>
              </w:rPr>
            </w:pPr>
            <w:r>
              <w:rPr>
                <w:rFonts w:ascii="arial" w:hAnsi="arial"/>
                <w:color w:val="3E3935"/>
                <w:sz w:val="17"/>
              </w:rPr>
              <w:t>2. Call (877) 328-2502 (toll free) or (412) 317-5419 (international) and press *1 when we announce the question and answer session has opened.</w:t>
            </w:r>
          </w:p>
        </w:tc>
      </w:tr>
    </w:tbl>
    <w:p>
      <w:pPr>
        <w:pStyle w:val="TextBody"/>
        <w:bidi w:val="0"/>
        <w:spacing w:before="120" w:after="0"/>
        <w:jc w:val="both"/>
        <w:rPr>
          <w:rFonts w:ascii="arial" w:hAnsi="arial"/>
          <w:color w:val="3E3935"/>
          <w:sz w:val="18"/>
        </w:rPr>
      </w:pPr>
      <w:r>
        <w:rPr>
          <w:rFonts w:ascii="arial" w:hAnsi="arial"/>
          <w:color w:val="3E3935"/>
          <w:sz w:val="18"/>
        </w:rPr>
        <w:t xml:space="preserve">Only shareholders with a valid control number will be allowed to ask questions. Questions pertinent to meeting matters will be answered during the meeting, subject to time constraints. </w:t>
      </w:r>
    </w:p>
    <w:p>
      <w:pPr>
        <w:pStyle w:val="TextBody"/>
        <w:bidi w:val="0"/>
        <w:spacing w:before="120" w:after="0"/>
        <w:jc w:val="left"/>
        <w:rPr>
          <w:rFonts w:ascii="arial" w:hAnsi="arial"/>
          <w:b/>
          <w:color w:val="3E3935"/>
          <w:sz w:val="26"/>
        </w:rPr>
      </w:pPr>
      <w:r>
        <w:rPr>
          <w:rFonts w:ascii="arial" w:hAnsi="arial"/>
          <w:b/>
          <w:color w:val="3E3935"/>
          <w:sz w:val="26"/>
        </w:rPr>
        <w:t xml:space="preserve">Voting at the Annual Meeting </w:t>
      </w:r>
    </w:p>
    <w:p>
      <w:pPr>
        <w:pStyle w:val="TextBody"/>
        <w:bidi w:val="0"/>
        <w:spacing w:before="120" w:after="0"/>
        <w:jc w:val="both"/>
        <w:rPr>
          <w:rFonts w:ascii="arial" w:hAnsi="arial"/>
          <w:color w:val="3E3935"/>
          <w:sz w:val="18"/>
        </w:rPr>
      </w:pPr>
      <w:r>
        <w:rPr>
          <w:rFonts w:ascii="arial" w:hAnsi="arial"/>
          <w:color w:val="3E3935"/>
          <w:sz w:val="18"/>
        </w:rPr>
        <w:t xml:space="preserve">Shareholders of record and beneficial owners who join the Annual Meeting online will be able to vote their shares electronically during the meeting. However, even if you plan to participate in the Annual Meeting online, we recommend that you also vote by proxy so that your votes will be counted if you later decide not to participate in the Annual Meeting. </w:t>
      </w:r>
    </w:p>
    <w:p>
      <w:pPr>
        <w:pStyle w:val="TextBody"/>
        <w:bidi w:val="0"/>
        <w:spacing w:before="120" w:after="0"/>
        <w:jc w:val="left"/>
        <w:rPr>
          <w:rFonts w:ascii="arial" w:hAnsi="arial"/>
          <w:b/>
          <w:color w:val="3E3935"/>
          <w:sz w:val="26"/>
        </w:rPr>
      </w:pPr>
      <w:r>
        <w:rPr>
          <w:rFonts w:ascii="arial" w:hAnsi="arial"/>
          <w:b/>
          <w:color w:val="3E3935"/>
          <w:sz w:val="26"/>
        </w:rPr>
        <w:t xml:space="preserve">Quorum </w:t>
      </w:r>
    </w:p>
    <w:p>
      <w:pPr>
        <w:pStyle w:val="TextBody"/>
        <w:bidi w:val="0"/>
        <w:spacing w:before="120" w:after="0"/>
        <w:jc w:val="both"/>
        <w:rPr>
          <w:rFonts w:ascii="arial" w:hAnsi="arial"/>
          <w:color w:val="3E3935"/>
          <w:sz w:val="18"/>
        </w:rPr>
      </w:pPr>
      <w:r>
        <w:rPr>
          <w:rFonts w:ascii="arial" w:hAnsi="arial"/>
          <w:color w:val="3E3935"/>
          <w:sz w:val="18"/>
        </w:rPr>
        <w:t xml:space="preserve">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 </w:t>
      </w:r>
    </w:p>
    <w:p>
      <w:pPr>
        <w:pStyle w:val="TextBody"/>
        <w:bidi w:val="0"/>
        <w:spacing w:before="120" w:after="0"/>
        <w:jc w:val="left"/>
        <w:rPr>
          <w:rFonts w:ascii="arial" w:hAnsi="arial"/>
          <w:b/>
          <w:color w:val="3E3935"/>
          <w:sz w:val="26"/>
        </w:rPr>
      </w:pPr>
      <w:r>
        <w:rPr>
          <w:rFonts w:ascii="arial" w:hAnsi="arial"/>
          <w:b/>
          <w:color w:val="3E3935"/>
          <w:sz w:val="26"/>
        </w:rPr>
        <w:t xml:space="preserve">Proxies </w:t>
      </w:r>
    </w:p>
    <w:p>
      <w:pPr>
        <w:pStyle w:val="TextBody"/>
        <w:bidi w:val="0"/>
        <w:spacing w:before="120" w:after="0"/>
        <w:jc w:val="both"/>
        <w:rPr>
          <w:rFonts w:ascii="arial" w:hAnsi="arial"/>
          <w:color w:val="3E3935"/>
          <w:sz w:val="18"/>
        </w:rPr>
      </w:pPr>
      <w:r>
        <w:rPr>
          <w:rFonts w:ascii="arial" w:hAnsi="arial"/>
          <w:color w:val="3E3935"/>
          <w:sz w:val="18"/>
        </w:rPr>
        <w:t xml:space="preserve">The Board appointed the following officers to act as Proxies: Mary T. Barra, Craig B. Glidden, and John S. Kim.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 </w:t>
      </w:r>
    </w:p>
    <w:p>
      <w:pPr>
        <w:pStyle w:val="TextBody"/>
        <w:bidi w:val="0"/>
        <w:spacing w:before="120" w:after="0"/>
        <w:jc w:val="left"/>
        <w:rPr>
          <w:rFonts w:ascii="arial" w:hAnsi="arial"/>
          <w:b/>
          <w:color w:val="3E3935"/>
          <w:sz w:val="26"/>
        </w:rPr>
      </w:pPr>
      <w:r>
        <w:rPr>
          <w:rFonts w:ascii="arial" w:hAnsi="arial"/>
          <w:b/>
          <w:color w:val="3E3935"/>
          <w:sz w:val="26"/>
        </w:rPr>
        <w:t xml:space="preserve">Who Can Vote </w:t>
      </w:r>
    </w:p>
    <w:p>
      <w:pPr>
        <w:pStyle w:val="TextBody"/>
        <w:bidi w:val="0"/>
        <w:spacing w:before="120" w:after="0"/>
        <w:jc w:val="both"/>
        <w:rPr>
          <w:rFonts w:ascii="arial" w:hAnsi="arial"/>
          <w:color w:val="3E3935"/>
          <w:sz w:val="18"/>
        </w:rPr>
      </w:pPr>
      <w:r>
        <w:rPr>
          <w:rFonts w:ascii="arial" w:hAnsi="arial"/>
          <w:color w:val="3E3935"/>
          <w:sz w:val="18"/>
        </w:rPr>
        <w:t xml:space="preserve">If you are a holder of the Company’s common stock as of the close of business on April 15, 2024, or you hold a valid proxy, you are entitled to vote at the Annual Meeting. On that date, the Company had 1,140,394,855 shares of common stock outstanding and entitled to vote. Each share of our common stock entitles the holder to one vote. </w:t>
      </w:r>
    </w:p>
    <w:p>
      <w:pPr>
        <w:pStyle w:val="TextBody"/>
        <w:bidi w:val="0"/>
        <w:spacing w:before="0" w:after="0"/>
        <w:jc w:val="left"/>
        <w:rPr/>
      </w:pPr>
      <w:r>
        <w:rPr/>
        <w:t> </w:t>
      </w:r>
    </w:p>
    <w:tbl>
      <w:tblPr>
        <w:tblW w:w="8966" w:type="dxa"/>
        <w:jc w:val="left"/>
        <w:tblInd w:w="0" w:type="dxa"/>
        <w:tblLayout w:type="fixed"/>
        <w:tblCellMar>
          <w:top w:w="0" w:type="dxa"/>
          <w:left w:w="0" w:type="dxa"/>
          <w:bottom w:w="0" w:type="dxa"/>
          <w:right w:w="0" w:type="dxa"/>
        </w:tblCellMar>
      </w:tblPr>
      <w:tblGrid>
        <w:gridCol w:w="275"/>
        <w:gridCol w:w="60"/>
        <w:gridCol w:w="1380"/>
        <w:gridCol w:w="60"/>
        <w:gridCol w:w="695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88</w:t>
            </w:r>
          </w:p>
        </w:tc>
        <w:tc>
          <w:tcPr>
            <w:tcW w:w="60"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left"/>
              <w:rPr/>
            </w:pPr>
            <w:r>
              <w:rPr/>
              <w:drawing>
                <wp:inline distT="0" distB="0" distL="0" distR="0">
                  <wp:extent cx="838200" cy="107315"/>
                  <wp:effectExtent l="0" t="0" r="0" b="0"/>
                  <wp:docPr id="358"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87" descr=""/>
                          <pic:cNvPicPr>
                            <a:picLocks noChangeAspect="1" noChangeArrowheads="1"/>
                          </pic:cNvPicPr>
                        </pic:nvPicPr>
                        <pic:blipFill>
                          <a:blip r:embed="rId341"/>
                          <a:stretch>
                            <a:fillRect/>
                          </a:stretch>
                        </pic:blipFill>
                        <pic:spPr bwMode="auto">
                          <a:xfrm>
                            <a:off x="0" y="0"/>
                            <a:ext cx="838200" cy="1073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center"/>
              <w:rPr>
                <w:b/>
                <w:color w:val="3E3935"/>
              </w:rPr>
            </w:pPr>
            <w:r>
              <w:rPr>
                <w:b/>
                <w:color w:val="3E3935"/>
              </w:rPr>
              <w:t>GENERAL INFORMATION ABOUT THE ANNUAL MEETING</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26"/>
        </w:rPr>
      </w:pPr>
      <w:r>
        <w:rPr>
          <w:rFonts w:ascii="arial" w:hAnsi="arial"/>
          <w:b/>
          <w:color w:val="3E3935"/>
          <w:sz w:val="26"/>
        </w:rPr>
        <w:t xml:space="preserve">Voting Without Attending the Annual Meeting </w:t>
      </w:r>
    </w:p>
    <w:p>
      <w:pPr>
        <w:pStyle w:val="TextBody"/>
        <w:bidi w:val="0"/>
        <w:spacing w:before="120" w:after="0"/>
        <w:jc w:val="both"/>
        <w:rPr>
          <w:rFonts w:ascii="arial" w:hAnsi="arial"/>
          <w:color w:val="3E3935"/>
          <w:sz w:val="18"/>
        </w:rPr>
      </w:pPr>
      <w:r>
        <w:rPr>
          <w:rFonts w:ascii="arial" w:hAnsi="arial"/>
          <w:color w:val="3E3935"/>
          <w:sz w:val="18"/>
        </w:rPr>
        <w:t xml:space="preserve">To vote your shares without attending the Annual Meeting, please follow the instructions for voting provided on the Notice, on your proxy card, or on the voting instructions form. When you timely submit your proxy or voting instructions in the proper form, your shares will be voted according to your instructions. If you sign, date, and return the proxy card or voting instructions form without specifying how you wish to cast your vote, your shares will be voted by the Proxies according to the recommendations of the Board, as indicated above. Internet and telephone voting are available 24 hours a day through 11:59 p.m. Eastern Time on Monday, June 3, 2024. </w:t>
      </w:r>
    </w:p>
    <w:p>
      <w:pPr>
        <w:pStyle w:val="TextBody"/>
        <w:bidi w:val="0"/>
        <w:spacing w:before="360" w:after="0"/>
        <w:jc w:val="left"/>
        <w:rPr>
          <w:rFonts w:ascii="arial" w:hAnsi="arial"/>
          <w:b/>
          <w:color w:val="3E3935"/>
          <w:sz w:val="26"/>
        </w:rPr>
      </w:pPr>
      <w:r>
        <w:rPr>
          <w:rFonts w:ascii="arial" w:hAnsi="arial"/>
          <w:b/>
          <w:color w:val="3E3935"/>
          <w:sz w:val="26"/>
        </w:rPr>
        <w:t xml:space="preserve">Revoking Your Proxy </w:t>
      </w:r>
    </w:p>
    <w:p>
      <w:pPr>
        <w:pStyle w:val="TextBody"/>
        <w:bidi w:val="0"/>
        <w:spacing w:before="120" w:after="0"/>
        <w:jc w:val="both"/>
        <w:rPr>
          <w:rFonts w:ascii="arial" w:hAnsi="arial"/>
          <w:color w:val="3E3935"/>
          <w:sz w:val="18"/>
        </w:rPr>
      </w:pPr>
      <w:r>
        <w:rPr>
          <w:rFonts w:ascii="arial" w:hAnsi="arial"/>
          <w:color w:val="3E3935"/>
          <w:sz w:val="18"/>
        </w:rPr>
        <w:t xml:space="preserve">After you have submitted your proxy or voting instructions by internet, telephone, or mail, you may revoke it at any time until it is voted at the Annual Meeting. Your attendance at the Annual Meeting will not cause your previously granted proxy to be revoked unless you specifically make that request or vote your shares electronically during the meeting. </w:t>
      </w:r>
    </w:p>
    <w:p>
      <w:pPr>
        <w:pStyle w:val="TextBody"/>
        <w:bidi w:val="0"/>
        <w:spacing w:before="120" w:after="0"/>
        <w:jc w:val="both"/>
        <w:rPr>
          <w:rFonts w:ascii="arial" w:hAnsi="arial"/>
          <w:color w:val="3E3935"/>
          <w:sz w:val="18"/>
        </w:rPr>
      </w:pPr>
      <w:r>
        <w:rPr>
          <w:rFonts w:ascii="arial" w:hAnsi="arial"/>
          <w:color w:val="3E3935"/>
          <w:sz w:val="18"/>
        </w:rPr>
        <w:t xml:space="preserve">To revoke your proxy, follow the instructions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81"/>
        <w:gridCol w:w="120"/>
        <w:gridCol w:w="4004"/>
      </w:tblGrid>
      <w:tr>
        <w:trPr/>
        <w:tc>
          <w:tcPr>
            <w:tcW w:w="60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04" w:type="dxa"/>
            <w:tcBorders/>
            <w:vAlign w:val="center"/>
          </w:tcPr>
          <w:p>
            <w:pPr>
              <w:pStyle w:val="TableContents"/>
              <w:bidi w:val="0"/>
              <w:spacing w:before="0" w:after="283"/>
              <w:jc w:val="left"/>
              <w:rPr>
                <w:sz w:val="4"/>
                <w:szCs w:val="4"/>
              </w:rPr>
            </w:pPr>
            <w:r>
              <w:rPr>
                <w:sz w:val="4"/>
                <w:szCs w:val="4"/>
              </w:rPr>
            </w:r>
          </w:p>
        </w:tc>
      </w:tr>
      <w:tr>
        <w:trPr/>
        <w:tc>
          <w:tcPr>
            <w:tcW w:w="6081" w:type="dxa"/>
            <w:tcBorders/>
            <w:shd w:fill="CCF2F8" w:val="clear"/>
            <w:vAlign w:val="center"/>
          </w:tcPr>
          <w:p>
            <w:pPr>
              <w:pStyle w:val="TableContents"/>
              <w:bidi w:val="0"/>
              <w:spacing w:before="0" w:after="283"/>
              <w:jc w:val="left"/>
              <w:rPr>
                <w:sz w:val="4"/>
                <w:szCs w:val="4"/>
              </w:rPr>
            </w:pPr>
            <w:r>
              <w:rPr>
                <w:sz w:val="4"/>
                <w:szCs w:val="4"/>
              </w:rPr>
            </w:r>
          </w:p>
        </w:tc>
        <w:tc>
          <w:tcPr>
            <w:tcW w:w="4124"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6081" w:type="dxa"/>
            <w:tcBorders/>
            <w:shd w:fill="CCF2F8" w:val="clear"/>
            <w:vAlign w:val="center"/>
          </w:tcPr>
          <w:p>
            <w:pPr>
              <w:pStyle w:val="TableContents"/>
              <w:bidi w:val="0"/>
              <w:spacing w:before="0" w:after="283"/>
              <w:jc w:val="center"/>
              <w:rPr>
                <w:b/>
                <w:color w:val="0071CE"/>
              </w:rPr>
            </w:pPr>
            <w:r>
              <w:rPr>
                <w:b/>
                <w:color w:val="0071CE"/>
              </w:rPr>
              <w:t>Shareholders of Record</w:t>
            </w:r>
          </w:p>
        </w:tc>
        <w:tc>
          <w:tcPr>
            <w:tcW w:w="120" w:type="dxa"/>
            <w:tcBorders/>
            <w:shd w:fill="CCF2F8" w:val="clear"/>
            <w:vAlign w:val="center"/>
          </w:tcPr>
          <w:p>
            <w:pPr>
              <w:pStyle w:val="TableContents"/>
              <w:bidi w:val="0"/>
              <w:spacing w:before="0" w:after="283"/>
              <w:jc w:val="left"/>
              <w:rPr/>
            </w:pPr>
            <w:r>
              <w:rPr/>
              <w:t>  </w:t>
            </w:r>
          </w:p>
        </w:tc>
        <w:tc>
          <w:tcPr>
            <w:tcW w:w="4004" w:type="dxa"/>
            <w:tcBorders/>
            <w:shd w:fill="CCF2F8" w:val="clear"/>
            <w:vAlign w:val="center"/>
          </w:tcPr>
          <w:p>
            <w:pPr>
              <w:pStyle w:val="TableContents"/>
              <w:bidi w:val="0"/>
              <w:spacing w:before="0" w:after="283"/>
              <w:jc w:val="center"/>
              <w:rPr>
                <w:b/>
                <w:color w:val="0071CE"/>
              </w:rPr>
            </w:pPr>
            <w:r>
              <w:rPr>
                <w:b/>
                <w:color w:val="0071CE"/>
              </w:rPr>
              <w:t>Street Name Shareholders</w:t>
            </w:r>
          </w:p>
        </w:tc>
      </w:tr>
      <w:tr>
        <w:trPr/>
        <w:tc>
          <w:tcPr>
            <w:tcW w:w="6081"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Grant a new proxy bearing a later date (which automatically revokes the earlier proxy);</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Send a written notice of revocation to the General Motors Company Corporate Secretary at Mail Code 482-C24-A68, 300 Renaissance Center, Detroit, Michigan 48265;</w:t>
            </w:r>
          </w:p>
          <w:p>
            <w:pPr>
              <w:pStyle w:val="TableContents"/>
              <w:bidi w:val="0"/>
              <w:spacing w:before="0" w:after="0"/>
              <w:jc w:val="left"/>
              <w:rPr/>
            </w:pPr>
            <w:r>
              <w:rPr/>
              <w:t> </w:t>
            </w:r>
          </w:p>
          <w:p>
            <w:pPr>
              <w:pStyle w:val="TableContents"/>
              <w:bidi w:val="0"/>
              <w:spacing w:before="0" w:after="0"/>
              <w:jc w:val="left"/>
              <w:rPr>
                <w:color w:val="3E3935"/>
              </w:rPr>
            </w:pPr>
            <w:r>
              <w:rPr>
                <w:color w:val="0071CE"/>
              </w:rPr>
              <w:t>•</w:t>
            </w:r>
            <w:r>
              <w:rPr>
                <w:color w:val="3E3935"/>
              </w:rPr>
              <w:t>   </w:t>
            </w:r>
            <w:r>
              <w:rPr>
                <w:rFonts w:ascii="arial" w:hAnsi="arial"/>
                <w:color w:val="3E3935"/>
                <w:sz w:val="18"/>
              </w:rPr>
              <w:t xml:space="preserve">Email the General Motors Company Corporate Secretary at </w:t>
            </w:r>
            <w:r>
              <w:rPr>
                <w:rFonts w:ascii="arial" w:hAnsi="arial"/>
                <w:i/>
                <w:color w:val="0071CE"/>
                <w:sz w:val="18"/>
              </w:rPr>
              <w:t>shareholder.relations@gm.com</w:t>
            </w:r>
            <w:r>
              <w:rPr>
                <w:rFonts w:ascii="arial" w:hAnsi="arial"/>
                <w:color w:val="3E3935"/>
                <w:sz w:val="18"/>
              </w:rPr>
              <w:t>; or</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Participate in the Annual Meeting and vote your shares electronically during the meeting.</w:t>
            </w:r>
          </w:p>
        </w:tc>
        <w:tc>
          <w:tcPr>
            <w:tcW w:w="120" w:type="dxa"/>
            <w:tcBorders/>
            <w:shd w:fill="CCF2F8" w:val="clear"/>
            <w:vAlign w:val="center"/>
          </w:tcPr>
          <w:p>
            <w:pPr>
              <w:pStyle w:val="TableContents"/>
              <w:bidi w:val="0"/>
              <w:spacing w:before="0" w:after="283"/>
              <w:jc w:val="left"/>
              <w:rPr/>
            </w:pPr>
            <w:r>
              <w:rPr/>
              <w:t>  </w:t>
            </w:r>
          </w:p>
        </w:tc>
        <w:tc>
          <w:tcPr>
            <w:tcW w:w="4004" w:type="dxa"/>
            <w:tcBorders/>
            <w:shd w:fill="CCF2F8" w:val="clear"/>
            <w:vAlign w:val="center"/>
          </w:tcPr>
          <w:p>
            <w:pPr>
              <w:pStyle w:val="TableContents"/>
              <w:bidi w:val="0"/>
              <w:spacing w:before="0" w:after="0"/>
              <w:jc w:val="left"/>
              <w:rPr>
                <w:color w:val="3E3935"/>
              </w:rPr>
            </w:pPr>
            <w:r>
              <w:rPr>
                <w:color w:val="0071CE"/>
              </w:rPr>
              <w:t>•</w:t>
            </w:r>
            <w:r>
              <w:rPr>
                <w:color w:val="3E3935"/>
              </w:rPr>
              <w:t>   </w:t>
            </w:r>
            <w:r>
              <w:rPr>
                <w:rFonts w:ascii="arial" w:hAnsi="arial"/>
                <w:color w:val="3E3935"/>
                <w:sz w:val="18"/>
              </w:rPr>
              <w:t>Notify your broker, bank, or nominee in accordance with that entity’s procedures for revoking your voting instructions; or</w:t>
            </w:r>
          </w:p>
          <w:p>
            <w:pPr>
              <w:pStyle w:val="TableContents"/>
              <w:bidi w:val="0"/>
              <w:spacing w:before="0" w:after="0"/>
              <w:jc w:val="left"/>
              <w:rPr/>
            </w:pPr>
            <w:r>
              <w:rPr/>
              <w:t> </w:t>
            </w:r>
          </w:p>
          <w:p>
            <w:pPr>
              <w:pStyle w:val="TableContents"/>
              <w:bidi w:val="0"/>
              <w:spacing w:before="0" w:after="20"/>
              <w:jc w:val="left"/>
              <w:rPr>
                <w:color w:val="3E3935"/>
              </w:rPr>
            </w:pPr>
            <w:r>
              <w:rPr>
                <w:color w:val="0071CE"/>
              </w:rPr>
              <w:t>•</w:t>
            </w:r>
            <w:r>
              <w:rPr>
                <w:color w:val="3E3935"/>
              </w:rPr>
              <w:t>   </w:t>
            </w:r>
            <w:r>
              <w:rPr>
                <w:rFonts w:ascii="arial" w:hAnsi="arial"/>
                <w:color w:val="3E3935"/>
                <w:sz w:val="18"/>
              </w:rPr>
              <w:t>Participate in the Annual Meeting and vote your shares electronically during the meeting.</w:t>
            </w:r>
          </w:p>
        </w:tc>
      </w:tr>
    </w:tbl>
    <w:p>
      <w:pPr>
        <w:pStyle w:val="TextBody"/>
        <w:bidi w:val="0"/>
        <w:spacing w:before="360" w:after="0"/>
        <w:jc w:val="left"/>
        <w:rPr>
          <w:rFonts w:ascii="arial" w:hAnsi="arial"/>
          <w:b/>
          <w:color w:val="3E3935"/>
          <w:sz w:val="26"/>
        </w:rPr>
      </w:pPr>
      <w:r>
        <w:rPr>
          <w:rFonts w:ascii="arial" w:hAnsi="arial"/>
          <w:b/>
          <w:color w:val="3E3935"/>
          <w:sz w:val="26"/>
        </w:rPr>
        <w:t xml:space="preserve">Annual Meeting Voting Results </w:t>
      </w:r>
    </w:p>
    <w:p>
      <w:pPr>
        <w:pStyle w:val="TextBody"/>
        <w:bidi w:val="0"/>
        <w:spacing w:before="120" w:after="0"/>
        <w:jc w:val="both"/>
        <w:rPr>
          <w:rFonts w:ascii="arial" w:hAnsi="arial"/>
          <w:color w:val="3E3935"/>
          <w:sz w:val="18"/>
        </w:rPr>
      </w:pPr>
      <w:r>
        <w:rPr>
          <w:rFonts w:ascii="arial" w:hAnsi="arial"/>
          <w:color w:val="3E3935"/>
          <w:sz w:val="18"/>
        </w:rPr>
        <w:t xml:space="preserve">Our independent inspector of elections, Broadridge Financial Services, Inc., will tabulate the vote at the Annual Meeting. We will provide voting results on our website and in a Current Report on Form 8-K filed with the SEC. </w:t>
      </w:r>
    </w:p>
    <w:p>
      <w:pPr>
        <w:pStyle w:val="TextBody"/>
        <w:bidi w:val="0"/>
        <w:spacing w:before="360" w:after="0"/>
        <w:jc w:val="left"/>
        <w:rPr>
          <w:color w:val="3E3935"/>
        </w:rPr>
      </w:pPr>
      <w:r>
        <w:rPr>
          <w:color w:val="3E3935"/>
        </w:rPr>
        <w:t>“</w:t>
      </w:r>
      <w:r>
        <w:rPr>
          <w:rFonts w:ascii="arial" w:hAnsi="arial"/>
          <w:b/>
          <w:color w:val="3E3935"/>
          <w:sz w:val="26"/>
        </w:rPr>
        <w:t xml:space="preserve">Shareholder of Record” and “Beneficial Shareholder” </w:t>
      </w:r>
    </w:p>
    <w:p>
      <w:pPr>
        <w:pStyle w:val="TextBody"/>
        <w:bidi w:val="0"/>
        <w:spacing w:before="120" w:after="0"/>
        <w:jc w:val="both"/>
        <w:rPr>
          <w:rFonts w:ascii="arial" w:hAnsi="arial"/>
          <w:color w:val="3E3935"/>
          <w:sz w:val="18"/>
        </w:rPr>
      </w:pPr>
      <w:r>
        <w:rPr>
          <w:rFonts w:ascii="arial" w:hAnsi="arial"/>
          <w:color w:val="3E3935"/>
          <w:sz w:val="18"/>
        </w:rPr>
        <w:t xml:space="preserve">If your shares are owned directly in your name in an account with GM’s stock transfer agent, Computershare Trust Company, N.A., you are considered the “shareholder of record” of those shares in your account. If your shares are held in an account with a broker, bank, or other nominee as a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w:t>
      </w:r>
      <w:r>
        <w:rPr>
          <w:rFonts w:ascii="arial" w:hAnsi="arial"/>
          <w:b/>
          <w:color w:val="3E3935"/>
          <w:sz w:val="18"/>
          <w:u w:val="single"/>
        </w:rPr>
        <w:t>must</w:t>
      </w:r>
      <w:r>
        <w:rPr>
          <w:rFonts w:ascii="arial" w:hAnsi="arial"/>
          <w:color w:val="3E3935"/>
          <w:sz w:val="18"/>
        </w:rPr>
        <w:t xml:space="preserve"> provide voting instructions to your broker, bank, or other nominee by the deadline provided in the proxy materials you receive from your broker, bank, or other nominee.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2 (“Proposal to Ratify the Selection of Ernst &amp; Young LLP as the Company’s Independent Registered Public Accounting Firm for 2024”) even if you do not provide voting instructions because it is considered a routine matter. </w:t>
      </w:r>
      <w:r>
        <w:rPr>
          <w:rFonts w:ascii="arial" w:hAnsi="arial"/>
          <w:b/>
          <w:color w:val="3E3935"/>
          <w:sz w:val="18"/>
        </w:rPr>
        <w:t xml:space="preserve">Your broker is not permitted to vote on the other agenda items if you do not provide voting instructions because those items involve matters that are considered non-routine. </w:t>
      </w:r>
    </w:p>
    <w:p>
      <w:pPr>
        <w:pStyle w:val="TextBody"/>
        <w:bidi w:val="0"/>
        <w:spacing w:before="360" w:after="0"/>
        <w:jc w:val="left"/>
        <w:rPr>
          <w:rFonts w:ascii="arial" w:hAnsi="arial"/>
          <w:b/>
          <w:color w:val="3E3935"/>
          <w:sz w:val="26"/>
        </w:rPr>
      </w:pPr>
      <w:r>
        <w:rPr>
          <w:rFonts w:ascii="arial" w:hAnsi="arial"/>
          <w:b/>
          <w:color w:val="3E3935"/>
          <w:sz w:val="26"/>
        </w:rPr>
        <w:t xml:space="preserve">Householding </w:t>
      </w:r>
    </w:p>
    <w:p>
      <w:pPr>
        <w:pStyle w:val="TextBody"/>
        <w:bidi w:val="0"/>
        <w:spacing w:before="120" w:after="0"/>
        <w:jc w:val="both"/>
        <w:rPr>
          <w:rFonts w:ascii="arial" w:hAnsi="arial"/>
          <w:color w:val="3E3935"/>
          <w:sz w:val="18"/>
        </w:rPr>
      </w:pPr>
      <w:r>
        <w:rPr>
          <w:rFonts w:ascii="arial" w:hAnsi="arial"/>
          <w:color w:val="3E3935"/>
          <w:sz w:val="18"/>
        </w:rPr>
        <w:t xml:space="preserve">SEC rules permit companies to send a single Proxy Statement and Annual Report or Notice to two or more shareholders that share the same address, subject to certain conditions. Each shareholder will continue to receive a separate proxy card or voting instruction form,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 </w:t>
      </w:r>
    </w:p>
    <w:p>
      <w:pPr>
        <w:pStyle w:val="TextBody"/>
        <w:bidi w:val="0"/>
        <w:spacing w:before="120" w:after="0"/>
        <w:jc w:val="both"/>
        <w:rPr>
          <w:rFonts w:ascii="arial" w:hAnsi="arial"/>
          <w:color w:val="3E3935"/>
          <w:sz w:val="18"/>
        </w:rPr>
      </w:pPr>
      <w:r>
        <w:rPr>
          <w:rFonts w:ascii="arial" w:hAnsi="arial"/>
          <w:color w:val="3E3935"/>
          <w:sz w:val="18"/>
        </w:rPr>
        <w:t xml:space="preserve">If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Broadridge Financial Solutions, Inc., by calling toll-free at (866) 540-7095 or by writing to Broadridge Financial Solutions, Inc., Householding Department, 51 Mercedes Way, Edgewood, New York 11717. </w:t>
      </w:r>
    </w:p>
    <w:p>
      <w:pPr>
        <w:pStyle w:val="TextBody"/>
        <w:bidi w:val="0"/>
        <w:spacing w:before="0" w:after="0"/>
        <w:jc w:val="left"/>
        <w:rPr/>
      </w:pPr>
      <w:r>
        <w:rPr/>
        <w:t> </w:t>
      </w:r>
    </w:p>
    <w:tbl>
      <w:tblPr>
        <w:tblW w:w="9961" w:type="dxa"/>
        <w:jc w:val="left"/>
        <w:tblInd w:w="0" w:type="dxa"/>
        <w:tblLayout w:type="fixed"/>
        <w:tblCellMar>
          <w:top w:w="0" w:type="dxa"/>
          <w:left w:w="0" w:type="dxa"/>
          <w:bottom w:w="0" w:type="dxa"/>
          <w:right w:w="0" w:type="dxa"/>
        </w:tblCellMar>
      </w:tblPr>
      <w:tblGrid>
        <w:gridCol w:w="38"/>
        <w:gridCol w:w="60"/>
        <w:gridCol w:w="23"/>
        <w:gridCol w:w="60"/>
        <w:gridCol w:w="6950"/>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center"/>
              <w:rPr>
                <w:b/>
                <w:color w:val="3E3935"/>
              </w:rPr>
            </w:pPr>
            <w:r>
              <w:rPr>
                <w:b/>
                <w:color w:val="3E3935"/>
              </w:rPr>
              <w:t>GENERAL INFORMATION ABOUT THE ANNUAL MEETING</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89</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which would require you to state that you do not consent to householding. </w:t>
      </w:r>
    </w:p>
    <w:p>
      <w:pPr>
        <w:pStyle w:val="TextBody"/>
        <w:bidi w:val="0"/>
        <w:spacing w:before="360" w:after="0"/>
        <w:jc w:val="left"/>
        <w:rPr>
          <w:rFonts w:ascii="arial" w:hAnsi="arial"/>
          <w:b/>
          <w:color w:val="3E3935"/>
          <w:sz w:val="26"/>
        </w:rPr>
      </w:pPr>
      <w:r>
        <w:rPr>
          <w:rFonts w:ascii="arial" w:hAnsi="arial"/>
          <w:b/>
          <w:color w:val="3E3935"/>
          <w:sz w:val="26"/>
        </w:rPr>
        <w:t xml:space="preserve">Shareholder Proposals and Director Nominations for the 2025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6"/>
        <w:gridCol w:w="120"/>
        <w:gridCol w:w="2235"/>
        <w:gridCol w:w="120"/>
        <w:gridCol w:w="3382"/>
        <w:gridCol w:w="120"/>
        <w:gridCol w:w="3192"/>
      </w:tblGrid>
      <w:tr>
        <w:trPr/>
        <w:tc>
          <w:tcPr>
            <w:tcW w:w="10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92" w:type="dxa"/>
            <w:tcBorders/>
            <w:vAlign w:val="center"/>
          </w:tcPr>
          <w:p>
            <w:pPr>
              <w:pStyle w:val="TableContents"/>
              <w:bidi w:val="0"/>
              <w:spacing w:before="0" w:after="283"/>
              <w:jc w:val="left"/>
              <w:rPr>
                <w:sz w:val="4"/>
                <w:szCs w:val="4"/>
              </w:rPr>
            </w:pPr>
            <w:r>
              <w:rPr>
                <w:sz w:val="4"/>
                <w:szCs w:val="4"/>
              </w:rPr>
            </w:r>
          </w:p>
        </w:tc>
      </w:tr>
      <w:tr>
        <w:trPr/>
        <w:tc>
          <w:tcPr>
            <w:tcW w:w="1036" w:type="dxa"/>
            <w:tcBorders>
              <w:top w:val="single" w:sz="8" w:space="0" w:color="0071CE"/>
            </w:tcBorders>
            <w:shd w:fill="CCF2F8" w:val="clear"/>
            <w:tcMar>
              <w:top w:w="28" w:type="dxa"/>
            </w:tcMar>
            <w:vAlign w:val="center"/>
          </w:tcPr>
          <w:p>
            <w:pPr>
              <w:pStyle w:val="TableContents"/>
              <w:bidi w:val="0"/>
              <w:spacing w:before="0" w:after="283"/>
              <w:jc w:val="left"/>
              <w:rPr/>
            </w:pPr>
            <w:r>
              <w:rPr/>
              <w:t> </w:t>
            </w:r>
          </w:p>
        </w:tc>
        <w:tc>
          <w:tcPr>
            <w:tcW w:w="2355" w:type="dxa"/>
            <w:gridSpan w:val="2"/>
            <w:tcBorders>
              <w:top w:val="single" w:sz="8" w:space="0" w:color="0071CE"/>
            </w:tcBorders>
            <w:shd w:fill="CCF2F8" w:val="clear"/>
            <w:tcMar>
              <w:top w:w="28" w:type="dxa"/>
            </w:tcMar>
            <w:vAlign w:val="center"/>
          </w:tcPr>
          <w:p>
            <w:pPr>
              <w:pStyle w:val="TableContents"/>
              <w:bidi w:val="0"/>
              <w:spacing w:before="0" w:after="283"/>
              <w:jc w:val="left"/>
              <w:rPr/>
            </w:pPr>
            <w:r>
              <w:rPr/>
              <w:t> </w:t>
            </w:r>
          </w:p>
        </w:tc>
        <w:tc>
          <w:tcPr>
            <w:tcW w:w="3502" w:type="dxa"/>
            <w:gridSpan w:val="2"/>
            <w:tcBorders>
              <w:top w:val="single" w:sz="8" w:space="0" w:color="0071CE"/>
            </w:tcBorders>
            <w:shd w:fill="CCF2F8" w:val="clear"/>
            <w:tcMar>
              <w:top w:w="28" w:type="dxa"/>
            </w:tcMar>
            <w:vAlign w:val="center"/>
          </w:tcPr>
          <w:p>
            <w:pPr>
              <w:pStyle w:val="TableContents"/>
              <w:bidi w:val="0"/>
              <w:spacing w:before="0" w:after="283"/>
              <w:jc w:val="left"/>
              <w:rPr/>
            </w:pPr>
            <w:r>
              <w:rPr/>
              <w:t> </w:t>
            </w:r>
          </w:p>
        </w:tc>
        <w:tc>
          <w:tcPr>
            <w:tcW w:w="3312" w:type="dxa"/>
            <w:gridSpan w:val="2"/>
            <w:tcBorders>
              <w:top w:val="single" w:sz="8" w:space="0" w:color="0071CE"/>
            </w:tcBorders>
            <w:shd w:fill="CCF2F8" w:val="clear"/>
            <w:tcMar>
              <w:top w:w="28" w:type="dxa"/>
            </w:tcMar>
            <w:vAlign w:val="center"/>
          </w:tcPr>
          <w:p>
            <w:pPr>
              <w:pStyle w:val="TableContents"/>
              <w:bidi w:val="0"/>
              <w:spacing w:before="0" w:after="283"/>
              <w:jc w:val="left"/>
              <w:rPr/>
            </w:pPr>
            <w:r>
              <w:rPr/>
              <w:t> </w:t>
            </w:r>
          </w:p>
        </w:tc>
      </w:tr>
      <w:tr>
        <w:trPr/>
        <w:tc>
          <w:tcPr>
            <w:tcW w:w="103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Type of Proposal</w:t>
            </w:r>
          </w:p>
        </w:tc>
        <w:tc>
          <w:tcPr>
            <w:tcW w:w="120" w:type="dxa"/>
            <w:tcBorders/>
            <w:shd w:fill="CCF2F8" w:val="clear"/>
            <w:vAlign w:val="center"/>
          </w:tcPr>
          <w:p>
            <w:pPr>
              <w:pStyle w:val="TableContents"/>
              <w:bidi w:val="0"/>
              <w:spacing w:before="0" w:after="283"/>
              <w:jc w:val="left"/>
              <w:rPr/>
            </w:pPr>
            <w:r>
              <w:rPr/>
              <w:t>  </w:t>
            </w:r>
          </w:p>
        </w:tc>
        <w:tc>
          <w:tcPr>
            <w:tcW w:w="2235" w:type="dxa"/>
            <w:tcBorders/>
            <w:shd w:fill="CCF2F8" w:val="clear"/>
            <w:vAlign w:val="center"/>
          </w:tcPr>
          <w:p>
            <w:pPr>
              <w:pStyle w:val="TableContents"/>
              <w:bidi w:val="0"/>
              <w:spacing w:before="0" w:after="283"/>
              <w:jc w:val="left"/>
              <w:rPr>
                <w:color w:val="3E3935"/>
              </w:rPr>
            </w:pPr>
            <w:r>
              <w:rPr>
                <w:color w:val="3E3935"/>
              </w:rPr>
              <w:t>Rule 14a-8 Proposals by Shareholders for Inclusion in Next Year’s Proxy Statement</w:t>
            </w:r>
          </w:p>
        </w:tc>
        <w:tc>
          <w:tcPr>
            <w:tcW w:w="120" w:type="dxa"/>
            <w:tcBorders/>
            <w:shd w:fill="CCF2F8" w:val="clear"/>
            <w:vAlign w:val="center"/>
          </w:tcPr>
          <w:p>
            <w:pPr>
              <w:pStyle w:val="TableContents"/>
              <w:bidi w:val="0"/>
              <w:spacing w:before="0" w:after="283"/>
              <w:jc w:val="left"/>
              <w:rPr/>
            </w:pPr>
            <w:r>
              <w:rPr/>
              <w:t>  </w:t>
            </w:r>
          </w:p>
        </w:tc>
        <w:tc>
          <w:tcPr>
            <w:tcW w:w="3382" w:type="dxa"/>
            <w:tcBorders/>
            <w:shd w:fill="CCF2F8" w:val="clear"/>
            <w:vAlign w:val="center"/>
          </w:tcPr>
          <w:p>
            <w:pPr>
              <w:pStyle w:val="TableContents"/>
              <w:bidi w:val="0"/>
              <w:spacing w:before="0" w:after="283"/>
              <w:jc w:val="left"/>
              <w:rPr>
                <w:color w:val="3E3935"/>
              </w:rPr>
            </w:pPr>
            <w:r>
              <w:rPr>
                <w:color w:val="3E3935"/>
              </w:rPr>
              <w:t>Director Nominees for Inclusion in Next Year’s Proxy Statement (Proxy Access)</w:t>
            </w:r>
          </w:p>
        </w:tc>
        <w:tc>
          <w:tcPr>
            <w:tcW w:w="120" w:type="dxa"/>
            <w:tcBorders/>
            <w:shd w:fill="CCF2F8" w:val="clear"/>
            <w:vAlign w:val="center"/>
          </w:tcPr>
          <w:p>
            <w:pPr>
              <w:pStyle w:val="TableContents"/>
              <w:bidi w:val="0"/>
              <w:spacing w:before="0" w:after="283"/>
              <w:jc w:val="left"/>
              <w:rPr/>
            </w:pPr>
            <w:r>
              <w:rPr/>
              <w:t>  </w:t>
            </w:r>
          </w:p>
        </w:tc>
        <w:tc>
          <w:tcPr>
            <w:tcW w:w="3192" w:type="dxa"/>
            <w:tcBorders/>
            <w:shd w:fill="CCF2F8" w:val="clear"/>
            <w:vAlign w:val="center"/>
          </w:tcPr>
          <w:p>
            <w:pPr>
              <w:pStyle w:val="TableContents"/>
              <w:bidi w:val="0"/>
              <w:spacing w:before="0" w:after="283"/>
              <w:jc w:val="left"/>
              <w:rPr>
                <w:color w:val="3E3935"/>
              </w:rPr>
            </w:pPr>
            <w:r>
              <w:rPr>
                <w:color w:val="3E3935"/>
              </w:rPr>
              <w:t>Other Proposals or Nominees for Presentation at Next Year’s Annual Meeting (including under Rule 14a-19)</w:t>
            </w:r>
          </w:p>
        </w:tc>
      </w:tr>
      <w:tr>
        <w:trPr/>
        <w:tc>
          <w:tcPr>
            <w:tcW w:w="1036" w:type="dxa"/>
            <w:tcBorders/>
            <w:vAlign w:val="center"/>
          </w:tcPr>
          <w:p>
            <w:pPr>
              <w:pStyle w:val="TableContents"/>
              <w:bidi w:val="0"/>
              <w:spacing w:before="0" w:after="283"/>
              <w:jc w:val="left"/>
              <w:rPr>
                <w:sz w:val="4"/>
                <w:szCs w:val="4"/>
              </w:rPr>
            </w:pPr>
            <w:r>
              <w:rPr>
                <w:sz w:val="4"/>
                <w:szCs w:val="4"/>
              </w:rPr>
            </w:r>
          </w:p>
        </w:tc>
        <w:tc>
          <w:tcPr>
            <w:tcW w:w="2355" w:type="dxa"/>
            <w:gridSpan w:val="2"/>
            <w:tcBorders/>
            <w:vAlign w:val="center"/>
          </w:tcPr>
          <w:p>
            <w:pPr>
              <w:pStyle w:val="TableContents"/>
              <w:bidi w:val="0"/>
              <w:spacing w:before="0" w:after="283"/>
              <w:jc w:val="left"/>
              <w:rPr>
                <w:sz w:val="4"/>
                <w:szCs w:val="4"/>
              </w:rPr>
            </w:pPr>
            <w:r>
              <w:rPr>
                <w:sz w:val="4"/>
                <w:szCs w:val="4"/>
              </w:rPr>
            </w:r>
          </w:p>
        </w:tc>
        <w:tc>
          <w:tcPr>
            <w:tcW w:w="3502" w:type="dxa"/>
            <w:gridSpan w:val="2"/>
            <w:tcBorders/>
            <w:vAlign w:val="center"/>
          </w:tcPr>
          <w:p>
            <w:pPr>
              <w:pStyle w:val="TableContents"/>
              <w:bidi w:val="0"/>
              <w:spacing w:before="0" w:after="283"/>
              <w:jc w:val="left"/>
              <w:rPr>
                <w:sz w:val="4"/>
                <w:szCs w:val="4"/>
              </w:rPr>
            </w:pPr>
            <w:r>
              <w:rPr>
                <w:sz w:val="4"/>
                <w:szCs w:val="4"/>
              </w:rPr>
            </w:r>
          </w:p>
        </w:tc>
        <w:tc>
          <w:tcPr>
            <w:tcW w:w="3312" w:type="dxa"/>
            <w:gridSpan w:val="2"/>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Rules/Provisions</w:t>
            </w:r>
          </w:p>
        </w:tc>
        <w:tc>
          <w:tcPr>
            <w:tcW w:w="120" w:type="dxa"/>
            <w:tcBorders/>
            <w:vAlign w:val="center"/>
          </w:tcPr>
          <w:p>
            <w:pPr>
              <w:pStyle w:val="TableContents"/>
              <w:bidi w:val="0"/>
              <w:spacing w:before="0" w:after="283"/>
              <w:jc w:val="left"/>
              <w:rPr/>
            </w:pPr>
            <w:r>
              <w:rPr/>
              <w:t>  </w:t>
            </w:r>
          </w:p>
        </w:tc>
        <w:tc>
          <w:tcPr>
            <w:tcW w:w="2235" w:type="dxa"/>
            <w:tcBorders/>
            <w:vAlign w:val="center"/>
          </w:tcPr>
          <w:p>
            <w:pPr>
              <w:pStyle w:val="TableContents"/>
              <w:bidi w:val="0"/>
              <w:spacing w:before="0" w:after="283"/>
              <w:jc w:val="left"/>
              <w:rPr>
                <w:color w:val="3E3935"/>
              </w:rPr>
            </w:pPr>
            <w:r>
              <w:rPr>
                <w:color w:val="3E3935"/>
              </w:rPr>
              <w:t>SEC rules and our Bylaws permit shareholders to submit proposals for inclusion in our Proxy Statement if the shareholder and the proposal meet the requirements specified in SEC Rule 14a-8.</w:t>
            </w:r>
          </w:p>
        </w:tc>
        <w:tc>
          <w:tcPr>
            <w:tcW w:w="120" w:type="dxa"/>
            <w:tcBorders/>
            <w:vAlign w:val="center"/>
          </w:tcPr>
          <w:p>
            <w:pPr>
              <w:pStyle w:val="TableContents"/>
              <w:bidi w:val="0"/>
              <w:spacing w:before="0" w:after="283"/>
              <w:jc w:val="left"/>
              <w:rPr/>
            </w:pPr>
            <w:r>
              <w:rPr/>
              <w:t>  </w:t>
            </w:r>
          </w:p>
        </w:tc>
        <w:tc>
          <w:tcPr>
            <w:tcW w:w="3382" w:type="dxa"/>
            <w:tcBorders/>
            <w:vAlign w:val="center"/>
          </w:tcPr>
          <w:p>
            <w:pPr>
              <w:pStyle w:val="TableContents"/>
              <w:bidi w:val="0"/>
              <w:spacing w:before="0" w:after="283"/>
              <w:jc w:val="left"/>
              <w:rPr>
                <w:color w:val="3E3935"/>
              </w:rPr>
            </w:pPr>
            <w:r>
              <w:rPr>
                <w:color w:val="3E3935"/>
              </w:rPr>
              <w:t>Our Bylaws permit a shareholder or group of shareholders (up to 20) who have owned a significant amount of common stock (at least 3 percent) for a significant amount of time (at least three years) to submit director nominees (up to 20 percent of the Board or two directors, whichever is greater) for inclusion in our Proxy Statement if the shareholder(s) and the nominee(s) satisfy the requirements specified in our Bylaws.</w:t>
            </w:r>
          </w:p>
        </w:tc>
        <w:tc>
          <w:tcPr>
            <w:tcW w:w="120" w:type="dxa"/>
            <w:tcBorders/>
            <w:vAlign w:val="center"/>
          </w:tcPr>
          <w:p>
            <w:pPr>
              <w:pStyle w:val="TableContents"/>
              <w:bidi w:val="0"/>
              <w:spacing w:before="0" w:after="283"/>
              <w:jc w:val="left"/>
              <w:rPr/>
            </w:pPr>
            <w:r>
              <w:rPr/>
              <w:t>  </w:t>
            </w:r>
          </w:p>
        </w:tc>
        <w:tc>
          <w:tcPr>
            <w:tcW w:w="3192" w:type="dxa"/>
            <w:tcBorders/>
            <w:vAlign w:val="center"/>
          </w:tcPr>
          <w:p>
            <w:pPr>
              <w:pStyle w:val="TableContents"/>
              <w:bidi w:val="0"/>
              <w:spacing w:before="0" w:after="283"/>
              <w:jc w:val="left"/>
              <w:rPr>
                <w:color w:val="3E3935"/>
              </w:rPr>
            </w:pPr>
            <w:r>
              <w:rPr>
                <w:color w:val="3E3935"/>
              </w:rPr>
              <w:t>Our Bylaws require that any shareholder proposal, including a director nomination, that is not submitted for inclusion in next year’s Proxy Statement (either under SEC Rule 14a-8 or our proxy access bylaw), but is instead sought to be presented directly at next year’s annual meeting must be received at our principal executive offices no earlier than 180 days and no later than 120 days before the first anniversary of this year’s Annual Meeting.</w:t>
            </w:r>
          </w:p>
        </w:tc>
      </w:tr>
      <w:tr>
        <w:trPr/>
        <w:tc>
          <w:tcPr>
            <w:tcW w:w="1036" w:type="dxa"/>
            <w:tcBorders/>
            <w:shd w:fill="CCF2F8" w:val="clear"/>
            <w:vAlign w:val="center"/>
          </w:tcPr>
          <w:p>
            <w:pPr>
              <w:pStyle w:val="TableContents"/>
              <w:bidi w:val="0"/>
              <w:spacing w:before="0" w:after="283"/>
              <w:jc w:val="left"/>
              <w:rPr>
                <w:sz w:val="4"/>
                <w:szCs w:val="4"/>
              </w:rPr>
            </w:pPr>
            <w:r>
              <w:rPr>
                <w:sz w:val="4"/>
                <w:szCs w:val="4"/>
              </w:rPr>
            </w:r>
          </w:p>
        </w:tc>
        <w:tc>
          <w:tcPr>
            <w:tcW w:w="2355" w:type="dxa"/>
            <w:gridSpan w:val="2"/>
            <w:tcBorders/>
            <w:shd w:fill="CCF2F8" w:val="clear"/>
            <w:vAlign w:val="center"/>
          </w:tcPr>
          <w:p>
            <w:pPr>
              <w:pStyle w:val="TableContents"/>
              <w:bidi w:val="0"/>
              <w:spacing w:before="0" w:after="283"/>
              <w:jc w:val="left"/>
              <w:rPr>
                <w:sz w:val="4"/>
                <w:szCs w:val="4"/>
              </w:rPr>
            </w:pPr>
            <w:r>
              <w:rPr>
                <w:sz w:val="4"/>
                <w:szCs w:val="4"/>
              </w:rPr>
            </w:r>
          </w:p>
        </w:tc>
        <w:tc>
          <w:tcPr>
            <w:tcW w:w="6814"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36" w:type="dxa"/>
            <w:tcBorders/>
            <w:shd w:fill="CCF2F8" w:val="clear"/>
            <w:vAlign w:val="center"/>
          </w:tcPr>
          <w:p>
            <w:pPr>
              <w:pStyle w:val="TableContents"/>
              <w:bidi w:val="0"/>
              <w:spacing w:before="0" w:after="0"/>
              <w:jc w:val="left"/>
              <w:rPr>
                <w:rFonts w:ascii="arial" w:hAnsi="arial"/>
                <w:b/>
                <w:color w:val="0071CE"/>
                <w:sz w:val="17"/>
              </w:rPr>
            </w:pPr>
            <w:r>
              <w:rPr>
                <w:rFonts w:ascii="arial" w:hAnsi="arial"/>
                <w:b/>
                <w:color w:val="0071CE"/>
                <w:sz w:val="17"/>
              </w:rPr>
              <w:t>Deadline for Submitting These Proposals</w:t>
            </w:r>
          </w:p>
        </w:tc>
        <w:tc>
          <w:tcPr>
            <w:tcW w:w="120" w:type="dxa"/>
            <w:tcBorders/>
            <w:shd w:fill="CCF2F8" w:val="clear"/>
            <w:vAlign w:val="center"/>
          </w:tcPr>
          <w:p>
            <w:pPr>
              <w:pStyle w:val="TableContents"/>
              <w:bidi w:val="0"/>
              <w:spacing w:before="0" w:after="283"/>
              <w:jc w:val="left"/>
              <w:rPr/>
            </w:pPr>
            <w:r>
              <w:rPr/>
              <w:t>  </w:t>
            </w:r>
          </w:p>
        </w:tc>
        <w:tc>
          <w:tcPr>
            <w:tcW w:w="2235" w:type="dxa"/>
            <w:tcBorders/>
            <w:shd w:fill="CCF2F8" w:val="clear"/>
            <w:vAlign w:val="center"/>
          </w:tcPr>
          <w:p>
            <w:pPr>
              <w:pStyle w:val="TableContents"/>
              <w:bidi w:val="0"/>
              <w:spacing w:before="0" w:after="283"/>
              <w:jc w:val="left"/>
              <w:rPr>
                <w:color w:val="3E3935"/>
              </w:rPr>
            </w:pPr>
            <w:r>
              <w:rPr>
                <w:color w:val="3E3935"/>
              </w:rPr>
              <w:t xml:space="preserve">Proposals must be received at our principal executive offices no later than 11:59 p.m. Eastern Time on </w:t>
            </w:r>
            <w:r>
              <w:rPr>
                <w:b/>
                <w:color w:val="3E3935"/>
              </w:rPr>
              <w:t>December</w:t>
            </w:r>
            <w:r>
              <w:rPr>
                <w:color w:val="3E3935"/>
              </w:rPr>
              <w:t> </w:t>
            </w:r>
            <w:r>
              <w:rPr>
                <w:b/>
                <w:color w:val="3E3935"/>
              </w:rPr>
              <w:t>26, 2024</w:t>
            </w:r>
            <w:r>
              <w:rPr>
                <w:color w:val="3E3935"/>
              </w:rPr>
              <w:t>.</w:t>
            </w:r>
          </w:p>
        </w:tc>
        <w:tc>
          <w:tcPr>
            <w:tcW w:w="120" w:type="dxa"/>
            <w:tcBorders/>
            <w:shd w:fill="CCF2F8" w:val="clear"/>
            <w:vAlign w:val="center"/>
          </w:tcPr>
          <w:p>
            <w:pPr>
              <w:pStyle w:val="TableContents"/>
              <w:bidi w:val="0"/>
              <w:spacing w:before="0" w:after="283"/>
              <w:jc w:val="left"/>
              <w:rPr/>
            </w:pPr>
            <w:r>
              <w:rPr/>
              <w:t>  </w:t>
            </w:r>
          </w:p>
        </w:tc>
        <w:tc>
          <w:tcPr>
            <w:tcW w:w="6694" w:type="dxa"/>
            <w:gridSpan w:val="3"/>
            <w:tcBorders/>
            <w:shd w:fill="CCF2F8" w:val="clear"/>
            <w:vAlign w:val="center"/>
          </w:tcPr>
          <w:p>
            <w:pPr>
              <w:pStyle w:val="TableContents"/>
              <w:bidi w:val="0"/>
              <w:spacing w:before="0" w:after="283"/>
              <w:jc w:val="left"/>
              <w:rPr>
                <w:color w:val="3E3935"/>
              </w:rPr>
            </w:pPr>
            <w:r>
              <w:rPr>
                <w:color w:val="3E3935"/>
              </w:rPr>
              <w:t xml:space="preserve">Proposals must be received at our principal executive offices no earlier than </w:t>
            </w:r>
            <w:r>
              <w:rPr>
                <w:b/>
                <w:color w:val="3E3935"/>
              </w:rPr>
              <w:t>December</w:t>
            </w:r>
            <w:r>
              <w:rPr>
                <w:color w:val="3E3935"/>
              </w:rPr>
              <w:t> </w:t>
            </w:r>
            <w:r>
              <w:rPr>
                <w:b/>
                <w:color w:val="3E3935"/>
              </w:rPr>
              <w:t>6, 2024</w:t>
            </w:r>
            <w:r>
              <w:rPr>
                <w:color w:val="3E3935"/>
              </w:rPr>
              <w:t xml:space="preserve">, and no later than 11:59 p.m. Eastern Time on </w:t>
            </w:r>
            <w:r>
              <w:rPr>
                <w:b/>
                <w:color w:val="3E3935"/>
              </w:rPr>
              <w:t>February</w:t>
            </w:r>
            <w:r>
              <w:rPr>
                <w:color w:val="3E3935"/>
              </w:rPr>
              <w:t> </w:t>
            </w:r>
            <w:r>
              <w:rPr>
                <w:b/>
                <w:color w:val="3E3935"/>
              </w:rPr>
              <w:t>4, 2025.</w:t>
            </w:r>
          </w:p>
        </w:tc>
      </w:tr>
      <w:tr>
        <w:trPr/>
        <w:tc>
          <w:tcPr>
            <w:tcW w:w="1036" w:type="dxa"/>
            <w:tcBorders/>
            <w:vAlign w:val="center"/>
          </w:tcPr>
          <w:p>
            <w:pPr>
              <w:pStyle w:val="TableContents"/>
              <w:bidi w:val="0"/>
              <w:spacing w:before="0" w:after="283"/>
              <w:jc w:val="left"/>
              <w:rPr>
                <w:sz w:val="4"/>
                <w:szCs w:val="4"/>
              </w:rPr>
            </w:pPr>
            <w:r>
              <w:rPr>
                <w:sz w:val="4"/>
                <w:szCs w:val="4"/>
              </w:rPr>
            </w:r>
          </w:p>
        </w:tc>
        <w:tc>
          <w:tcPr>
            <w:tcW w:w="9169" w:type="dxa"/>
            <w:gridSpan w:val="6"/>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0"/>
              <w:jc w:val="left"/>
              <w:rPr>
                <w:rFonts w:ascii="arial" w:hAnsi="arial"/>
                <w:b/>
                <w:color w:val="0071CE"/>
                <w:sz w:val="17"/>
              </w:rPr>
            </w:pPr>
            <w:r>
              <w:rPr>
                <w:rFonts w:ascii="arial" w:hAnsi="arial"/>
                <w:b/>
                <w:color w:val="0071CE"/>
                <w:sz w:val="17"/>
              </w:rPr>
              <w:t>Where to Send These Proposals</w:t>
            </w:r>
          </w:p>
        </w:tc>
        <w:tc>
          <w:tcPr>
            <w:tcW w:w="120" w:type="dxa"/>
            <w:tcBorders/>
            <w:vAlign w:val="center"/>
          </w:tcPr>
          <w:p>
            <w:pPr>
              <w:pStyle w:val="TableContents"/>
              <w:bidi w:val="0"/>
              <w:spacing w:before="0" w:after="283"/>
              <w:jc w:val="left"/>
              <w:rPr/>
            </w:pPr>
            <w:r>
              <w:rPr/>
              <w:t>  </w:t>
            </w:r>
          </w:p>
        </w:tc>
        <w:tc>
          <w:tcPr>
            <w:tcW w:w="9049" w:type="dxa"/>
            <w:gridSpan w:val="5"/>
            <w:tcBorders/>
            <w:vAlign w:val="center"/>
          </w:tcPr>
          <w:p>
            <w:pPr>
              <w:pStyle w:val="TableContents"/>
              <w:bidi w:val="0"/>
              <w:spacing w:before="0" w:after="283"/>
              <w:jc w:val="left"/>
              <w:rPr>
                <w:color w:val="3E3935"/>
              </w:rPr>
            </w:pPr>
            <w:r>
              <w:rPr>
                <w:color w:val="3E3935"/>
              </w:rPr>
              <w:t xml:space="preserve">Mail proposals to our Corporate Secretary at Mail Code 482-C24-A68, 300 Renaissance Center, Detroit, Michigan 48265 or send proposals by email to </w:t>
            </w:r>
            <w:r>
              <w:rPr>
                <w:i/>
                <w:color w:val="0071CE"/>
              </w:rPr>
              <w:t>shareholder.relations@gm.com</w:t>
            </w:r>
            <w:r>
              <w:rPr>
                <w:i/>
                <w:color w:val="3E3935"/>
              </w:rPr>
              <w:t>.</w:t>
            </w:r>
          </w:p>
        </w:tc>
      </w:tr>
      <w:tr>
        <w:trPr/>
        <w:tc>
          <w:tcPr>
            <w:tcW w:w="1036" w:type="dxa"/>
            <w:tcBorders/>
            <w:shd w:fill="CCF2F8" w:val="clear"/>
            <w:vAlign w:val="center"/>
          </w:tcPr>
          <w:p>
            <w:pPr>
              <w:pStyle w:val="TableContents"/>
              <w:bidi w:val="0"/>
              <w:spacing w:before="0" w:after="283"/>
              <w:jc w:val="left"/>
              <w:rPr>
                <w:sz w:val="4"/>
                <w:szCs w:val="4"/>
              </w:rPr>
            </w:pPr>
            <w:r>
              <w:rPr>
                <w:sz w:val="4"/>
                <w:szCs w:val="4"/>
              </w:rPr>
            </w:r>
          </w:p>
        </w:tc>
        <w:tc>
          <w:tcPr>
            <w:tcW w:w="2355" w:type="dxa"/>
            <w:gridSpan w:val="2"/>
            <w:tcBorders/>
            <w:shd w:fill="CCF2F8" w:val="clear"/>
            <w:vAlign w:val="center"/>
          </w:tcPr>
          <w:p>
            <w:pPr>
              <w:pStyle w:val="TableContents"/>
              <w:bidi w:val="0"/>
              <w:spacing w:before="0" w:after="283"/>
              <w:jc w:val="left"/>
              <w:rPr>
                <w:sz w:val="4"/>
                <w:szCs w:val="4"/>
              </w:rPr>
            </w:pPr>
            <w:r>
              <w:rPr>
                <w:sz w:val="4"/>
                <w:szCs w:val="4"/>
              </w:rPr>
            </w:r>
          </w:p>
        </w:tc>
        <w:tc>
          <w:tcPr>
            <w:tcW w:w="6814"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1036" w:type="dxa"/>
            <w:tcBorders>
              <w:bottom w:val="single" w:sz="6" w:space="0" w:color="0071CE"/>
            </w:tcBorders>
            <w:shd w:fill="CCF2F8" w:val="clear"/>
            <w:tcMar>
              <w:bottom w:w="8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What to Include</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2235"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Proposals must conform to and include the information required by SEC Rule 14a-8.</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6694" w:type="dxa"/>
            <w:gridSpan w:val="3"/>
            <w:tcBorders>
              <w:bottom w:val="single" w:sz="6" w:space="0" w:color="0071CE"/>
            </w:tcBorders>
            <w:shd w:fill="CCF2F8" w:val="clear"/>
            <w:tcMar>
              <w:bottom w:w="80" w:type="dxa"/>
            </w:tcMar>
            <w:vAlign w:val="center"/>
          </w:tcPr>
          <w:p>
            <w:pPr>
              <w:pStyle w:val="TableContents"/>
              <w:bidi w:val="0"/>
              <w:spacing w:before="0" w:after="283"/>
              <w:jc w:val="left"/>
              <w:rPr/>
            </w:pPr>
            <w:r>
              <w:rPr>
                <w:color w:val="3E3935"/>
              </w:rPr>
              <w:t xml:space="preserve">Proposals must include information required by our Bylaws, which are available on our website at </w:t>
            </w:r>
            <w:r>
              <w:rPr>
                <w:i/>
                <w:color w:val="0071CE"/>
              </w:rPr>
              <w:t>investor.gm.com/governanceandsustainability</w:t>
            </w:r>
            <w:r>
              <w:rPr>
                <w:color w:val="3E3935"/>
              </w:rPr>
              <w:t>, and all requirements in Rule 14a-19(b), if applicable.</w:t>
            </w:r>
          </w:p>
        </w:tc>
      </w:tr>
    </w:tbl>
    <w:p>
      <w:pPr>
        <w:pStyle w:val="TextBody"/>
        <w:bidi w:val="0"/>
        <w:spacing w:before="360" w:after="0"/>
        <w:jc w:val="left"/>
        <w:rPr>
          <w:rFonts w:ascii="arial" w:hAnsi="arial"/>
          <w:b/>
          <w:color w:val="3E3935"/>
          <w:sz w:val="26"/>
        </w:rPr>
      </w:pPr>
      <w:r>
        <w:rPr>
          <w:rFonts w:ascii="arial" w:hAnsi="arial"/>
          <w:b/>
          <w:color w:val="3E3935"/>
          <w:sz w:val="26"/>
        </w:rPr>
        <w:t xml:space="preserve">Annual Report and Other Investor Materials </w:t>
      </w:r>
    </w:p>
    <w:p>
      <w:pPr>
        <w:pStyle w:val="TextBody"/>
        <w:bidi w:val="0"/>
        <w:spacing w:before="120" w:after="0"/>
        <w:jc w:val="both"/>
        <w:rPr>
          <w:rFonts w:ascii="arial" w:hAnsi="arial"/>
          <w:sz w:val="18"/>
        </w:rPr>
      </w:pPr>
      <w:r>
        <w:rPr>
          <w:rFonts w:ascii="arial" w:hAnsi="arial"/>
          <w:color w:val="3E3935"/>
          <w:sz w:val="18"/>
        </w:rPr>
        <w:t xml:space="preserve">You may download a copy of our 2023 Annual Report and 2024 Proxy Statement at </w:t>
      </w:r>
      <w:r>
        <w:rPr>
          <w:rFonts w:ascii="arial" w:hAnsi="arial"/>
          <w:i/>
          <w:color w:val="0071CE"/>
          <w:sz w:val="18"/>
        </w:rPr>
        <w:t>investor.gm.com/shareholder</w:t>
      </w:r>
      <w:r>
        <w:rPr>
          <w:rFonts w:ascii="arial" w:hAnsi="arial"/>
          <w:color w:val="3E3935"/>
          <w:sz w:val="18"/>
        </w:rPr>
        <w:t xml:space="preserve">. Our other SEC filings are available at </w:t>
      </w:r>
      <w:r>
        <w:rPr>
          <w:rFonts w:ascii="arial" w:hAnsi="arial"/>
          <w:i/>
          <w:color w:val="0071CE"/>
          <w:sz w:val="18"/>
        </w:rPr>
        <w:t>investor.gm.com/sec-filings</w:t>
      </w:r>
      <w:r>
        <w:rPr>
          <w:rFonts w:ascii="arial" w:hAnsi="arial"/>
          <w:color w:val="3E3935"/>
          <w:sz w:val="18"/>
        </w:rPr>
        <w:t xml:space="preserve">. Alternatively, you may request a printed copy of these publications by writing to Shareholder Relations at General Motors Company, Mail Code 482-C24-A68, 300 Renaissance Center, Detroit, Michigan 48265 or by email to </w:t>
      </w:r>
      <w:r>
        <w:rPr>
          <w:rFonts w:ascii="arial" w:hAnsi="arial"/>
          <w:i/>
          <w:color w:val="0071CE"/>
          <w:sz w:val="18"/>
        </w:rPr>
        <w:t>shareholder.relations@gm.com</w:t>
      </w:r>
      <w:r>
        <w:rPr>
          <w:rFonts w:ascii="arial" w:hAnsi="arial"/>
          <w:color w:val="3E3935"/>
          <w:sz w:val="18"/>
        </w:rPr>
        <w:t xml:space="preserve">. Our 2023 Sustainability Report, when published, and our sustainability policies, compliance documents, and political contributions and lobbying disclosures can be found at </w:t>
      </w:r>
      <w:r>
        <w:rPr>
          <w:rFonts w:ascii="arial" w:hAnsi="arial"/>
          <w:i/>
          <w:color w:val="0071CE"/>
          <w:sz w:val="18"/>
        </w:rPr>
        <w:t>gmsustainability.com</w:t>
      </w:r>
      <w:r>
        <w:rPr>
          <w:rFonts w:ascii="arial" w:hAnsi="arial"/>
          <w:color w:val="3E3935"/>
          <w:sz w:val="18"/>
        </w:rPr>
        <w:t xml:space="preserve">. The reports and information contained in, or that can be accessed from, our websites are not incorporated by reference into, and are not part of, this Proxy Statement. </w:t>
      </w:r>
    </w:p>
    <w:p>
      <w:pPr>
        <w:pStyle w:val="TextBody"/>
        <w:bidi w:val="0"/>
        <w:spacing w:before="120" w:after="0"/>
        <w:jc w:val="left"/>
        <w:rPr>
          <w:rFonts w:ascii="arial" w:hAnsi="arial"/>
          <w:b/>
          <w:color w:val="3E3935"/>
          <w:sz w:val="26"/>
        </w:rPr>
      </w:pPr>
      <w:r>
        <w:rPr>
          <w:rFonts w:ascii="arial" w:hAnsi="arial"/>
          <w:b/>
          <w:color w:val="3E3935"/>
          <w:sz w:val="26"/>
        </w:rPr>
        <w:t xml:space="preserve">Cost of Proxy Solicitation </w:t>
      </w:r>
    </w:p>
    <w:p>
      <w:pPr>
        <w:pStyle w:val="TextBody"/>
        <w:bidi w:val="0"/>
        <w:spacing w:before="120" w:after="0"/>
        <w:jc w:val="both"/>
        <w:rPr>
          <w:rFonts w:ascii="arial" w:hAnsi="arial"/>
          <w:color w:val="3E3935"/>
          <w:sz w:val="18"/>
        </w:rPr>
      </w:pPr>
      <w:r>
        <w:rPr>
          <w:rFonts w:ascii="arial" w:hAnsi="arial"/>
          <w:color w:val="3E3935"/>
          <w:sz w:val="18"/>
        </w:rPr>
        <w:t xml:space="preserve">We will pay our cost for soliciting proxies for the Annual Meeting. The Company will distribute proxy materials and follow-up reminders, if any, by mail and electronic means. We have engaged Innisfree M&amp;A Incorporated, a professional proxy solicitation firm located at 501 Madison Avenue, 20th Floor, New York, New York 10022, to assist with the solicitation of proxies and to provide related advice and informational support for a service fee, plus customary disbursements. We expect to pay Innisfree a base fee of $20,000, plus expenses for these services. GM directors, officers, and employees may also solicit proxies by mail, telephone, or personal visits. They will not receive any additional compensation for their services. </w:t>
      </w:r>
    </w:p>
    <w:p>
      <w:pPr>
        <w:pStyle w:val="TextBody"/>
        <w:bidi w:val="0"/>
        <w:spacing w:before="120" w:after="0"/>
        <w:jc w:val="both"/>
        <w:rPr>
          <w:rFonts w:ascii="arial" w:hAnsi="arial"/>
          <w:color w:val="3E3935"/>
          <w:sz w:val="18"/>
        </w:rPr>
      </w:pPr>
      <w:r>
        <w:rPr>
          <w:rFonts w:ascii="arial" w:hAnsi="arial"/>
          <w:color w:val="3E3935"/>
          <w:sz w:val="18"/>
        </w:rPr>
        <w:t xml:space="preserve">GM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 </w:t>
      </w:r>
    </w:p>
    <w:p>
      <w:pPr>
        <w:pStyle w:val="TextBody"/>
        <w:bidi w:val="0"/>
        <w:spacing w:before="0" w:after="0"/>
        <w:jc w:val="left"/>
        <w:rPr/>
      </w:pPr>
      <w:r>
        <w:rPr/>
        <w:t> </w:t>
      </w:r>
    </w:p>
    <w:tbl>
      <w:tblPr>
        <w:tblW w:w="8966" w:type="dxa"/>
        <w:jc w:val="left"/>
        <w:tblInd w:w="0" w:type="dxa"/>
        <w:tblLayout w:type="fixed"/>
        <w:tblCellMar>
          <w:top w:w="0" w:type="dxa"/>
          <w:left w:w="0" w:type="dxa"/>
          <w:bottom w:w="0" w:type="dxa"/>
          <w:right w:w="0" w:type="dxa"/>
        </w:tblCellMar>
      </w:tblPr>
      <w:tblGrid>
        <w:gridCol w:w="275"/>
        <w:gridCol w:w="60"/>
        <w:gridCol w:w="1380"/>
        <w:gridCol w:w="60"/>
        <w:gridCol w:w="6950"/>
        <w:gridCol w:w="60"/>
        <w:gridCol w:w="23"/>
        <w:gridCol w:w="12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1CE"/>
              </w:rPr>
            </w:pPr>
            <w:r>
              <w:rPr>
                <w:b/>
                <w:color w:val="0071CE"/>
              </w:rPr>
              <w:t>90</w:t>
            </w:r>
          </w:p>
        </w:tc>
        <w:tc>
          <w:tcPr>
            <w:tcW w:w="60"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left"/>
              <w:rPr/>
            </w:pPr>
            <w:r>
              <w:rPr/>
              <w:drawing>
                <wp:inline distT="0" distB="0" distL="0" distR="0">
                  <wp:extent cx="838200" cy="107315"/>
                  <wp:effectExtent l="0" t="0" r="0" b="0"/>
                  <wp:docPr id="359"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88" descr=""/>
                          <pic:cNvPicPr>
                            <a:picLocks noChangeAspect="1" noChangeArrowheads="1"/>
                          </pic:cNvPicPr>
                        </pic:nvPicPr>
                        <pic:blipFill>
                          <a:blip r:embed="rId342"/>
                          <a:stretch>
                            <a:fillRect/>
                          </a:stretch>
                        </pic:blipFill>
                        <pic:spPr bwMode="auto">
                          <a:xfrm>
                            <a:off x="0" y="0"/>
                            <a:ext cx="838200" cy="1073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center"/>
              <w:rPr>
                <w:b/>
                <w:color w:val="3E3935"/>
              </w:rPr>
            </w:pPr>
            <w:r>
              <w:rPr>
                <w:b/>
                <w:color w:val="3E3935"/>
              </w:rPr>
              <w:t>GENERAL INFORMATION ABOUT THE ANNUAL MEETING</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3E3935"/>
          <w:sz w:val="64"/>
        </w:rPr>
      </w:pPr>
      <w:bookmarkStart w:id="48" w:name="toc648661_46"/>
      <w:bookmarkEnd w:id="48"/>
      <w:r>
        <w:rPr>
          <w:rFonts w:ascii="arial" w:hAnsi="arial"/>
          <w:color w:val="3E3935"/>
          <w:sz w:val="64"/>
        </w:rPr>
        <w:t xml:space="preserve">Defined Terms And Commonly Used Acronyms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7"/>
        <w:gridCol w:w="120"/>
        <w:gridCol w:w="7318"/>
      </w:tblGrid>
      <w:tr>
        <w:trPr/>
        <w:tc>
          <w:tcPr>
            <w:tcW w:w="27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18" w:type="dxa"/>
            <w:tcBorders/>
            <w:vAlign w:val="center"/>
          </w:tcPr>
          <w:p>
            <w:pPr>
              <w:pStyle w:val="TableContents"/>
              <w:bidi w:val="0"/>
              <w:spacing w:before="0" w:after="283"/>
              <w:jc w:val="left"/>
              <w:rPr>
                <w:sz w:val="4"/>
                <w:szCs w:val="4"/>
              </w:rPr>
            </w:pPr>
            <w:r>
              <w:rPr>
                <w:sz w:val="4"/>
                <w:szCs w:val="4"/>
              </w:rPr>
            </w:r>
          </w:p>
        </w:tc>
      </w:tr>
      <w:tr>
        <w:trPr/>
        <w:tc>
          <w:tcPr>
            <w:tcW w:w="2767" w:type="dxa"/>
            <w:tcBorders>
              <w:top w:val="single" w:sz="6" w:space="0" w:color="0071CE"/>
            </w:tcBorders>
            <w:shd w:fill="CCF2F8" w:val="clear"/>
            <w:tcMar>
              <w:top w:w="28" w:type="dxa"/>
            </w:tcMar>
            <w:vAlign w:val="center"/>
          </w:tcPr>
          <w:p>
            <w:pPr>
              <w:pStyle w:val="TableContents"/>
              <w:bidi w:val="0"/>
              <w:spacing w:before="0" w:after="283"/>
              <w:jc w:val="left"/>
              <w:rPr/>
            </w:pPr>
            <w:r>
              <w:rPr/>
              <w:t> </w:t>
            </w:r>
          </w:p>
        </w:tc>
        <w:tc>
          <w:tcPr>
            <w:tcW w:w="7438" w:type="dxa"/>
            <w:gridSpan w:val="2"/>
            <w:tcBorders>
              <w:top w:val="single" w:sz="6" w:space="0" w:color="0071CE"/>
            </w:tcBorders>
            <w:shd w:fill="CCF2F8" w:val="clear"/>
            <w:tcMar>
              <w:top w:w="28" w:type="dxa"/>
            </w:tcMar>
            <w:vAlign w:val="center"/>
          </w:tcPr>
          <w:p>
            <w:pPr>
              <w:pStyle w:val="TableContents"/>
              <w:bidi w:val="0"/>
              <w:spacing w:before="0" w:after="283"/>
              <w:jc w:val="left"/>
              <w:rPr/>
            </w:pPr>
            <w:r>
              <w:rPr/>
              <w:t> </w:t>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2023 Form 10-K</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GM’s Annual Report on Form 10-K for the year ended December 31, 2023</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AAFCF</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Adjusted Automotive Free Cash Flow</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Annual Meeting</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GM’s Annual Meeting of Shareholders to be held on June 4, 2024</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AAOCF</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Adjusted Automotive Operating Cash Flow</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AV</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Autonomous Vehicle</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Board</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GM’s Board of Directors</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Bylaws</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GM’s Amended and Restated Bylaws, dated as of April 19, 2023</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CAP</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Compensation Actually Paid</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CEO</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Chief Executive Officer</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CFO</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Chief Financial Officer</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Code of Conduct</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GM’s Code of Conduct: “</w:t>
            </w:r>
            <w:r>
              <w:rPr>
                <w:i/>
                <w:color w:val="3E3935"/>
              </w:rPr>
              <w:t>Winning with Integrity</w:t>
            </w:r>
            <w:r>
              <w:rPr>
                <w:color w:val="3E3935"/>
              </w:rPr>
              <w:t>”</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Compensation Committee</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Executive Compensation Committee</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DB</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Defined Benefit</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DC</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Defined Contribution</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DE&amp;I</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Diversity, Equity, and Inclusion</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Director Compensation Plan</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General Motors Company Deferred Compensation Plan for Non-Employee Directors</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DSU</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Deferred Share Unit</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EBIT</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Earnings Before Interest and Taxes</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EPS</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Earnings Per Share</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ESG</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Environmental, Social, and Governance</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EUV</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Electric Utility Vehicle</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EV</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Electric Vehicle</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EY</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Ernst &amp; Young LLP</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GAAP</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U.S. Generally Accepted Accounting Principles</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GHG</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Greenhouse Gas</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GICS</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Global Industry Classification Standard</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GM, General Motors, or the Company</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General Motors Company</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GM Financial</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General Motors Financial Company, Inc.</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GMI</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GM International</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GMNA</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GM North America</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Governance Committee</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Governance and Corporate Responsibility Committee</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ICE</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Internal Combustion Engine</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IRC</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Internal Revenue Code</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LTIP</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Long-Term Incentive Plan</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M&amp;A</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Mergers and Acquisitions</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NEO</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Named Executive Officer</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Notice</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Notice Regarding the Availability of Proxy Materials</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NQ</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Nonqualified</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NYSE</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New York Stock Exchange</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OEM</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Original Equipment Manufacturer</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PAC</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Political Action Committee</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Proxies</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Mary T. Barra, Craig B. Glidden, and John S. Kim</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PSU</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Performance Share Unit</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R&amp;D</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Research and Development</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ROIC</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Return on Invested Capital</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RSU</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Restricted Stock Unit</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SAR</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Stock Appreciation Right</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SCT</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Summary Compensation Table</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SEC</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U.S. Securities and Exchange Commission</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Senior Leadership Team</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Certain members of management who report directly to the CEO or the President</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Shares</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Unless otherwise indicated, GM’s Common Stock, $0.01 par value per share</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STIP</w:t>
            </w:r>
          </w:p>
        </w:tc>
        <w:tc>
          <w:tcPr>
            <w:tcW w:w="120" w:type="dxa"/>
            <w:tcBorders/>
            <w:vAlign w:val="center"/>
          </w:tcPr>
          <w:p>
            <w:pPr>
              <w:pStyle w:val="TableContents"/>
              <w:bidi w:val="0"/>
              <w:spacing w:before="0" w:after="283"/>
              <w:jc w:val="left"/>
              <w:rPr/>
            </w:pPr>
            <w:r>
              <w:rPr/>
              <w:t>  </w:t>
            </w:r>
          </w:p>
        </w:tc>
        <w:tc>
          <w:tcPr>
            <w:tcW w:w="7318" w:type="dxa"/>
            <w:tcBorders/>
            <w:vAlign w:val="center"/>
          </w:tcPr>
          <w:p>
            <w:pPr>
              <w:pStyle w:val="TableContents"/>
              <w:bidi w:val="0"/>
              <w:spacing w:before="0" w:after="283"/>
              <w:jc w:val="left"/>
              <w:rPr>
                <w:color w:val="3E3935"/>
              </w:rPr>
            </w:pPr>
            <w:r>
              <w:rPr>
                <w:color w:val="3E3935"/>
              </w:rPr>
              <w:t>Short-Term Incentive Plan</w:t>
            </w:r>
          </w:p>
        </w:tc>
      </w:tr>
      <w:tr>
        <w:trPr/>
        <w:tc>
          <w:tcPr>
            <w:tcW w:w="2767" w:type="dxa"/>
            <w:tcBorders/>
            <w:shd w:fill="CCF2F8" w:val="clear"/>
            <w:vAlign w:val="center"/>
          </w:tcPr>
          <w:p>
            <w:pPr>
              <w:pStyle w:val="TableContents"/>
              <w:bidi w:val="0"/>
              <w:spacing w:before="0" w:after="283"/>
              <w:jc w:val="left"/>
              <w:rPr>
                <w:sz w:val="4"/>
                <w:szCs w:val="4"/>
              </w:rPr>
            </w:pPr>
            <w:r>
              <w:rPr>
                <w:sz w:val="4"/>
                <w:szCs w:val="4"/>
              </w:rPr>
            </w:r>
          </w:p>
        </w:tc>
        <w:tc>
          <w:tcPr>
            <w:tcW w:w="7438" w:type="dxa"/>
            <w:gridSpan w:val="2"/>
            <w:tcBorders/>
            <w:shd w:fill="CCF2F8" w:val="clear"/>
            <w:vAlign w:val="center"/>
          </w:tcPr>
          <w:p>
            <w:pPr>
              <w:pStyle w:val="TableContents"/>
              <w:bidi w:val="0"/>
              <w:spacing w:before="0" w:after="283"/>
              <w:jc w:val="left"/>
              <w:rPr>
                <w:sz w:val="4"/>
                <w:szCs w:val="4"/>
              </w:rPr>
            </w:pPr>
            <w:r>
              <w:rPr>
                <w:sz w:val="4"/>
                <w:szCs w:val="4"/>
              </w:rPr>
            </w:r>
          </w:p>
        </w:tc>
      </w:tr>
      <w:tr>
        <w:trPr/>
        <w:tc>
          <w:tcPr>
            <w:tcW w:w="2767"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TSR</w:t>
            </w:r>
          </w:p>
        </w:tc>
        <w:tc>
          <w:tcPr>
            <w:tcW w:w="120" w:type="dxa"/>
            <w:tcBorders/>
            <w:shd w:fill="CCF2F8" w:val="clear"/>
            <w:vAlign w:val="center"/>
          </w:tcPr>
          <w:p>
            <w:pPr>
              <w:pStyle w:val="TableContents"/>
              <w:bidi w:val="0"/>
              <w:spacing w:before="0" w:after="283"/>
              <w:jc w:val="left"/>
              <w:rPr/>
            </w:pPr>
            <w:r>
              <w:rPr/>
              <w:t>  </w:t>
            </w:r>
          </w:p>
        </w:tc>
        <w:tc>
          <w:tcPr>
            <w:tcW w:w="7318" w:type="dxa"/>
            <w:tcBorders/>
            <w:shd w:fill="CCF2F8" w:val="clear"/>
            <w:vAlign w:val="center"/>
          </w:tcPr>
          <w:p>
            <w:pPr>
              <w:pStyle w:val="TableContents"/>
              <w:bidi w:val="0"/>
              <w:spacing w:before="0" w:after="283"/>
              <w:jc w:val="left"/>
              <w:rPr>
                <w:color w:val="3E3935"/>
              </w:rPr>
            </w:pPr>
            <w:r>
              <w:rPr>
                <w:color w:val="3E3935"/>
              </w:rPr>
              <w:t>Total Shareholder Return</w:t>
            </w:r>
          </w:p>
        </w:tc>
      </w:tr>
      <w:tr>
        <w:trPr/>
        <w:tc>
          <w:tcPr>
            <w:tcW w:w="2767" w:type="dxa"/>
            <w:tcBorders/>
            <w:vAlign w:val="center"/>
          </w:tcPr>
          <w:p>
            <w:pPr>
              <w:pStyle w:val="TableContents"/>
              <w:bidi w:val="0"/>
              <w:spacing w:before="0" w:after="283"/>
              <w:jc w:val="left"/>
              <w:rPr>
                <w:sz w:val="4"/>
                <w:szCs w:val="4"/>
              </w:rPr>
            </w:pPr>
            <w:r>
              <w:rPr>
                <w:sz w:val="4"/>
                <w:szCs w:val="4"/>
              </w:rPr>
            </w:r>
          </w:p>
        </w:tc>
        <w:tc>
          <w:tcPr>
            <w:tcW w:w="7438" w:type="dxa"/>
            <w:gridSpan w:val="2"/>
            <w:tcBorders/>
            <w:vAlign w:val="center"/>
          </w:tcPr>
          <w:p>
            <w:pPr>
              <w:pStyle w:val="TableContents"/>
              <w:bidi w:val="0"/>
              <w:spacing w:before="0" w:after="283"/>
              <w:jc w:val="left"/>
              <w:rPr>
                <w:sz w:val="4"/>
                <w:szCs w:val="4"/>
              </w:rPr>
            </w:pPr>
            <w:r>
              <w:rPr>
                <w:sz w:val="4"/>
                <w:szCs w:val="4"/>
              </w:rPr>
            </w:r>
          </w:p>
        </w:tc>
      </w:tr>
      <w:tr>
        <w:trPr/>
        <w:tc>
          <w:tcPr>
            <w:tcW w:w="2767" w:type="dxa"/>
            <w:tcBorders>
              <w:bottom w:val="single" w:sz="6" w:space="0" w:color="0071CE"/>
            </w:tcBorders>
            <w:tcMar>
              <w:bottom w:w="6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WACC</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7318" w:type="dxa"/>
            <w:tcBorders>
              <w:bottom w:val="single" w:sz="6" w:space="0" w:color="0071CE"/>
            </w:tcBorders>
            <w:tcMar>
              <w:bottom w:w="60" w:type="dxa"/>
            </w:tcMar>
            <w:vAlign w:val="center"/>
          </w:tcPr>
          <w:p>
            <w:pPr>
              <w:pStyle w:val="TableContents"/>
              <w:bidi w:val="0"/>
              <w:spacing w:before="0" w:after="283"/>
              <w:jc w:val="left"/>
              <w:rPr>
                <w:color w:val="3E3935"/>
              </w:rPr>
            </w:pPr>
            <w:r>
              <w:rPr>
                <w:color w:val="3E3935"/>
              </w:rPr>
              <w:t>Weighted Average Cost of Capital</w:t>
            </w:r>
          </w:p>
        </w:tc>
      </w:tr>
    </w:tbl>
    <w:p>
      <w:pPr>
        <w:pStyle w:val="TextBody"/>
        <w:bidi w:val="0"/>
        <w:spacing w:before="0" w:after="0"/>
        <w:jc w:val="left"/>
        <w:rPr/>
      </w:pPr>
      <w:r>
        <w:rPr/>
        <w:t> </w:t>
      </w:r>
    </w:p>
    <w:tbl>
      <w:tblPr>
        <w:tblW w:w="9466" w:type="dxa"/>
        <w:jc w:val="left"/>
        <w:tblInd w:w="0" w:type="dxa"/>
        <w:tblLayout w:type="fixed"/>
        <w:tblCellMar>
          <w:top w:w="0" w:type="dxa"/>
          <w:left w:w="0" w:type="dxa"/>
          <w:bottom w:w="0" w:type="dxa"/>
          <w:right w:w="0" w:type="dxa"/>
        </w:tblCellMar>
      </w:tblPr>
      <w:tblGrid>
        <w:gridCol w:w="38"/>
        <w:gridCol w:w="60"/>
        <w:gridCol w:w="23"/>
        <w:gridCol w:w="60"/>
        <w:gridCol w:w="6455"/>
        <w:gridCol w:w="60"/>
        <w:gridCol w:w="2255"/>
        <w:gridCol w:w="12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283"/>
              <w:jc w:val="center"/>
              <w:rPr>
                <w:b/>
                <w:color w:val="3E3935"/>
              </w:rPr>
            </w:pPr>
            <w:r>
              <w:rPr>
                <w:b/>
                <w:color w:val="3E3935"/>
              </w:rPr>
              <w:t>DEFINED TERMS AND COMMONLY USED ACRONYMS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260" w:type="dxa"/>
            <w:tcBorders/>
            <w:vAlign w:val="center"/>
          </w:tcPr>
          <w:p>
            <w:pPr>
              <w:pStyle w:val="TableContents"/>
              <w:bidi w:val="0"/>
              <w:spacing w:before="0" w:after="283"/>
              <w:jc w:val="right"/>
              <w:rPr>
                <w:b/>
                <w:color w:val="0071CE"/>
              </w:rPr>
            </w:pPr>
            <w:r>
              <w:rPr>
                <w:b/>
                <w:color w:val="0071CE"/>
              </w:rPr>
              <w:t>91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arial" w:hAnsi="arial"/>
          <w:color w:val="3E3935"/>
          <w:sz w:val="18"/>
        </w:rPr>
      </w:pPr>
      <w:r>
        <w:rPr>
          <w:rFonts w:ascii="arial" w:hAnsi="arial"/>
          <w:color w:val="3E3935"/>
          <w:sz w:val="18"/>
        </w:rPr>
        <w:t xml:space="preserve">[THIS PAGE INTENTIONALLY LEFT BLANK]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3E3935"/>
          <w:sz w:val="32"/>
        </w:rPr>
      </w:pPr>
      <w:bookmarkStart w:id="49" w:name="toc648661_47"/>
      <w:bookmarkEnd w:id="49"/>
      <w:r>
        <w:rPr>
          <w:rFonts w:ascii="arial" w:hAnsi="arial"/>
          <w:b/>
          <w:color w:val="3E3935"/>
          <w:sz w:val="32"/>
        </w:rPr>
        <w:t xml:space="preserve">APPENDIX A: </w:t>
      </w:r>
    </w:p>
    <w:p>
      <w:pPr>
        <w:pStyle w:val="TextBody"/>
        <w:bidi w:val="0"/>
        <w:spacing w:before="0" w:after="0"/>
        <w:jc w:val="left"/>
        <w:rPr>
          <w:rFonts w:ascii="arial" w:hAnsi="arial"/>
          <w:color w:val="3E3935"/>
          <w:sz w:val="64"/>
        </w:rPr>
      </w:pPr>
      <w:r>
        <w:rPr>
          <w:rFonts w:ascii="arial" w:hAnsi="arial"/>
          <w:color w:val="3E3935"/>
          <w:sz w:val="64"/>
        </w:rPr>
        <w:t xml:space="preserve">Non-GAAP Financial Measures </w:t>
      </w:r>
    </w:p>
    <w:p>
      <w:pPr>
        <w:pStyle w:val="TextBody"/>
        <w:bidi w:val="0"/>
        <w:spacing w:before="360" w:after="0"/>
        <w:jc w:val="left"/>
        <w:rPr>
          <w:rFonts w:ascii="arial" w:hAnsi="arial"/>
          <w:b/>
          <w:color w:val="0071CE"/>
          <w:sz w:val="28"/>
        </w:rPr>
      </w:pPr>
      <w:r>
        <w:rPr>
          <w:rFonts w:ascii="arial" w:hAnsi="arial"/>
          <w:b/>
          <w:color w:val="0071CE"/>
          <w:sz w:val="28"/>
        </w:rPr>
        <w:t xml:space="preserve">Non-GAAP Reconciliations </w:t>
      </w:r>
    </w:p>
    <w:p>
      <w:pPr>
        <w:pStyle w:val="TextBody"/>
        <w:bidi w:val="0"/>
        <w:spacing w:before="120" w:after="0"/>
        <w:jc w:val="both"/>
        <w:rPr>
          <w:rFonts w:ascii="arial" w:hAnsi="arial"/>
          <w:color w:val="3E3935"/>
          <w:sz w:val="18"/>
        </w:rPr>
      </w:pPr>
      <w:r>
        <w:rPr>
          <w:rFonts w:ascii="arial" w:hAnsi="arial"/>
          <w:color w:val="3E3935"/>
          <w:sz w:val="18"/>
        </w:rPr>
        <w:t xml:space="preserve">Our Company reports its financial results in accordance with GAAP. However, management believes that certain non-GAAP financial measures provide users with additional meaningful financial information. </w:t>
      </w:r>
    </w:p>
    <w:p>
      <w:pPr>
        <w:pStyle w:val="TextBody"/>
        <w:bidi w:val="0"/>
        <w:spacing w:before="120" w:after="0"/>
        <w:jc w:val="both"/>
        <w:rPr>
          <w:rFonts w:ascii="arial" w:hAnsi="arial"/>
          <w:color w:val="3E3935"/>
          <w:sz w:val="18"/>
        </w:rPr>
      </w:pPr>
      <w:r>
        <w:rPr>
          <w:rFonts w:ascii="arial" w:hAnsi="arial"/>
          <w:color w:val="3E3935"/>
          <w:sz w:val="18"/>
        </w:rPr>
        <w:t xml:space="preserve">Our non-GAAP measures presented in this Proxy Statement include: (i) EBIT-adjusted, presented net of noncontrolling interests, (ii) EPS-diluted-adjusted, and (iii) ROIC-adjusted. Our calculation 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2023 Form 10-K and our subsequent filings with the SEC for additional information about the non-GAAP measures presented herein, including a description of the use of such measures. The numbers in the tables below may not sum due to rounding. </w:t>
      </w:r>
    </w:p>
    <w:p>
      <w:pPr>
        <w:pStyle w:val="TextBody"/>
        <w:bidi w:val="0"/>
        <w:spacing w:before="120" w:after="0"/>
        <w:jc w:val="both"/>
        <w:rPr>
          <w:rFonts w:ascii="arial" w:hAnsi="arial"/>
          <w:color w:val="3E3935"/>
          <w:sz w:val="18"/>
        </w:rPr>
      </w:pPr>
      <w:r>
        <w:rPr>
          <w:rFonts w:ascii="arial" w:hAnsi="arial"/>
          <w:color w:val="3E3935"/>
          <w:sz w:val="18"/>
        </w:rPr>
        <w:t xml:space="preserve">The following table reconciles Net Income Attributable to Stockholders under GAAP to EBIT-adjusted: </w:t>
      </w:r>
    </w:p>
    <w:p>
      <w:pPr>
        <w:pStyle w:val="TextBody"/>
        <w:bidi w:val="0"/>
        <w:spacing w:before="0" w:after="0"/>
        <w:jc w:val="left"/>
        <w:rPr/>
      </w:pPr>
      <w:r>
        <w:rPr/>
        <w:t> </w:t>
      </w:r>
    </w:p>
    <w:tbl>
      <w:tblPr>
        <w:tblW w:w="4770" w:type="dxa"/>
        <w:jc w:val="left"/>
        <w:tblInd w:w="0" w:type="dxa"/>
        <w:tblLayout w:type="fixed"/>
        <w:tblCellMar>
          <w:top w:w="0" w:type="dxa"/>
          <w:left w:w="0" w:type="dxa"/>
          <w:bottom w:w="0" w:type="dxa"/>
          <w:right w:w="0" w:type="dxa"/>
        </w:tblCellMar>
      </w:tblPr>
      <w:tblGrid>
        <w:gridCol w:w="3230"/>
        <w:gridCol w:w="120"/>
        <w:gridCol w:w="60"/>
        <w:gridCol w:w="395"/>
        <w:gridCol w:w="155"/>
        <w:gridCol w:w="60"/>
        <w:gridCol w:w="140"/>
        <w:gridCol w:w="440"/>
        <w:gridCol w:w="170"/>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($B)</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455"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580"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2023</w:t>
            </w:r>
          </w:p>
        </w:tc>
        <w:tc>
          <w:tcPr>
            <w:tcW w:w="170"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323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Net Income Attributable to Stockholders</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95" w:type="dxa"/>
            <w:tcBorders/>
            <w:shd w:fill="CCF2F8" w:val="clear"/>
            <w:vAlign w:val="center"/>
          </w:tcPr>
          <w:p>
            <w:pPr>
              <w:pStyle w:val="TableContents"/>
              <w:bidi w:val="0"/>
              <w:spacing w:before="0" w:after="283"/>
              <w:jc w:val="left"/>
              <w:rPr>
                <w:sz w:val="4"/>
                <w:szCs w:val="4"/>
              </w:rPr>
            </w:pPr>
            <w:r>
              <w:rPr>
                <w:sz w:val="4"/>
                <w:szCs w:val="4"/>
              </w:rPr>
            </w:r>
          </w:p>
        </w:tc>
        <w:tc>
          <w:tcPr>
            <w:tcW w:w="15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b/>
                <w:color w:val="3E3935"/>
              </w:rPr>
            </w:pPr>
            <w:r>
              <w:rPr>
                <w:b/>
                <w:color w:val="3E3935"/>
              </w:rPr>
              <w:t>$</w:t>
            </w:r>
          </w:p>
        </w:tc>
        <w:tc>
          <w:tcPr>
            <w:tcW w:w="440" w:type="dxa"/>
            <w:tcBorders/>
            <w:shd w:fill="CCF2F8" w:val="clear"/>
            <w:vAlign w:val="center"/>
          </w:tcPr>
          <w:p>
            <w:pPr>
              <w:pStyle w:val="TableContents"/>
              <w:bidi w:val="0"/>
              <w:spacing w:before="0" w:after="283"/>
              <w:jc w:val="right"/>
              <w:rPr>
                <w:b/>
                <w:color w:val="3E3935"/>
              </w:rPr>
            </w:pPr>
            <w:r>
              <w:rPr>
                <w:b/>
                <w:color w:val="3E3935"/>
              </w:rPr>
              <w:t>10.1</w:t>
            </w:r>
          </w:p>
        </w:tc>
        <w:tc>
          <w:tcPr>
            <w:tcW w:w="170" w:type="dxa"/>
            <w:tcBorders/>
            <w:shd w:fill="CCF2F8" w:val="clear"/>
            <w:vAlign w:val="center"/>
          </w:tcPr>
          <w:p>
            <w:pPr>
              <w:pStyle w:val="TableContents"/>
              <w:bidi w:val="0"/>
              <w:spacing w:before="0" w:after="283"/>
              <w:jc w:val="left"/>
              <w:rPr>
                <w:color w:val="3E3935"/>
              </w:rPr>
            </w:pPr>
            <w:r>
              <w:rPr>
                <w:color w:val="3E3935"/>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10" w:type="dxa"/>
            <w:gridSpan w:val="4"/>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Income Tax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440" w:type="dxa"/>
            <w:tcBorders/>
            <w:vAlign w:val="center"/>
          </w:tcPr>
          <w:p>
            <w:pPr>
              <w:pStyle w:val="TableContents"/>
              <w:bidi w:val="0"/>
              <w:spacing w:before="0" w:after="283"/>
              <w:jc w:val="right"/>
              <w:rPr>
                <w:color w:val="3E3935"/>
              </w:rPr>
            </w:pPr>
            <w:r>
              <w:rPr>
                <w:color w:val="3E3935"/>
              </w:rPr>
              <w:t>0.6</w:t>
            </w:r>
          </w:p>
        </w:tc>
        <w:tc>
          <w:tcPr>
            <w:tcW w:w="170" w:type="dxa"/>
            <w:tcBorders/>
            <w:vAlign w:val="center"/>
          </w:tcPr>
          <w:p>
            <w:pPr>
              <w:pStyle w:val="TableContents"/>
              <w:bidi w:val="0"/>
              <w:spacing w:before="0" w:after="283"/>
              <w:jc w:val="left"/>
              <w:rPr>
                <w:color w:val="3E3935"/>
              </w:rPr>
            </w:pPr>
            <w:r>
              <w:rPr>
                <w:color w:val="3E3935"/>
              </w:rPr>
              <w:t> </w:t>
            </w:r>
          </w:p>
        </w:tc>
      </w:tr>
      <w:tr>
        <w:trPr/>
        <w:tc>
          <w:tcPr>
            <w:tcW w:w="323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Automotive Interest Expense</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95" w:type="dxa"/>
            <w:tcBorders/>
            <w:shd w:fill="CCF2F8" w:val="clear"/>
            <w:vAlign w:val="center"/>
          </w:tcPr>
          <w:p>
            <w:pPr>
              <w:pStyle w:val="TableContents"/>
              <w:bidi w:val="0"/>
              <w:spacing w:before="0" w:after="283"/>
              <w:jc w:val="left"/>
              <w:rPr>
                <w:sz w:val="4"/>
                <w:szCs w:val="4"/>
              </w:rPr>
            </w:pPr>
            <w:r>
              <w:rPr>
                <w:sz w:val="4"/>
                <w:szCs w:val="4"/>
              </w:rPr>
            </w:r>
          </w:p>
        </w:tc>
        <w:tc>
          <w:tcPr>
            <w:tcW w:w="15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color w:val="3E3935"/>
              </w:rPr>
            </w:pPr>
            <w:r>
              <w:rPr>
                <w:color w:val="3E3935"/>
              </w:rPr>
              <w:t> </w:t>
            </w:r>
          </w:p>
        </w:tc>
        <w:tc>
          <w:tcPr>
            <w:tcW w:w="440" w:type="dxa"/>
            <w:tcBorders/>
            <w:shd w:fill="CCF2F8" w:val="clear"/>
            <w:vAlign w:val="center"/>
          </w:tcPr>
          <w:p>
            <w:pPr>
              <w:pStyle w:val="TableContents"/>
              <w:bidi w:val="0"/>
              <w:spacing w:before="0" w:after="283"/>
              <w:jc w:val="right"/>
              <w:rPr>
                <w:color w:val="3E3935"/>
              </w:rPr>
            </w:pPr>
            <w:r>
              <w:rPr>
                <w:color w:val="3E3935"/>
              </w:rPr>
              <w:t>0.9</w:t>
            </w:r>
          </w:p>
        </w:tc>
        <w:tc>
          <w:tcPr>
            <w:tcW w:w="170" w:type="dxa"/>
            <w:tcBorders/>
            <w:shd w:fill="CCF2F8" w:val="clear"/>
            <w:vAlign w:val="center"/>
          </w:tcPr>
          <w:p>
            <w:pPr>
              <w:pStyle w:val="TableContents"/>
              <w:bidi w:val="0"/>
              <w:spacing w:before="0" w:after="283"/>
              <w:jc w:val="left"/>
              <w:rPr>
                <w:color w:val="3E3935"/>
              </w:rPr>
            </w:pPr>
            <w:r>
              <w:rPr>
                <w:color w:val="3E3935"/>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10" w:type="dxa"/>
            <w:gridSpan w:val="4"/>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Automotive Interest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440" w:type="dxa"/>
            <w:tcBorders/>
            <w:vAlign w:val="center"/>
          </w:tcPr>
          <w:p>
            <w:pPr>
              <w:pStyle w:val="TableContents"/>
              <w:bidi w:val="0"/>
              <w:spacing w:before="0" w:after="283"/>
              <w:jc w:val="right"/>
              <w:rPr>
                <w:color w:val="3E3935"/>
              </w:rPr>
            </w:pPr>
            <w:r>
              <w:rPr>
                <w:color w:val="3E3935"/>
              </w:rPr>
              <w:t>(1.1</w:t>
            </w:r>
          </w:p>
        </w:tc>
        <w:tc>
          <w:tcPr>
            <w:tcW w:w="170" w:type="dxa"/>
            <w:tcBorders/>
            <w:vAlign w:val="center"/>
          </w:tcPr>
          <w:p>
            <w:pPr>
              <w:pStyle w:val="TableContents"/>
              <w:bidi w:val="0"/>
              <w:spacing w:before="0" w:after="283"/>
              <w:jc w:val="left"/>
              <w:rPr>
                <w:color w:val="3E3935"/>
              </w:rPr>
            </w:pPr>
            <w:r>
              <w:rPr>
                <w:color w:val="3E3935"/>
              </w:rPr>
              <w:t>) </w:t>
            </w:r>
          </w:p>
        </w:tc>
      </w:tr>
      <w:tr>
        <w:trPr/>
        <w:tc>
          <w:tcPr>
            <w:tcW w:w="323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Adjustments:</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95" w:type="dxa"/>
            <w:tcBorders/>
            <w:shd w:fill="CCF2F8" w:val="clear"/>
            <w:vAlign w:val="center"/>
          </w:tcPr>
          <w:p>
            <w:pPr>
              <w:pStyle w:val="TableContents"/>
              <w:bidi w:val="0"/>
              <w:spacing w:before="0" w:after="283"/>
              <w:jc w:val="left"/>
              <w:rPr>
                <w:sz w:val="4"/>
                <w:szCs w:val="4"/>
              </w:rPr>
            </w:pPr>
            <w:r>
              <w:rPr>
                <w:sz w:val="4"/>
                <w:szCs w:val="4"/>
              </w:rPr>
            </w:r>
          </w:p>
        </w:tc>
        <w:tc>
          <w:tcPr>
            <w:tcW w:w="15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sz w:val="4"/>
                <w:szCs w:val="4"/>
              </w:rPr>
            </w:pPr>
            <w:r>
              <w:rPr>
                <w:sz w:val="4"/>
                <w:szCs w:val="4"/>
              </w:rPr>
            </w:r>
          </w:p>
        </w:tc>
        <w:tc>
          <w:tcPr>
            <w:tcW w:w="440" w:type="dxa"/>
            <w:tcBorders/>
            <w:shd w:fill="CCF2F8" w:val="clear"/>
            <w:vAlign w:val="center"/>
          </w:tcPr>
          <w:p>
            <w:pPr>
              <w:pStyle w:val="TableContents"/>
              <w:bidi w:val="0"/>
              <w:spacing w:before="0" w:after="283"/>
              <w:jc w:val="left"/>
              <w:rPr>
                <w:sz w:val="4"/>
                <w:szCs w:val="4"/>
              </w:rPr>
            </w:pPr>
            <w:r>
              <w:rPr>
                <w:sz w:val="4"/>
                <w:szCs w:val="4"/>
              </w:rPr>
            </w:r>
          </w:p>
        </w:tc>
        <w:tc>
          <w:tcPr>
            <w:tcW w:w="170" w:type="dxa"/>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10" w:type="dxa"/>
            <w:gridSpan w:val="4"/>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Voluntary separation program(1)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95" w:type="dxa"/>
            <w:tcBorders/>
            <w:vAlign w:val="center"/>
          </w:tcPr>
          <w:p>
            <w:pPr>
              <w:pStyle w:val="TableContents"/>
              <w:bidi w:val="0"/>
              <w:spacing w:before="0" w:after="283"/>
              <w:jc w:val="right"/>
              <w:rPr>
                <w:color w:val="3E3935"/>
              </w:rPr>
            </w:pPr>
            <w:r>
              <w:rPr>
                <w:color w:val="3E3935"/>
              </w:rPr>
              <w:t>1.0</w:t>
            </w:r>
          </w:p>
        </w:tc>
        <w:tc>
          <w:tcPr>
            <w:tcW w:w="15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Buick dealer strategy(2)</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395" w:type="dxa"/>
            <w:tcBorders/>
            <w:shd w:fill="CCF2F8" w:val="clear"/>
            <w:vAlign w:val="center"/>
          </w:tcPr>
          <w:p>
            <w:pPr>
              <w:pStyle w:val="TableContents"/>
              <w:bidi w:val="0"/>
              <w:spacing w:before="0" w:after="283"/>
              <w:jc w:val="right"/>
              <w:rPr>
                <w:color w:val="3E3935"/>
              </w:rPr>
            </w:pPr>
            <w:r>
              <w:rPr>
                <w:color w:val="3E3935"/>
              </w:rPr>
              <w:t>0.6</w:t>
            </w:r>
          </w:p>
        </w:tc>
        <w:tc>
          <w:tcPr>
            <w:tcW w:w="155"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sz w:val="4"/>
                <w:szCs w:val="4"/>
              </w:rPr>
            </w:pPr>
            <w:r>
              <w:rPr>
                <w:sz w:val="4"/>
                <w:szCs w:val="4"/>
              </w:rPr>
            </w:r>
          </w:p>
        </w:tc>
        <w:tc>
          <w:tcPr>
            <w:tcW w:w="440" w:type="dxa"/>
            <w:tcBorders/>
            <w:shd w:fill="CCF2F8" w:val="clear"/>
            <w:vAlign w:val="center"/>
          </w:tcPr>
          <w:p>
            <w:pPr>
              <w:pStyle w:val="TableContents"/>
              <w:bidi w:val="0"/>
              <w:spacing w:before="0" w:after="283"/>
              <w:jc w:val="left"/>
              <w:rPr>
                <w:sz w:val="4"/>
                <w:szCs w:val="4"/>
              </w:rPr>
            </w:pPr>
            <w:r>
              <w:rPr>
                <w:sz w:val="4"/>
                <w:szCs w:val="4"/>
              </w:rPr>
            </w:r>
          </w:p>
        </w:tc>
        <w:tc>
          <w:tcPr>
            <w:tcW w:w="170" w:type="dxa"/>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10" w:type="dxa"/>
            <w:gridSpan w:val="4"/>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Cruise restructuring(3)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95" w:type="dxa"/>
            <w:tcBorders/>
            <w:vAlign w:val="center"/>
          </w:tcPr>
          <w:p>
            <w:pPr>
              <w:pStyle w:val="TableContents"/>
              <w:bidi w:val="0"/>
              <w:spacing w:before="0" w:after="283"/>
              <w:jc w:val="right"/>
              <w:rPr>
                <w:color w:val="3E3935"/>
              </w:rPr>
            </w:pPr>
            <w:r>
              <w:rPr>
                <w:color w:val="3E3935"/>
              </w:rPr>
              <w:t>0.5</w:t>
            </w:r>
          </w:p>
        </w:tc>
        <w:tc>
          <w:tcPr>
            <w:tcW w:w="15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GM Korea wage litigation(4)</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395" w:type="dxa"/>
            <w:tcBorders/>
            <w:shd w:fill="CCF2F8" w:val="clear"/>
            <w:vAlign w:val="center"/>
          </w:tcPr>
          <w:p>
            <w:pPr>
              <w:pStyle w:val="TableContents"/>
              <w:bidi w:val="0"/>
              <w:spacing w:before="0" w:after="283"/>
              <w:jc w:val="right"/>
              <w:rPr>
                <w:color w:val="3E3935"/>
              </w:rPr>
            </w:pPr>
            <w:r>
              <w:rPr>
                <w:color w:val="3E3935"/>
              </w:rPr>
              <w:t>(0.1</w:t>
            </w:r>
          </w:p>
        </w:tc>
        <w:tc>
          <w:tcPr>
            <w:tcW w:w="155"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sz w:val="4"/>
                <w:szCs w:val="4"/>
              </w:rPr>
            </w:pPr>
            <w:r>
              <w:rPr>
                <w:sz w:val="4"/>
                <w:szCs w:val="4"/>
              </w:rPr>
            </w:r>
          </w:p>
        </w:tc>
        <w:tc>
          <w:tcPr>
            <w:tcW w:w="440" w:type="dxa"/>
            <w:tcBorders/>
            <w:shd w:fill="CCF2F8" w:val="clear"/>
            <w:vAlign w:val="center"/>
          </w:tcPr>
          <w:p>
            <w:pPr>
              <w:pStyle w:val="TableContents"/>
              <w:bidi w:val="0"/>
              <w:spacing w:before="0" w:after="283"/>
              <w:jc w:val="left"/>
              <w:rPr>
                <w:sz w:val="4"/>
                <w:szCs w:val="4"/>
              </w:rPr>
            </w:pPr>
            <w:r>
              <w:rPr>
                <w:sz w:val="4"/>
                <w:szCs w:val="4"/>
              </w:rPr>
            </w:r>
          </w:p>
        </w:tc>
        <w:tc>
          <w:tcPr>
            <w:tcW w:w="170" w:type="dxa"/>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10" w:type="dxa"/>
            <w:gridSpan w:val="4"/>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India asset sales(5)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95" w:type="dxa"/>
            <w:tcBorders/>
            <w:vAlign w:val="center"/>
          </w:tcPr>
          <w:p>
            <w:pPr>
              <w:pStyle w:val="TableContents"/>
              <w:bidi w:val="0"/>
              <w:spacing w:before="0" w:after="283"/>
              <w:jc w:val="right"/>
              <w:rPr>
                <w:color w:val="3E3935"/>
              </w:rPr>
            </w:pPr>
            <w:r>
              <w:rPr>
                <w:color w:val="3E3935"/>
              </w:rPr>
              <w:t>(0.1</w:t>
            </w:r>
          </w:p>
        </w:tc>
        <w:tc>
          <w:tcPr>
            <w:tcW w:w="15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323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Total Adjustments</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95" w:type="dxa"/>
            <w:tcBorders/>
            <w:shd w:fill="CCF2F8" w:val="clear"/>
            <w:vAlign w:val="center"/>
          </w:tcPr>
          <w:p>
            <w:pPr>
              <w:pStyle w:val="TableContents"/>
              <w:bidi w:val="0"/>
              <w:spacing w:before="0" w:after="283"/>
              <w:jc w:val="left"/>
              <w:rPr>
                <w:sz w:val="4"/>
                <w:szCs w:val="4"/>
              </w:rPr>
            </w:pPr>
            <w:r>
              <w:rPr>
                <w:sz w:val="4"/>
                <w:szCs w:val="4"/>
              </w:rPr>
            </w:r>
          </w:p>
        </w:tc>
        <w:tc>
          <w:tcPr>
            <w:tcW w:w="15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color w:val="3E3935"/>
              </w:rPr>
            </w:pPr>
            <w:r>
              <w:rPr>
                <w:color w:val="3E3935"/>
              </w:rPr>
              <w:t> </w:t>
            </w:r>
          </w:p>
        </w:tc>
        <w:tc>
          <w:tcPr>
            <w:tcW w:w="440" w:type="dxa"/>
            <w:tcBorders/>
            <w:shd w:fill="CCF2F8" w:val="clear"/>
            <w:vAlign w:val="center"/>
          </w:tcPr>
          <w:p>
            <w:pPr>
              <w:pStyle w:val="TableContents"/>
              <w:bidi w:val="0"/>
              <w:spacing w:before="0" w:after="283"/>
              <w:jc w:val="right"/>
              <w:rPr>
                <w:color w:val="3E3935"/>
              </w:rPr>
            </w:pPr>
            <w:r>
              <w:rPr>
                <w:color w:val="3E3935"/>
              </w:rPr>
              <w:t>1.9</w:t>
            </w:r>
          </w:p>
        </w:tc>
        <w:tc>
          <w:tcPr>
            <w:tcW w:w="170" w:type="dxa"/>
            <w:tcBorders/>
            <w:shd w:fill="CCF2F8" w:val="clear"/>
            <w:vAlign w:val="center"/>
          </w:tcPr>
          <w:p>
            <w:pPr>
              <w:pStyle w:val="TableContents"/>
              <w:bidi w:val="0"/>
              <w:spacing w:before="0" w:after="283"/>
              <w:jc w:val="left"/>
              <w:rPr>
                <w:color w:val="3E3935"/>
              </w:rPr>
            </w:pPr>
            <w:r>
              <w:rPr>
                <w:color w:val="3E3935"/>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10" w:type="dxa"/>
            <w:gridSpan w:val="4"/>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EBIT-adjusted</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95" w:type="dxa"/>
            <w:tcBorders>
              <w:bottom w:val="single" w:sz="6" w:space="0" w:color="0071CE"/>
            </w:tcBorders>
            <w:tcMar>
              <w:bottom w:w="28" w:type="dxa"/>
            </w:tcMar>
            <w:vAlign w:val="center"/>
          </w:tcPr>
          <w:p>
            <w:pPr>
              <w:pStyle w:val="TableContents"/>
              <w:bidi w:val="0"/>
              <w:spacing w:before="0" w:after="283"/>
              <w:jc w:val="left"/>
              <w:rPr/>
            </w:pPr>
            <w:r>
              <w:rPr/>
              <w:t> </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w:t>
            </w:r>
          </w:p>
        </w:tc>
        <w:tc>
          <w:tcPr>
            <w:tcW w:w="440" w:type="dxa"/>
            <w:tcBorders>
              <w:bottom w:val="single" w:sz="6" w:space="0" w:color="0071CE"/>
            </w:tcBorders>
            <w:tcMar>
              <w:bottom w:w="80" w:type="dxa"/>
            </w:tcMar>
            <w:vAlign w:val="center"/>
          </w:tcPr>
          <w:p>
            <w:pPr>
              <w:pStyle w:val="TableContents"/>
              <w:bidi w:val="0"/>
              <w:spacing w:before="0" w:after="283"/>
              <w:jc w:val="right"/>
              <w:rPr>
                <w:b/>
                <w:color w:val="3E3935"/>
              </w:rPr>
            </w:pPr>
            <w:r>
              <w:rPr>
                <w:b/>
                <w:color w:val="3E3935"/>
              </w:rPr>
              <w:t>12.4</w:t>
            </w:r>
          </w:p>
        </w:tc>
        <w:tc>
          <w:tcPr>
            <w:tcW w:w="17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color w:val="3E3935"/>
              </w:rPr>
            </w:pPr>
            <w:r>
              <w:rPr>
                <w:color w:val="3E3935"/>
              </w:rPr>
              <w:t>(1)</w:t>
            </w:r>
          </w:p>
        </w:tc>
        <w:tc>
          <w:tcPr>
            <w:tcW w:w="991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adjustments were excluded because they relate to the acceleration of attrition as part of the cost reduction program announced in January 2023, primarily in the U.S.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color w:val="3E3935"/>
              </w:rPr>
            </w:pPr>
            <w:r>
              <w:rPr>
                <w:color w:val="3E3935"/>
              </w:rPr>
              <w:t>(2)</w:t>
            </w:r>
          </w:p>
        </w:tc>
        <w:tc>
          <w:tcPr>
            <w:tcW w:w="9912"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adjustments were excluded because they relate to strategic activities to transition certain Buick dealers out of our dealer network as part of Buick’s EV strategy.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color w:val="3E3935"/>
              </w:rPr>
            </w:pPr>
            <w:r>
              <w:rPr>
                <w:color w:val="3E3935"/>
              </w:rPr>
              <w:t>(3)</w:t>
            </w:r>
          </w:p>
        </w:tc>
        <w:tc>
          <w:tcPr>
            <w:tcW w:w="9947"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adjustments were excluded because they relate to restructuring costs resulting from Cruise voluntarily pausing its driverless, supervised and manual AV operations in the U.S. while it examines its processes, systems and tools. The adjustments primarily consist of non-cash restructuring charges, supplier related charges and employee separation charges. </w:t>
            </w:r>
          </w:p>
        </w:tc>
      </w:tr>
    </w:tbl>
    <w:tbl>
      <w:tblPr>
        <w:tblW w:w="8215" w:type="dxa"/>
        <w:jc w:val="left"/>
        <w:tblInd w:w="0" w:type="dxa"/>
        <w:tblLayout w:type="fixed"/>
        <w:tblCellMar>
          <w:top w:w="0" w:type="dxa"/>
          <w:left w:w="0" w:type="dxa"/>
          <w:bottom w:w="0" w:type="dxa"/>
          <w:right w:w="0" w:type="dxa"/>
        </w:tblCellMar>
      </w:tblPr>
      <w:tblGrid>
        <w:gridCol w:w="305"/>
        <w:gridCol w:w="7910"/>
      </w:tblGrid>
      <w:tr>
        <w:trPr/>
        <w:tc>
          <w:tcPr>
            <w:tcW w:w="305" w:type="dxa"/>
            <w:tcBorders/>
            <w:vAlign w:val="center"/>
          </w:tcPr>
          <w:p>
            <w:pPr>
              <w:pStyle w:val="TableContents"/>
              <w:bidi w:val="0"/>
              <w:spacing w:before="0" w:after="283"/>
              <w:jc w:val="left"/>
              <w:rPr>
                <w:color w:val="3E3935"/>
              </w:rPr>
            </w:pPr>
            <w:r>
              <w:rPr>
                <w:color w:val="3E3935"/>
              </w:rPr>
              <w:t>(4)</w:t>
            </w:r>
          </w:p>
        </w:tc>
        <w:tc>
          <w:tcPr>
            <w:tcW w:w="791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adjustments were excluded because they relate to the partial resolution of subcontractor matters in Korea. </w:t>
            </w:r>
          </w:p>
        </w:tc>
      </w:tr>
    </w:tbl>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color w:val="3E3935"/>
              </w:rPr>
            </w:pPr>
            <w:r>
              <w:rPr>
                <w:color w:val="3E3935"/>
              </w:rPr>
              <w:t>(5)</w:t>
            </w:r>
          </w:p>
        </w:tc>
        <w:tc>
          <w:tcPr>
            <w:tcW w:w="8990"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These adjustments were excluded because they relate to an asset sale resulting from our strategic decision in 2020 to exit India. </w:t>
            </w:r>
          </w:p>
        </w:tc>
      </w:tr>
    </w:tbl>
    <w:p>
      <w:pPr>
        <w:pStyle w:val="TextBody"/>
        <w:bidi w:val="0"/>
        <w:spacing w:before="120" w:after="0"/>
        <w:jc w:val="both"/>
        <w:rPr>
          <w:rFonts w:ascii="arial" w:hAnsi="arial"/>
          <w:color w:val="3E3935"/>
          <w:sz w:val="18"/>
        </w:rPr>
      </w:pPr>
      <w:r>
        <w:rPr>
          <w:rFonts w:ascii="arial" w:hAnsi="arial"/>
          <w:color w:val="3E3935"/>
          <w:sz w:val="18"/>
        </w:rPr>
        <w:t xml:space="preserve">The following table reconciles Diluted Earnings per Common Share under GAAP to EPS-diluted-adjusted: </w:t>
      </w:r>
    </w:p>
    <w:p>
      <w:pPr>
        <w:pStyle w:val="TextBody"/>
        <w:bidi w:val="0"/>
        <w:spacing w:before="0" w:after="0"/>
        <w:jc w:val="left"/>
        <w:rPr/>
      </w:pPr>
      <w:r>
        <w:rPr/>
        <w:t> </w:t>
      </w:r>
    </w:p>
    <w:tbl>
      <w:tblPr>
        <w:tblW w:w="3875" w:type="dxa"/>
        <w:jc w:val="left"/>
        <w:tblInd w:w="0" w:type="dxa"/>
        <w:tblLayout w:type="fixed"/>
        <w:tblCellMar>
          <w:top w:w="0" w:type="dxa"/>
          <w:left w:w="0" w:type="dxa"/>
          <w:bottom w:w="0" w:type="dxa"/>
          <w:right w:w="0" w:type="dxa"/>
        </w:tblCellMar>
      </w:tblPr>
      <w:tblGrid>
        <w:gridCol w:w="2930"/>
        <w:gridCol w:w="120"/>
        <w:gridCol w:w="140"/>
        <w:gridCol w:w="515"/>
        <w:gridCol w:w="17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 per Share)</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5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2023</w:t>
            </w:r>
          </w:p>
        </w:tc>
        <w:tc>
          <w:tcPr>
            <w:tcW w:w="170"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2930" w:type="dxa"/>
            <w:tcBorders/>
            <w:shd w:fill="CCF2F8" w:val="clear"/>
            <w:vAlign w:val="center"/>
          </w:tcPr>
          <w:p>
            <w:pPr>
              <w:pStyle w:val="TableContents"/>
              <w:bidi w:val="0"/>
              <w:spacing w:before="0" w:after="283"/>
              <w:jc w:val="left"/>
              <w:rPr>
                <w:sz w:val="4"/>
                <w:szCs w:val="4"/>
              </w:rPr>
            </w:pPr>
            <w:r>
              <w:rPr>
                <w:sz w:val="4"/>
                <w:szCs w:val="4"/>
              </w:rPr>
            </w:r>
          </w:p>
        </w:tc>
        <w:tc>
          <w:tcPr>
            <w:tcW w:w="94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930"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Diluted Earnings per Common Share</w:t>
            </w:r>
          </w:p>
        </w:tc>
        <w:tc>
          <w:tcPr>
            <w:tcW w:w="12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b/>
                <w:color w:val="3E3935"/>
              </w:rPr>
            </w:pPr>
            <w:r>
              <w:rPr>
                <w:b/>
                <w:color w:val="3E3935"/>
              </w:rPr>
              <w:t>$</w:t>
            </w:r>
          </w:p>
        </w:tc>
        <w:tc>
          <w:tcPr>
            <w:tcW w:w="515" w:type="dxa"/>
            <w:tcBorders/>
            <w:shd w:fill="CCF2F8" w:val="clear"/>
            <w:vAlign w:val="center"/>
          </w:tcPr>
          <w:p>
            <w:pPr>
              <w:pStyle w:val="TableContents"/>
              <w:bidi w:val="0"/>
              <w:spacing w:before="0" w:after="283"/>
              <w:jc w:val="right"/>
              <w:rPr>
                <w:b/>
                <w:color w:val="3E3935"/>
              </w:rPr>
            </w:pPr>
            <w:r>
              <w:rPr>
                <w:b/>
                <w:color w:val="3E3935"/>
              </w:rPr>
              <w:t>7.32</w:t>
            </w:r>
          </w:p>
        </w:tc>
        <w:tc>
          <w:tcPr>
            <w:tcW w:w="170" w:type="dxa"/>
            <w:tcBorders/>
            <w:shd w:fill="CCF2F8" w:val="clear"/>
            <w:vAlign w:val="center"/>
          </w:tcPr>
          <w:p>
            <w:pPr>
              <w:pStyle w:val="TableContents"/>
              <w:bidi w:val="0"/>
              <w:spacing w:before="0" w:after="283"/>
              <w:jc w:val="left"/>
              <w:rPr>
                <w:color w:val="3E3935"/>
              </w:rPr>
            </w:pPr>
            <w:r>
              <w:rPr>
                <w:color w:val="3E3935"/>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945" w:type="dxa"/>
            <w:gridSpan w:val="4"/>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Adjustments(1)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515" w:type="dxa"/>
            <w:tcBorders/>
            <w:vAlign w:val="center"/>
          </w:tcPr>
          <w:p>
            <w:pPr>
              <w:pStyle w:val="TableContents"/>
              <w:bidi w:val="0"/>
              <w:spacing w:before="0" w:after="283"/>
              <w:jc w:val="right"/>
              <w:rPr>
                <w:color w:val="3E3935"/>
              </w:rPr>
            </w:pPr>
            <w:r>
              <w:rPr>
                <w:color w:val="3E3935"/>
              </w:rPr>
              <w:t>1.36</w:t>
            </w:r>
          </w:p>
        </w:tc>
        <w:tc>
          <w:tcPr>
            <w:tcW w:w="170" w:type="dxa"/>
            <w:tcBorders/>
            <w:vAlign w:val="center"/>
          </w:tcPr>
          <w:p>
            <w:pPr>
              <w:pStyle w:val="TableContents"/>
              <w:bidi w:val="0"/>
              <w:spacing w:before="0" w:after="283"/>
              <w:jc w:val="left"/>
              <w:rPr>
                <w:color w:val="3E3935"/>
              </w:rPr>
            </w:pPr>
            <w:r>
              <w:rPr>
                <w:color w:val="3E3935"/>
              </w:rPr>
              <w:t> </w:t>
            </w:r>
          </w:p>
        </w:tc>
      </w:tr>
      <w:tr>
        <w:trPr/>
        <w:tc>
          <w:tcPr>
            <w:tcW w:w="2930" w:type="dxa"/>
            <w:tcBorders/>
            <w:shd w:fill="CCF2F8" w:val="clear"/>
            <w:vAlign w:val="center"/>
          </w:tcPr>
          <w:p>
            <w:pPr>
              <w:pStyle w:val="TableContents"/>
              <w:bidi w:val="0"/>
              <w:spacing w:before="0" w:after="283"/>
              <w:jc w:val="left"/>
              <w:rPr>
                <w:sz w:val="4"/>
                <w:szCs w:val="4"/>
              </w:rPr>
            </w:pPr>
            <w:r>
              <w:rPr>
                <w:sz w:val="4"/>
                <w:szCs w:val="4"/>
              </w:rPr>
            </w:r>
          </w:p>
        </w:tc>
        <w:tc>
          <w:tcPr>
            <w:tcW w:w="94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93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Tax effect of adjustments(2)</w:t>
            </w:r>
          </w:p>
        </w:tc>
        <w:tc>
          <w:tcPr>
            <w:tcW w:w="12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color w:val="3E3935"/>
              </w:rPr>
            </w:pPr>
            <w:r>
              <w:rPr>
                <w:color w:val="3E3935"/>
              </w:rPr>
              <w:t> </w:t>
            </w:r>
          </w:p>
        </w:tc>
        <w:tc>
          <w:tcPr>
            <w:tcW w:w="515" w:type="dxa"/>
            <w:tcBorders/>
            <w:shd w:fill="CCF2F8" w:val="clear"/>
            <w:vAlign w:val="center"/>
          </w:tcPr>
          <w:p>
            <w:pPr>
              <w:pStyle w:val="TableContents"/>
              <w:bidi w:val="0"/>
              <w:spacing w:before="0" w:after="283"/>
              <w:jc w:val="right"/>
              <w:rPr>
                <w:color w:val="3E3935"/>
              </w:rPr>
            </w:pPr>
            <w:r>
              <w:rPr>
                <w:color w:val="3E3935"/>
              </w:rPr>
              <w:t>(0.37</w:t>
            </w:r>
          </w:p>
        </w:tc>
        <w:tc>
          <w:tcPr>
            <w:tcW w:w="170" w:type="dxa"/>
            <w:tcBorders/>
            <w:shd w:fill="CCF2F8" w:val="clear"/>
            <w:vAlign w:val="center"/>
          </w:tcPr>
          <w:p>
            <w:pPr>
              <w:pStyle w:val="TableContents"/>
              <w:bidi w:val="0"/>
              <w:spacing w:before="0" w:after="283"/>
              <w:jc w:val="left"/>
              <w:rPr>
                <w:color w:val="3E3935"/>
              </w:rPr>
            </w:pPr>
            <w:r>
              <w:rPr>
                <w:color w:val="3E3935"/>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945" w:type="dxa"/>
            <w:gridSpan w:val="4"/>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Tax adjustments(3)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515" w:type="dxa"/>
            <w:tcBorders/>
            <w:vAlign w:val="center"/>
          </w:tcPr>
          <w:p>
            <w:pPr>
              <w:pStyle w:val="TableContents"/>
              <w:bidi w:val="0"/>
              <w:spacing w:before="0" w:after="283"/>
              <w:jc w:val="right"/>
              <w:rPr>
                <w:color w:val="3E3935"/>
              </w:rPr>
            </w:pPr>
            <w:r>
              <w:rPr>
                <w:color w:val="3E3935"/>
              </w:rPr>
              <w:t>(0.64</w:t>
            </w:r>
          </w:p>
        </w:tc>
        <w:tc>
          <w:tcPr>
            <w:tcW w:w="170" w:type="dxa"/>
            <w:tcBorders/>
            <w:vAlign w:val="center"/>
          </w:tcPr>
          <w:p>
            <w:pPr>
              <w:pStyle w:val="TableContents"/>
              <w:bidi w:val="0"/>
              <w:spacing w:before="0" w:after="283"/>
              <w:jc w:val="left"/>
              <w:rPr>
                <w:color w:val="3E3935"/>
              </w:rPr>
            </w:pPr>
            <w:r>
              <w:rPr>
                <w:color w:val="3E3935"/>
              </w:rPr>
              <w:t>) </w:t>
            </w:r>
          </w:p>
        </w:tc>
      </w:tr>
      <w:tr>
        <w:trPr/>
        <w:tc>
          <w:tcPr>
            <w:tcW w:w="2930" w:type="dxa"/>
            <w:tcBorders/>
            <w:shd w:fill="CCF2F8" w:val="clear"/>
            <w:vAlign w:val="center"/>
          </w:tcPr>
          <w:p>
            <w:pPr>
              <w:pStyle w:val="TableContents"/>
              <w:bidi w:val="0"/>
              <w:spacing w:before="0" w:after="283"/>
              <w:jc w:val="left"/>
              <w:rPr>
                <w:sz w:val="4"/>
                <w:szCs w:val="4"/>
              </w:rPr>
            </w:pPr>
            <w:r>
              <w:rPr>
                <w:sz w:val="4"/>
                <w:szCs w:val="4"/>
              </w:rPr>
            </w:r>
          </w:p>
        </w:tc>
        <w:tc>
          <w:tcPr>
            <w:tcW w:w="94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2930" w:type="dxa"/>
            <w:tcBorders>
              <w:bottom w:val="single" w:sz="6" w:space="0" w:color="0071CE"/>
            </w:tcBorders>
            <w:shd w:fill="CCF2F8" w:val="clear"/>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EPS-diluted-adjusted</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40" w:type="dxa"/>
            <w:tcBorders>
              <w:bottom w:val="single" w:sz="6" w:space="0" w:color="0071CE"/>
            </w:tcBorders>
            <w:shd w:fill="CCF2F8" w:val="clear"/>
            <w:tcMar>
              <w:bottom w:w="80" w:type="dxa"/>
            </w:tcMar>
            <w:vAlign w:val="center"/>
          </w:tcPr>
          <w:p>
            <w:pPr>
              <w:pStyle w:val="TableContents"/>
              <w:bidi w:val="0"/>
              <w:spacing w:before="0" w:after="283"/>
              <w:jc w:val="left"/>
              <w:rPr>
                <w:b/>
                <w:color w:val="3E3935"/>
              </w:rPr>
            </w:pPr>
            <w:r>
              <w:rPr>
                <w:b/>
                <w:color w:val="3E3935"/>
              </w:rPr>
              <w:t>$</w:t>
            </w:r>
          </w:p>
        </w:tc>
        <w:tc>
          <w:tcPr>
            <w:tcW w:w="515" w:type="dxa"/>
            <w:tcBorders>
              <w:bottom w:val="single" w:sz="6" w:space="0" w:color="0071CE"/>
            </w:tcBorders>
            <w:shd w:fill="CCF2F8" w:val="clear"/>
            <w:tcMar>
              <w:bottom w:w="80" w:type="dxa"/>
            </w:tcMar>
            <w:vAlign w:val="center"/>
          </w:tcPr>
          <w:p>
            <w:pPr>
              <w:pStyle w:val="TableContents"/>
              <w:bidi w:val="0"/>
              <w:spacing w:before="0" w:after="283"/>
              <w:jc w:val="right"/>
              <w:rPr>
                <w:b/>
                <w:color w:val="3E3935"/>
              </w:rPr>
            </w:pPr>
            <w:r>
              <w:rPr>
                <w:b/>
                <w:color w:val="3E3935"/>
              </w:rPr>
              <w:t>7.68</w:t>
            </w:r>
          </w:p>
        </w:tc>
        <w:tc>
          <w:tcPr>
            <w:tcW w:w="170" w:type="dxa"/>
            <w:tcBorders>
              <w:bottom w:val="single" w:sz="6" w:space="0" w:color="0071CE"/>
            </w:tcBorders>
            <w:shd w:fill="CCF2F8" w:val="clear"/>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305"/>
        <w:gridCol w:w="9035"/>
      </w:tblGrid>
      <w:tr>
        <w:trPr/>
        <w:tc>
          <w:tcPr>
            <w:tcW w:w="305" w:type="dxa"/>
            <w:tcBorders/>
            <w:vAlign w:val="center"/>
          </w:tcPr>
          <w:p>
            <w:pPr>
              <w:pStyle w:val="TableContents"/>
              <w:bidi w:val="0"/>
              <w:spacing w:before="0" w:after="283"/>
              <w:jc w:val="left"/>
              <w:rPr>
                <w:color w:val="3E3935"/>
              </w:rPr>
            </w:pPr>
            <w:r>
              <w:rPr>
                <w:color w:val="3E3935"/>
              </w:rPr>
              <w:t>(1)</w:t>
            </w:r>
          </w:p>
        </w:tc>
        <w:tc>
          <w:tcPr>
            <w:tcW w:w="90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Refer to the reconciliation of Net Income Attributable to Stockholders under GAAP to EBIT-adjusted above for adjustment details.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color w:val="3E3935"/>
              </w:rPr>
            </w:pPr>
            <w:r>
              <w:rPr>
                <w:color w:val="3E3935"/>
              </w:rPr>
              <w:t>(2)</w:t>
            </w:r>
          </w:p>
        </w:tc>
        <w:tc>
          <w:tcPr>
            <w:tcW w:w="9906"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The tax effect of each adjustment is determined based on the tax laws and valuation allowance status of the jurisdiction to which the adjustment relates.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color w:val="3E3935"/>
              </w:rPr>
            </w:pPr>
            <w:r>
              <w:rPr>
                <w:color w:val="3E3935"/>
              </w:rPr>
              <w:t>(3)</w:t>
            </w:r>
          </w:p>
        </w:tc>
        <w:tc>
          <w:tcPr>
            <w:tcW w:w="9902"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This adjustment consists of tax benefit related to the release of a valuation allowance against deferred tax assets considered realizable in Korea. </w:t>
            </w:r>
          </w:p>
        </w:tc>
      </w:tr>
    </w:tbl>
    <w:p>
      <w:pPr>
        <w:pStyle w:val="TextBody"/>
        <w:bidi w:val="0"/>
        <w:spacing w:before="0" w:after="0"/>
        <w:jc w:val="left"/>
        <w:rPr/>
      </w:pPr>
      <w:r>
        <w:rPr/>
        <w:t> </w:t>
      </w:r>
    </w:p>
    <w:tbl>
      <w:tblPr>
        <w:tblW w:w="9001" w:type="dxa"/>
        <w:jc w:val="left"/>
        <w:tblInd w:w="0" w:type="dxa"/>
        <w:tblLayout w:type="fixed"/>
        <w:tblCellMar>
          <w:top w:w="0" w:type="dxa"/>
          <w:left w:w="0" w:type="dxa"/>
          <w:bottom w:w="0" w:type="dxa"/>
          <w:right w:w="0" w:type="dxa"/>
        </w:tblCellMar>
      </w:tblPr>
      <w:tblGrid>
        <w:gridCol w:w="38"/>
        <w:gridCol w:w="60"/>
        <w:gridCol w:w="23"/>
        <w:gridCol w:w="60"/>
        <w:gridCol w:w="5855"/>
        <w:gridCol w:w="60"/>
        <w:gridCol w:w="2255"/>
        <w:gridCol w:w="12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b/>
                <w:color w:val="3E3935"/>
              </w:rPr>
            </w:pPr>
            <w:r>
              <w:rPr>
                <w:b/>
                <w:color w:val="3E3935"/>
              </w:rPr>
              <w:t>APPENDIX A: NON-GAAP FINANCIAL MEASURES</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b/>
                <w:color w:val="3E3935"/>
              </w:rPr>
            </w:pPr>
            <w:r>
              <w:rPr>
                <w:b/>
                <w:color w:val="3E3935"/>
              </w:rPr>
              <w:t>2024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1CE"/>
              </w:rPr>
            </w:pPr>
            <w:r>
              <w:rPr>
                <w:color w:val="0071CE"/>
              </w:rPr>
              <w:t> </w:t>
            </w:r>
          </w:p>
        </w:tc>
        <w:tc>
          <w:tcPr>
            <w:tcW w:w="395" w:type="dxa"/>
            <w:tcBorders/>
            <w:vAlign w:val="center"/>
          </w:tcPr>
          <w:p>
            <w:pPr>
              <w:pStyle w:val="TableContents"/>
              <w:bidi w:val="0"/>
              <w:spacing w:before="0" w:after="283"/>
              <w:jc w:val="right"/>
              <w:rPr>
                <w:b/>
                <w:color w:val="0071CE"/>
              </w:rPr>
            </w:pPr>
            <w:r>
              <w:rPr>
                <w:b/>
                <w:color w:val="0071CE"/>
              </w:rPr>
              <w:t>A-1</w:t>
            </w:r>
          </w:p>
        </w:tc>
        <w:tc>
          <w:tcPr>
            <w:tcW w:w="75" w:type="dxa"/>
            <w:tcBorders/>
            <w:vAlign w:val="center"/>
          </w:tcPr>
          <w:p>
            <w:pPr>
              <w:pStyle w:val="TableContents"/>
              <w:bidi w:val="0"/>
              <w:spacing w:before="0" w:after="283"/>
              <w:jc w:val="left"/>
              <w:rPr>
                <w:color w:val="0071CE"/>
              </w:rPr>
            </w:pPr>
            <w:r>
              <w:rPr>
                <w:color w:val="0071C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color w:val="3E3935"/>
          <w:sz w:val="18"/>
        </w:rPr>
      </w:pPr>
      <w:r>
        <w:rPr>
          <w:rFonts w:ascii="arial" w:hAnsi="arial"/>
          <w:color w:val="3E3935"/>
          <w:sz w:val="18"/>
        </w:rPr>
        <w:t xml:space="preserve">The following table summarizes the calculation of ROIC-adjusted: </w:t>
      </w:r>
    </w:p>
    <w:p>
      <w:pPr>
        <w:pStyle w:val="TextBody"/>
        <w:bidi w:val="0"/>
        <w:spacing w:before="0" w:after="0"/>
        <w:jc w:val="left"/>
        <w:rPr/>
      </w:pPr>
      <w:r>
        <w:rPr/>
        <w:t> </w:t>
      </w:r>
    </w:p>
    <w:tbl>
      <w:tblPr>
        <w:tblW w:w="6995" w:type="dxa"/>
        <w:jc w:val="left"/>
        <w:tblInd w:w="0" w:type="dxa"/>
        <w:tblLayout w:type="fixed"/>
        <w:tblCellMar>
          <w:top w:w="0" w:type="dxa"/>
          <w:left w:w="0" w:type="dxa"/>
          <w:bottom w:w="0" w:type="dxa"/>
          <w:right w:w="0" w:type="dxa"/>
        </w:tblCellMar>
      </w:tblPr>
      <w:tblGrid>
        <w:gridCol w:w="5885"/>
        <w:gridCol w:w="120"/>
        <w:gridCol w:w="140"/>
        <w:gridCol w:w="515"/>
        <w:gridCol w:w="335"/>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85"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($B)</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5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2023</w:t>
            </w:r>
          </w:p>
        </w:tc>
        <w:tc>
          <w:tcPr>
            <w:tcW w:w="335"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5885" w:type="dxa"/>
            <w:tcBorders/>
            <w:shd w:fill="CCF2F8" w:val="clear"/>
            <w:vAlign w:val="center"/>
          </w:tcPr>
          <w:p>
            <w:pPr>
              <w:pStyle w:val="TableContents"/>
              <w:bidi w:val="0"/>
              <w:spacing w:before="0" w:after="283"/>
              <w:jc w:val="left"/>
              <w:rPr>
                <w:sz w:val="4"/>
                <w:szCs w:val="4"/>
              </w:rPr>
            </w:pPr>
            <w:r>
              <w:rPr>
                <w:sz w:val="4"/>
                <w:szCs w:val="4"/>
              </w:rPr>
            </w:r>
          </w:p>
        </w:tc>
        <w:tc>
          <w:tcPr>
            <w:tcW w:w="11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885"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EBIT-adjusted(1)</w:t>
            </w:r>
          </w:p>
        </w:tc>
        <w:tc>
          <w:tcPr>
            <w:tcW w:w="12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b/>
                <w:color w:val="3E3935"/>
              </w:rPr>
            </w:pPr>
            <w:r>
              <w:rPr>
                <w:b/>
                <w:color w:val="3E3935"/>
              </w:rPr>
              <w:t>$</w:t>
            </w:r>
          </w:p>
        </w:tc>
        <w:tc>
          <w:tcPr>
            <w:tcW w:w="515" w:type="dxa"/>
            <w:tcBorders/>
            <w:shd w:fill="CCF2F8" w:val="clear"/>
            <w:vAlign w:val="center"/>
          </w:tcPr>
          <w:p>
            <w:pPr>
              <w:pStyle w:val="TableContents"/>
              <w:bidi w:val="0"/>
              <w:spacing w:before="0" w:after="283"/>
              <w:jc w:val="right"/>
              <w:rPr>
                <w:b/>
                <w:color w:val="3E3935"/>
              </w:rPr>
            </w:pPr>
            <w:r>
              <w:rPr>
                <w:b/>
                <w:color w:val="3E3935"/>
              </w:rPr>
              <w:t>12.4</w:t>
            </w:r>
          </w:p>
        </w:tc>
        <w:tc>
          <w:tcPr>
            <w:tcW w:w="335" w:type="dxa"/>
            <w:tcBorders/>
            <w:shd w:fill="CCF2F8" w:val="clear"/>
            <w:vAlign w:val="center"/>
          </w:tcPr>
          <w:p>
            <w:pPr>
              <w:pStyle w:val="TableContents"/>
              <w:bidi w:val="0"/>
              <w:spacing w:before="0" w:after="283"/>
              <w:jc w:val="left"/>
              <w:rPr>
                <w:color w:val="3E3935"/>
              </w:rPr>
            </w:pPr>
            <w:r>
              <w:rPr>
                <w:color w:val="3E3935"/>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Average equity(2)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515" w:type="dxa"/>
            <w:tcBorders/>
            <w:vAlign w:val="center"/>
          </w:tcPr>
          <w:p>
            <w:pPr>
              <w:pStyle w:val="TableContents"/>
              <w:bidi w:val="0"/>
              <w:spacing w:before="0" w:after="283"/>
              <w:jc w:val="right"/>
              <w:rPr>
                <w:color w:val="3E3935"/>
              </w:rPr>
            </w:pPr>
            <w:r>
              <w:rPr>
                <w:color w:val="3E3935"/>
              </w:rPr>
              <w:t>72.0</w:t>
            </w:r>
          </w:p>
        </w:tc>
        <w:tc>
          <w:tcPr>
            <w:tcW w:w="335" w:type="dxa"/>
            <w:tcBorders/>
            <w:vAlign w:val="center"/>
          </w:tcPr>
          <w:p>
            <w:pPr>
              <w:pStyle w:val="TableContents"/>
              <w:bidi w:val="0"/>
              <w:spacing w:before="0" w:after="283"/>
              <w:jc w:val="left"/>
              <w:rPr>
                <w:color w:val="3E3935"/>
              </w:rPr>
            </w:pPr>
            <w:r>
              <w:rPr>
                <w:color w:val="3E3935"/>
              </w:rPr>
              <w:t> </w:t>
            </w:r>
          </w:p>
        </w:tc>
      </w:tr>
      <w:tr>
        <w:trPr/>
        <w:tc>
          <w:tcPr>
            <w:tcW w:w="5885" w:type="dxa"/>
            <w:tcBorders/>
            <w:shd w:fill="CCF2F8" w:val="clear"/>
            <w:vAlign w:val="center"/>
          </w:tcPr>
          <w:p>
            <w:pPr>
              <w:pStyle w:val="TableContents"/>
              <w:bidi w:val="0"/>
              <w:spacing w:before="0" w:after="283"/>
              <w:jc w:val="left"/>
              <w:rPr>
                <w:sz w:val="4"/>
                <w:szCs w:val="4"/>
              </w:rPr>
            </w:pPr>
            <w:r>
              <w:rPr>
                <w:sz w:val="4"/>
                <w:szCs w:val="4"/>
              </w:rPr>
            </w:r>
          </w:p>
        </w:tc>
        <w:tc>
          <w:tcPr>
            <w:tcW w:w="11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88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Add: Average automotive debt and interest liabilities (excluding finance leases)</w:t>
            </w:r>
          </w:p>
        </w:tc>
        <w:tc>
          <w:tcPr>
            <w:tcW w:w="12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color w:val="3E3935"/>
              </w:rPr>
            </w:pPr>
            <w:r>
              <w:rPr>
                <w:color w:val="3E3935"/>
              </w:rPr>
              <w:t> </w:t>
            </w:r>
          </w:p>
        </w:tc>
        <w:tc>
          <w:tcPr>
            <w:tcW w:w="515" w:type="dxa"/>
            <w:tcBorders/>
            <w:shd w:fill="CCF2F8" w:val="clear"/>
            <w:vAlign w:val="center"/>
          </w:tcPr>
          <w:p>
            <w:pPr>
              <w:pStyle w:val="TableContents"/>
              <w:bidi w:val="0"/>
              <w:spacing w:before="0" w:after="283"/>
              <w:jc w:val="right"/>
              <w:rPr>
                <w:color w:val="3E3935"/>
              </w:rPr>
            </w:pPr>
            <w:r>
              <w:rPr>
                <w:color w:val="3E3935"/>
              </w:rPr>
              <w:t>16.2</w:t>
            </w:r>
          </w:p>
        </w:tc>
        <w:tc>
          <w:tcPr>
            <w:tcW w:w="335" w:type="dxa"/>
            <w:tcBorders/>
            <w:shd w:fill="CCF2F8" w:val="clear"/>
            <w:vAlign w:val="center"/>
          </w:tcPr>
          <w:p>
            <w:pPr>
              <w:pStyle w:val="TableContents"/>
              <w:bidi w:val="0"/>
              <w:spacing w:before="0" w:after="283"/>
              <w:jc w:val="left"/>
              <w:rPr>
                <w:color w:val="3E3935"/>
              </w:rPr>
            </w:pPr>
            <w:r>
              <w:rPr>
                <w:color w:val="3E3935"/>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Add: Average automotive net pension and other post-retirement benefits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515" w:type="dxa"/>
            <w:tcBorders/>
            <w:vAlign w:val="center"/>
          </w:tcPr>
          <w:p>
            <w:pPr>
              <w:pStyle w:val="TableContents"/>
              <w:bidi w:val="0"/>
              <w:spacing w:before="0" w:after="283"/>
              <w:jc w:val="right"/>
              <w:rPr>
                <w:color w:val="3E3935"/>
              </w:rPr>
            </w:pPr>
            <w:r>
              <w:rPr>
                <w:color w:val="3E3935"/>
              </w:rPr>
              <w:t>8.1</w:t>
            </w:r>
          </w:p>
        </w:tc>
        <w:tc>
          <w:tcPr>
            <w:tcW w:w="335" w:type="dxa"/>
            <w:tcBorders/>
            <w:vAlign w:val="center"/>
          </w:tcPr>
          <w:p>
            <w:pPr>
              <w:pStyle w:val="TableContents"/>
              <w:bidi w:val="0"/>
              <w:spacing w:before="0" w:after="283"/>
              <w:jc w:val="left"/>
              <w:rPr>
                <w:color w:val="3E3935"/>
              </w:rPr>
            </w:pPr>
            <w:r>
              <w:rPr>
                <w:color w:val="3E3935"/>
              </w:rPr>
              <w:t> </w:t>
            </w:r>
          </w:p>
        </w:tc>
      </w:tr>
      <w:tr>
        <w:trPr/>
        <w:tc>
          <w:tcPr>
            <w:tcW w:w="5885" w:type="dxa"/>
            <w:tcBorders/>
            <w:shd w:fill="CCF2F8" w:val="clear"/>
            <w:vAlign w:val="center"/>
          </w:tcPr>
          <w:p>
            <w:pPr>
              <w:pStyle w:val="TableContents"/>
              <w:bidi w:val="0"/>
              <w:spacing w:before="0" w:after="283"/>
              <w:jc w:val="left"/>
              <w:rPr>
                <w:sz w:val="4"/>
                <w:szCs w:val="4"/>
              </w:rPr>
            </w:pPr>
            <w:r>
              <w:rPr>
                <w:sz w:val="4"/>
                <w:szCs w:val="4"/>
              </w:rPr>
            </w:r>
          </w:p>
        </w:tc>
        <w:tc>
          <w:tcPr>
            <w:tcW w:w="11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885"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Less: Average automotive net income tax asset</w:t>
            </w:r>
          </w:p>
        </w:tc>
        <w:tc>
          <w:tcPr>
            <w:tcW w:w="12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color w:val="3E3935"/>
              </w:rPr>
            </w:pPr>
            <w:r>
              <w:rPr>
                <w:color w:val="3E3935"/>
              </w:rPr>
              <w:t> </w:t>
            </w:r>
          </w:p>
        </w:tc>
        <w:tc>
          <w:tcPr>
            <w:tcW w:w="515" w:type="dxa"/>
            <w:tcBorders/>
            <w:shd w:fill="CCF2F8" w:val="clear"/>
            <w:vAlign w:val="center"/>
          </w:tcPr>
          <w:p>
            <w:pPr>
              <w:pStyle w:val="TableContents"/>
              <w:bidi w:val="0"/>
              <w:spacing w:before="0" w:after="283"/>
              <w:jc w:val="right"/>
              <w:rPr>
                <w:color w:val="3E3935"/>
              </w:rPr>
            </w:pPr>
            <w:r>
              <w:rPr>
                <w:color w:val="3E3935"/>
              </w:rPr>
              <w:t>(21.1</w:t>
            </w:r>
          </w:p>
        </w:tc>
        <w:tc>
          <w:tcPr>
            <w:tcW w:w="335" w:type="dxa"/>
            <w:tcBorders/>
            <w:shd w:fill="CCF2F8" w:val="clear"/>
            <w:vAlign w:val="center"/>
          </w:tcPr>
          <w:p>
            <w:pPr>
              <w:pStyle w:val="TableContents"/>
              <w:bidi w:val="0"/>
              <w:spacing w:before="0" w:after="283"/>
              <w:jc w:val="left"/>
              <w:rPr>
                <w:color w:val="3E3935"/>
              </w:rPr>
            </w:pPr>
            <w:r>
              <w:rPr>
                <w:color w:val="3E3935"/>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arial" w:hAnsi="arial"/>
                <w:b/>
                <w:color w:val="3E3935"/>
                <w:sz w:val="17"/>
              </w:rPr>
            </w:pPr>
            <w:r>
              <w:rPr>
                <w:rFonts w:ascii="arial" w:hAnsi="arial"/>
                <w:b/>
                <w:color w:val="3E3935"/>
                <w:sz w:val="17"/>
              </w:rPr>
              <w:t>ROIC-adjusted average net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515" w:type="dxa"/>
            <w:tcBorders/>
            <w:vAlign w:val="center"/>
          </w:tcPr>
          <w:p>
            <w:pPr>
              <w:pStyle w:val="TableContents"/>
              <w:bidi w:val="0"/>
              <w:spacing w:before="0" w:after="283"/>
              <w:jc w:val="right"/>
              <w:rPr>
                <w:b/>
                <w:color w:val="3E3935"/>
              </w:rPr>
            </w:pPr>
            <w:r>
              <w:rPr>
                <w:b/>
                <w:color w:val="3E3935"/>
              </w:rPr>
              <w:t>75.2</w:t>
            </w:r>
          </w:p>
        </w:tc>
        <w:tc>
          <w:tcPr>
            <w:tcW w:w="335" w:type="dxa"/>
            <w:tcBorders/>
            <w:vAlign w:val="center"/>
          </w:tcPr>
          <w:p>
            <w:pPr>
              <w:pStyle w:val="TableContents"/>
              <w:bidi w:val="0"/>
              <w:spacing w:before="0" w:after="283"/>
              <w:jc w:val="left"/>
              <w:rPr>
                <w:color w:val="3E3935"/>
              </w:rPr>
            </w:pPr>
            <w:r>
              <w:rPr>
                <w:color w:val="3E3935"/>
              </w:rPr>
              <w:t> </w:t>
            </w:r>
          </w:p>
        </w:tc>
      </w:tr>
      <w:tr>
        <w:trPr/>
        <w:tc>
          <w:tcPr>
            <w:tcW w:w="5885" w:type="dxa"/>
            <w:tcBorders/>
            <w:shd w:fill="CCF2F8" w:val="clear"/>
            <w:vAlign w:val="center"/>
          </w:tcPr>
          <w:p>
            <w:pPr>
              <w:pStyle w:val="TableContents"/>
              <w:bidi w:val="0"/>
              <w:spacing w:before="0" w:after="283"/>
              <w:jc w:val="left"/>
              <w:rPr>
                <w:sz w:val="4"/>
                <w:szCs w:val="4"/>
              </w:rPr>
            </w:pPr>
            <w:r>
              <w:rPr>
                <w:sz w:val="4"/>
                <w:szCs w:val="4"/>
              </w:rPr>
            </w:r>
          </w:p>
        </w:tc>
        <w:tc>
          <w:tcPr>
            <w:tcW w:w="1110"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5885" w:type="dxa"/>
            <w:tcBorders>
              <w:bottom w:val="single" w:sz="6" w:space="0" w:color="0071CE"/>
            </w:tcBorders>
            <w:shd w:fill="CCF2F8" w:val="clear"/>
            <w:tcMar>
              <w:bottom w:w="80" w:type="dxa"/>
            </w:tcMar>
            <w:vAlign w:val="center"/>
          </w:tcPr>
          <w:p>
            <w:pPr>
              <w:pStyle w:val="TableContents"/>
              <w:bidi w:val="0"/>
              <w:spacing w:before="0" w:after="0"/>
              <w:jc w:val="left"/>
              <w:rPr>
                <w:rFonts w:ascii="arial" w:hAnsi="arial"/>
                <w:b/>
                <w:color w:val="0071CE"/>
                <w:sz w:val="17"/>
              </w:rPr>
            </w:pPr>
            <w:r>
              <w:rPr>
                <w:rFonts w:ascii="arial" w:hAnsi="arial"/>
                <w:b/>
                <w:color w:val="0071CE"/>
                <w:sz w:val="17"/>
              </w:rPr>
              <w:t>ROIC-adjusted</w:t>
            </w:r>
          </w:p>
        </w:tc>
        <w:tc>
          <w:tcPr>
            <w:tcW w:w="120" w:type="dxa"/>
            <w:tcBorders>
              <w:bottom w:val="single" w:sz="6" w:space="0" w:color="0071CE"/>
            </w:tcBorders>
            <w:shd w:fill="CCF2F8" w:val="clear"/>
            <w:tcMar>
              <w:bottom w:w="28" w:type="dxa"/>
            </w:tcMar>
            <w:vAlign w:val="center"/>
          </w:tcPr>
          <w:p>
            <w:pPr>
              <w:pStyle w:val="TableContents"/>
              <w:bidi w:val="0"/>
              <w:spacing w:before="0" w:after="283"/>
              <w:jc w:val="left"/>
              <w:rPr/>
            </w:pPr>
            <w:r>
              <w:rPr/>
              <w:t>  </w:t>
            </w:r>
          </w:p>
        </w:tc>
        <w:tc>
          <w:tcPr>
            <w:tcW w:w="140" w:type="dxa"/>
            <w:tcBorders>
              <w:bottom w:val="single" w:sz="6" w:space="0" w:color="0071CE"/>
            </w:tcBorders>
            <w:shd w:fill="CCF2F8" w:val="clear"/>
            <w:tcMar>
              <w:bottom w:w="80" w:type="dxa"/>
            </w:tcMar>
            <w:vAlign w:val="center"/>
          </w:tcPr>
          <w:p>
            <w:pPr>
              <w:pStyle w:val="TableContents"/>
              <w:bidi w:val="0"/>
              <w:spacing w:before="0" w:after="283"/>
              <w:jc w:val="left"/>
              <w:rPr>
                <w:color w:val="0071CE"/>
              </w:rPr>
            </w:pPr>
            <w:r>
              <w:rPr>
                <w:color w:val="0071CE"/>
              </w:rPr>
              <w:t> </w:t>
            </w:r>
          </w:p>
        </w:tc>
        <w:tc>
          <w:tcPr>
            <w:tcW w:w="515" w:type="dxa"/>
            <w:tcBorders>
              <w:bottom w:val="single" w:sz="6" w:space="0" w:color="0071CE"/>
            </w:tcBorders>
            <w:shd w:fill="CCF2F8" w:val="clear"/>
            <w:tcMar>
              <w:bottom w:w="80" w:type="dxa"/>
            </w:tcMar>
            <w:vAlign w:val="center"/>
          </w:tcPr>
          <w:p>
            <w:pPr>
              <w:pStyle w:val="TableContents"/>
              <w:bidi w:val="0"/>
              <w:spacing w:before="0" w:after="283"/>
              <w:jc w:val="right"/>
              <w:rPr>
                <w:b/>
                <w:color w:val="0071CE"/>
              </w:rPr>
            </w:pPr>
            <w:r>
              <w:rPr>
                <w:b/>
                <w:color w:val="0071CE"/>
              </w:rPr>
              <w:t>16.4</w:t>
            </w:r>
          </w:p>
        </w:tc>
        <w:tc>
          <w:tcPr>
            <w:tcW w:w="335" w:type="dxa"/>
            <w:tcBorders>
              <w:bottom w:val="single" w:sz="6" w:space="0" w:color="0071CE"/>
            </w:tcBorders>
            <w:shd w:fill="CCF2F8" w:val="clear"/>
            <w:tcMar>
              <w:bottom w:w="80" w:type="dxa"/>
            </w:tcMar>
            <w:vAlign w:val="center"/>
          </w:tcPr>
          <w:p>
            <w:pPr>
              <w:pStyle w:val="TableContents"/>
              <w:bidi w:val="0"/>
              <w:spacing w:before="0" w:after="283"/>
              <w:jc w:val="left"/>
              <w:rPr>
                <w:color w:val="0071CE"/>
              </w:rPr>
            </w:pPr>
            <w:r>
              <w:rPr>
                <w:b/>
                <w:color w:val="0071CE"/>
              </w:rPr>
              <w:t>%</w:t>
            </w:r>
            <w:r>
              <w:rPr>
                <w:color w:val="0071CE"/>
              </w:rPr>
              <w:t>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305"/>
        <w:gridCol w:w="9035"/>
      </w:tblGrid>
      <w:tr>
        <w:trPr/>
        <w:tc>
          <w:tcPr>
            <w:tcW w:w="305" w:type="dxa"/>
            <w:tcBorders/>
            <w:vAlign w:val="center"/>
          </w:tcPr>
          <w:p>
            <w:pPr>
              <w:pStyle w:val="TableContents"/>
              <w:bidi w:val="0"/>
              <w:spacing w:before="0" w:after="283"/>
              <w:jc w:val="left"/>
              <w:rPr>
                <w:color w:val="3E3935"/>
              </w:rPr>
            </w:pPr>
            <w:r>
              <w:rPr>
                <w:color w:val="3E3935"/>
              </w:rPr>
              <w:t>(1)</w:t>
            </w:r>
          </w:p>
        </w:tc>
        <w:tc>
          <w:tcPr>
            <w:tcW w:w="903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Refer to the reconciliation of Net Income Attributable to Stockholders under GAAP to EBIT-adjusted above for adjustment details. </w:t>
            </w:r>
          </w:p>
        </w:tc>
      </w:tr>
    </w:tbl>
    <w:tbl>
      <w:tblPr>
        <w:tblW w:w="8230" w:type="dxa"/>
        <w:jc w:val="left"/>
        <w:tblInd w:w="0" w:type="dxa"/>
        <w:tblLayout w:type="fixed"/>
        <w:tblCellMar>
          <w:top w:w="0" w:type="dxa"/>
          <w:left w:w="0" w:type="dxa"/>
          <w:bottom w:w="0" w:type="dxa"/>
          <w:right w:w="0" w:type="dxa"/>
        </w:tblCellMar>
      </w:tblPr>
      <w:tblGrid>
        <w:gridCol w:w="305"/>
        <w:gridCol w:w="7925"/>
      </w:tblGrid>
      <w:tr>
        <w:trPr/>
        <w:tc>
          <w:tcPr>
            <w:tcW w:w="305" w:type="dxa"/>
            <w:tcBorders/>
            <w:vAlign w:val="center"/>
          </w:tcPr>
          <w:p>
            <w:pPr>
              <w:pStyle w:val="TableContents"/>
              <w:bidi w:val="0"/>
              <w:spacing w:before="0" w:after="283"/>
              <w:jc w:val="left"/>
              <w:rPr>
                <w:color w:val="3E3935"/>
              </w:rPr>
            </w:pPr>
            <w:r>
              <w:rPr>
                <w:color w:val="3E3935"/>
              </w:rPr>
              <w:t>(2)</w:t>
            </w:r>
          </w:p>
        </w:tc>
        <w:tc>
          <w:tcPr>
            <w:tcW w:w="7925"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Includes equity of noncontrolling interests where the corresponding earnings (loss) are included in EBIT-adjusted. </w:t>
            </w:r>
          </w:p>
        </w:tc>
      </w:tr>
    </w:tbl>
    <w:p>
      <w:pPr>
        <w:pStyle w:val="TextBody"/>
        <w:bidi w:val="0"/>
        <w:spacing w:before="360" w:after="0"/>
        <w:jc w:val="left"/>
        <w:rPr>
          <w:rFonts w:ascii="arial" w:hAnsi="arial"/>
          <w:b/>
          <w:color w:val="0071CE"/>
          <w:sz w:val="28"/>
        </w:rPr>
      </w:pPr>
      <w:r>
        <w:rPr>
          <w:rFonts w:ascii="arial" w:hAnsi="arial"/>
          <w:b/>
          <w:color w:val="0071CE"/>
          <w:sz w:val="28"/>
        </w:rPr>
        <w:t xml:space="preserve">Adjusted Automotive Free Cash Flow </w:t>
      </w:r>
    </w:p>
    <w:p>
      <w:pPr>
        <w:pStyle w:val="TextBody"/>
        <w:bidi w:val="0"/>
        <w:spacing w:before="120" w:after="0"/>
        <w:jc w:val="both"/>
        <w:rPr>
          <w:rFonts w:ascii="arial" w:hAnsi="arial"/>
          <w:color w:val="3E3935"/>
          <w:sz w:val="18"/>
        </w:rPr>
      </w:pPr>
      <w:r>
        <w:rPr>
          <w:rFonts w:ascii="arial" w:hAnsi="arial"/>
          <w:color w:val="3E3935"/>
          <w:sz w:val="18"/>
        </w:rPr>
        <w:t xml:space="preserve">In the section titled “Compensation Discussion and Analysis,” we present one of our incentive compensation measures, adjusted automotive free cash flow, which is not prepared in accordance with GAAP. Below is a reconciliation of adjusted automotive free cash flow (as calculated for incentive compensation purposes) to Net Automotive Cash Provided by Operating Activities, its nearest GAAP measure. The numbers in the table below may not sum due to rounding. </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6140"/>
        <w:gridCol w:w="120"/>
        <w:gridCol w:w="60"/>
        <w:gridCol w:w="395"/>
        <w:gridCol w:w="155"/>
        <w:gridCol w:w="60"/>
        <w:gridCol w:w="140"/>
        <w:gridCol w:w="515"/>
        <w:gridCol w:w="170"/>
      </w:tblGrid>
      <w:tr>
        <w:trPr/>
        <w:tc>
          <w:tcPr>
            <w:tcW w:w="6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8"/>
              </w:rPr>
            </w:pPr>
            <w:r>
              <w:rPr>
                <w:rFonts w:ascii="arial" w:hAnsi="arial"/>
                <w:b/>
                <w:color w:val="3E3935"/>
                <w:sz w:val="18"/>
              </w:rPr>
              <w:t>($B)</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455" w:type="dxa"/>
            <w:gridSpan w:val="2"/>
            <w:tcBorders>
              <w:bottom w:val="single" w:sz="6" w:space="0" w:color="0071CE"/>
            </w:tcBorders>
            <w:tcMar>
              <w:bottom w:w="28" w:type="dxa"/>
            </w:tcMar>
            <w:vAlign w:val="center"/>
          </w:tcPr>
          <w:p>
            <w:pPr>
              <w:pStyle w:val="TableContents"/>
              <w:bidi w:val="0"/>
              <w:spacing w:before="0" w:after="283"/>
              <w:jc w:val="left"/>
              <w:rPr/>
            </w:pPr>
            <w:r>
              <w:rPr/>
              <w:t>  </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655" w:type="dxa"/>
            <w:gridSpan w:val="2"/>
            <w:tcBorders>
              <w:bottom w:val="single" w:sz="6" w:space="0" w:color="0071CE"/>
            </w:tcBorders>
            <w:tcMar>
              <w:bottom w:w="80" w:type="dxa"/>
            </w:tcMar>
            <w:vAlign w:val="center"/>
          </w:tcPr>
          <w:p>
            <w:pPr>
              <w:pStyle w:val="TableContents"/>
              <w:bidi w:val="0"/>
              <w:spacing w:before="0" w:after="283"/>
              <w:jc w:val="center"/>
              <w:rPr>
                <w:b/>
                <w:color w:val="3E3935"/>
              </w:rPr>
            </w:pPr>
            <w:r>
              <w:rPr>
                <w:b/>
                <w:color w:val="3E3935"/>
              </w:rPr>
              <w:t>2023</w:t>
            </w:r>
          </w:p>
        </w:tc>
        <w:tc>
          <w:tcPr>
            <w:tcW w:w="170" w:type="dxa"/>
            <w:tcBorders>
              <w:bottom w:val="single" w:sz="6" w:space="0" w:color="0071CE"/>
            </w:tcBorders>
            <w:tcMar>
              <w:bottom w:w="28" w:type="dxa"/>
            </w:tcMar>
            <w:vAlign w:val="center"/>
          </w:tcPr>
          <w:p>
            <w:pPr>
              <w:pStyle w:val="TableContents"/>
              <w:bidi w:val="0"/>
              <w:spacing w:before="0" w:after="283"/>
              <w:jc w:val="left"/>
              <w:rPr/>
            </w:pPr>
            <w:r>
              <w:rPr/>
              <w:t> </w:t>
            </w:r>
          </w:p>
        </w:tc>
      </w:tr>
      <w:tr>
        <w:trPr/>
        <w:tc>
          <w:tcPr>
            <w:tcW w:w="614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6140" w:type="dxa"/>
            <w:tcBorders/>
            <w:shd w:fill="CCF2F8" w:val="clear"/>
            <w:vAlign w:val="center"/>
          </w:tcPr>
          <w:p>
            <w:pPr>
              <w:pStyle w:val="TableContents"/>
              <w:bidi w:val="0"/>
              <w:spacing w:before="0" w:after="0"/>
              <w:jc w:val="left"/>
              <w:rPr>
                <w:rFonts w:ascii="arial" w:hAnsi="arial"/>
                <w:b/>
                <w:color w:val="3E3935"/>
                <w:sz w:val="17"/>
              </w:rPr>
            </w:pPr>
            <w:r>
              <w:rPr>
                <w:rFonts w:ascii="arial" w:hAnsi="arial"/>
                <w:b/>
                <w:color w:val="3E3935"/>
                <w:sz w:val="17"/>
              </w:rPr>
              <w:t>Net Automotive Cash Provided by Operating Activities</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95" w:type="dxa"/>
            <w:tcBorders/>
            <w:shd w:fill="CCF2F8" w:val="clear"/>
            <w:vAlign w:val="center"/>
          </w:tcPr>
          <w:p>
            <w:pPr>
              <w:pStyle w:val="TableContents"/>
              <w:bidi w:val="0"/>
              <w:spacing w:before="0" w:after="283"/>
              <w:jc w:val="left"/>
              <w:rPr>
                <w:sz w:val="4"/>
                <w:szCs w:val="4"/>
              </w:rPr>
            </w:pPr>
            <w:r>
              <w:rPr>
                <w:sz w:val="4"/>
                <w:szCs w:val="4"/>
              </w:rPr>
            </w:r>
          </w:p>
        </w:tc>
        <w:tc>
          <w:tcPr>
            <w:tcW w:w="15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b/>
                <w:color w:val="3E3935"/>
              </w:rPr>
            </w:pPr>
            <w:r>
              <w:rPr>
                <w:b/>
                <w:color w:val="3E3935"/>
              </w:rPr>
              <w:t>$</w:t>
            </w:r>
          </w:p>
        </w:tc>
        <w:tc>
          <w:tcPr>
            <w:tcW w:w="515" w:type="dxa"/>
            <w:tcBorders/>
            <w:shd w:fill="CCF2F8" w:val="clear"/>
            <w:vAlign w:val="center"/>
          </w:tcPr>
          <w:p>
            <w:pPr>
              <w:pStyle w:val="TableContents"/>
              <w:bidi w:val="0"/>
              <w:spacing w:before="0" w:after="283"/>
              <w:jc w:val="right"/>
              <w:rPr>
                <w:b/>
                <w:color w:val="3E3935"/>
              </w:rPr>
            </w:pPr>
            <w:r>
              <w:rPr>
                <w:b/>
                <w:color w:val="3E3935"/>
              </w:rPr>
              <w:t>20.8</w:t>
            </w:r>
          </w:p>
        </w:tc>
        <w:tc>
          <w:tcPr>
            <w:tcW w:w="170" w:type="dxa"/>
            <w:tcBorders/>
            <w:shd w:fill="CCF2F8" w:val="clear"/>
            <w:vAlign w:val="center"/>
          </w:tcPr>
          <w:p>
            <w:pPr>
              <w:pStyle w:val="TableContents"/>
              <w:bidi w:val="0"/>
              <w:spacing w:before="0" w:after="283"/>
              <w:jc w:val="left"/>
              <w:rPr>
                <w:color w:val="3E3935"/>
              </w:rPr>
            </w:pPr>
            <w:r>
              <w:rPr>
                <w:color w:val="3E3935"/>
              </w:rPr>
              <w:t> </w:t>
            </w:r>
          </w:p>
        </w:tc>
      </w:tr>
      <w:tr>
        <w:trPr/>
        <w:tc>
          <w:tcPr>
            <w:tcW w:w="614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Less: Capital expenditures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3E3935"/>
              </w:rPr>
            </w:pPr>
            <w:r>
              <w:rPr>
                <w:color w:val="3E3935"/>
              </w:rPr>
              <w:t> </w:t>
            </w:r>
          </w:p>
        </w:tc>
        <w:tc>
          <w:tcPr>
            <w:tcW w:w="515" w:type="dxa"/>
            <w:tcBorders/>
            <w:vAlign w:val="center"/>
          </w:tcPr>
          <w:p>
            <w:pPr>
              <w:pStyle w:val="TableContents"/>
              <w:bidi w:val="0"/>
              <w:spacing w:before="0" w:after="283"/>
              <w:jc w:val="right"/>
              <w:rPr>
                <w:color w:val="3E3935"/>
              </w:rPr>
            </w:pPr>
            <w:r>
              <w:rPr>
                <w:color w:val="3E3935"/>
              </w:rPr>
              <w:t>(10.7</w:t>
            </w:r>
          </w:p>
        </w:tc>
        <w:tc>
          <w:tcPr>
            <w:tcW w:w="170" w:type="dxa"/>
            <w:tcBorders/>
            <w:vAlign w:val="center"/>
          </w:tcPr>
          <w:p>
            <w:pPr>
              <w:pStyle w:val="TableContents"/>
              <w:bidi w:val="0"/>
              <w:spacing w:before="0" w:after="283"/>
              <w:jc w:val="left"/>
              <w:rPr>
                <w:color w:val="3E3935"/>
              </w:rPr>
            </w:pPr>
            <w:r>
              <w:rPr>
                <w:color w:val="3E3935"/>
              </w:rPr>
              <w:t>) </w:t>
            </w:r>
          </w:p>
        </w:tc>
      </w:tr>
      <w:tr>
        <w:trPr/>
        <w:tc>
          <w:tcPr>
            <w:tcW w:w="614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614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Adjustments:</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95" w:type="dxa"/>
            <w:tcBorders/>
            <w:shd w:fill="CCF2F8" w:val="clear"/>
            <w:vAlign w:val="center"/>
          </w:tcPr>
          <w:p>
            <w:pPr>
              <w:pStyle w:val="TableContents"/>
              <w:bidi w:val="0"/>
              <w:spacing w:before="0" w:after="283"/>
              <w:jc w:val="left"/>
              <w:rPr>
                <w:sz w:val="4"/>
                <w:szCs w:val="4"/>
              </w:rPr>
            </w:pPr>
            <w:r>
              <w:rPr>
                <w:sz w:val="4"/>
                <w:szCs w:val="4"/>
              </w:rPr>
            </w:r>
          </w:p>
        </w:tc>
        <w:tc>
          <w:tcPr>
            <w:tcW w:w="15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sz w:val="4"/>
                <w:szCs w:val="4"/>
              </w:rPr>
            </w:pPr>
            <w:r>
              <w:rPr>
                <w:sz w:val="4"/>
                <w:szCs w:val="4"/>
              </w:rPr>
            </w:r>
          </w:p>
        </w:tc>
        <w:tc>
          <w:tcPr>
            <w:tcW w:w="515" w:type="dxa"/>
            <w:tcBorders/>
            <w:shd w:fill="CCF2F8" w:val="clear"/>
            <w:vAlign w:val="center"/>
          </w:tcPr>
          <w:p>
            <w:pPr>
              <w:pStyle w:val="TableContents"/>
              <w:bidi w:val="0"/>
              <w:spacing w:before="0" w:after="283"/>
              <w:jc w:val="left"/>
              <w:rPr>
                <w:sz w:val="4"/>
                <w:szCs w:val="4"/>
              </w:rPr>
            </w:pPr>
            <w:r>
              <w:rPr>
                <w:sz w:val="4"/>
                <w:szCs w:val="4"/>
              </w:rPr>
            </w:r>
          </w:p>
        </w:tc>
        <w:tc>
          <w:tcPr>
            <w:tcW w:w="170" w:type="dxa"/>
            <w:tcBorders/>
            <w:shd w:fill="CCF2F8" w:val="clear"/>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Add: Employee separation costs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95" w:type="dxa"/>
            <w:tcBorders/>
            <w:vAlign w:val="center"/>
          </w:tcPr>
          <w:p>
            <w:pPr>
              <w:pStyle w:val="TableContents"/>
              <w:bidi w:val="0"/>
              <w:spacing w:before="0" w:after="283"/>
              <w:jc w:val="right"/>
              <w:rPr>
                <w:color w:val="3E3935"/>
              </w:rPr>
            </w:pPr>
            <w:r>
              <w:rPr>
                <w:color w:val="3E3935"/>
              </w:rPr>
              <w:t>0.8</w:t>
            </w:r>
          </w:p>
        </w:tc>
        <w:tc>
          <w:tcPr>
            <w:tcW w:w="15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614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Add: Buick dealer strategy</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color w:val="3E3935"/>
              </w:rPr>
            </w:pPr>
            <w:r>
              <w:rPr>
                <w:color w:val="3E3935"/>
              </w:rPr>
              <w:t> </w:t>
            </w:r>
          </w:p>
        </w:tc>
        <w:tc>
          <w:tcPr>
            <w:tcW w:w="395" w:type="dxa"/>
            <w:tcBorders/>
            <w:shd w:fill="CCF2F8" w:val="clear"/>
            <w:vAlign w:val="center"/>
          </w:tcPr>
          <w:p>
            <w:pPr>
              <w:pStyle w:val="TableContents"/>
              <w:bidi w:val="0"/>
              <w:spacing w:before="0" w:after="283"/>
              <w:jc w:val="right"/>
              <w:rPr>
                <w:color w:val="3E3935"/>
              </w:rPr>
            </w:pPr>
            <w:r>
              <w:rPr>
                <w:color w:val="3E3935"/>
              </w:rPr>
              <w:t>0.7</w:t>
            </w:r>
          </w:p>
        </w:tc>
        <w:tc>
          <w:tcPr>
            <w:tcW w:w="155" w:type="dxa"/>
            <w:tcBorders/>
            <w:shd w:fill="CCF2F8" w:val="clear"/>
            <w:vAlign w:val="center"/>
          </w:tcPr>
          <w:p>
            <w:pPr>
              <w:pStyle w:val="TableContents"/>
              <w:bidi w:val="0"/>
              <w:spacing w:before="0" w:after="283"/>
              <w:jc w:val="left"/>
              <w:rPr>
                <w:color w:val="3E3935"/>
              </w:rPr>
            </w:pPr>
            <w:r>
              <w:rPr>
                <w:color w:val="3E3935"/>
              </w:rPr>
              <w:t> </w:t>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sz w:val="4"/>
                <w:szCs w:val="4"/>
              </w:rPr>
            </w:pPr>
            <w:r>
              <w:rPr>
                <w:sz w:val="4"/>
                <w:szCs w:val="4"/>
              </w:rPr>
            </w:r>
          </w:p>
        </w:tc>
        <w:tc>
          <w:tcPr>
            <w:tcW w:w="515" w:type="dxa"/>
            <w:tcBorders/>
            <w:shd w:fill="CCF2F8" w:val="clear"/>
            <w:vAlign w:val="center"/>
          </w:tcPr>
          <w:p>
            <w:pPr>
              <w:pStyle w:val="TableContents"/>
              <w:bidi w:val="0"/>
              <w:spacing w:before="0" w:after="283"/>
              <w:jc w:val="left"/>
              <w:rPr>
                <w:sz w:val="4"/>
                <w:szCs w:val="4"/>
              </w:rPr>
            </w:pPr>
            <w:r>
              <w:rPr>
                <w:sz w:val="4"/>
                <w:szCs w:val="4"/>
              </w:rPr>
            </w:r>
          </w:p>
        </w:tc>
        <w:tc>
          <w:tcPr>
            <w:tcW w:w="170" w:type="dxa"/>
            <w:tcBorders/>
            <w:shd w:fill="CCF2F8" w:val="clear"/>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0"/>
              <w:jc w:val="left"/>
              <w:rPr>
                <w:rFonts w:ascii="arial" w:hAnsi="arial"/>
                <w:color w:val="3E3935"/>
                <w:sz w:val="17"/>
              </w:rPr>
            </w:pPr>
            <w:r>
              <w:rPr>
                <w:rFonts w:ascii="arial" w:hAnsi="arial"/>
                <w:color w:val="3E3935"/>
                <w:sz w:val="17"/>
              </w:rPr>
              <w:t>Less: Incentive compensation adjustments(1)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E3935"/>
              </w:rPr>
            </w:pPr>
            <w:r>
              <w:rPr>
                <w:color w:val="3E3935"/>
              </w:rPr>
              <w:t> </w:t>
            </w:r>
          </w:p>
        </w:tc>
        <w:tc>
          <w:tcPr>
            <w:tcW w:w="395" w:type="dxa"/>
            <w:tcBorders/>
            <w:vAlign w:val="center"/>
          </w:tcPr>
          <w:p>
            <w:pPr>
              <w:pStyle w:val="TableContents"/>
              <w:bidi w:val="0"/>
              <w:spacing w:before="0" w:after="283"/>
              <w:jc w:val="right"/>
              <w:rPr>
                <w:color w:val="3E3935"/>
              </w:rPr>
            </w:pPr>
            <w:r>
              <w:rPr>
                <w:color w:val="3E3935"/>
              </w:rPr>
              <w:t>(3.2</w:t>
            </w:r>
          </w:p>
        </w:tc>
        <w:tc>
          <w:tcPr>
            <w:tcW w:w="155" w:type="dxa"/>
            <w:tcBorders/>
            <w:vAlign w:val="center"/>
          </w:tcPr>
          <w:p>
            <w:pPr>
              <w:pStyle w:val="TableContents"/>
              <w:bidi w:val="0"/>
              <w:spacing w:before="0" w:after="283"/>
              <w:jc w:val="left"/>
              <w:rPr>
                <w:color w:val="3E3935"/>
              </w:rPr>
            </w:pPr>
            <w:r>
              <w:rPr>
                <w:color w:val="3E3935"/>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0" w:type="dxa"/>
            <w:tcBorders/>
            <w:shd w:fill="CCF2F8" w:val="clear"/>
            <w:vAlign w:val="center"/>
          </w:tcPr>
          <w:p>
            <w:pPr>
              <w:pStyle w:val="TableContents"/>
              <w:bidi w:val="0"/>
              <w:spacing w:before="0" w:after="283"/>
              <w:jc w:val="left"/>
              <w:rPr>
                <w:sz w:val="4"/>
                <w:szCs w:val="4"/>
              </w:rPr>
            </w:pPr>
            <w:r>
              <w:rPr>
                <w:sz w:val="4"/>
                <w:szCs w:val="4"/>
              </w:rPr>
            </w:r>
          </w:p>
        </w:tc>
        <w:tc>
          <w:tcPr>
            <w:tcW w:w="730" w:type="dxa"/>
            <w:gridSpan w:val="4"/>
            <w:tcBorders/>
            <w:shd w:fill="CCF2F8" w:val="clear"/>
            <w:vAlign w:val="center"/>
          </w:tcPr>
          <w:p>
            <w:pPr>
              <w:pStyle w:val="TableContents"/>
              <w:bidi w:val="0"/>
              <w:spacing w:before="0" w:after="283"/>
              <w:jc w:val="left"/>
              <w:rPr>
                <w:sz w:val="4"/>
                <w:szCs w:val="4"/>
              </w:rPr>
            </w:pPr>
            <w:r>
              <w:rPr>
                <w:sz w:val="4"/>
                <w:szCs w:val="4"/>
              </w:rPr>
            </w:r>
          </w:p>
        </w:tc>
        <w:tc>
          <w:tcPr>
            <w:tcW w:w="885" w:type="dxa"/>
            <w:gridSpan w:val="4"/>
            <w:tcBorders/>
            <w:shd w:fill="CCF2F8" w:val="clear"/>
            <w:vAlign w:val="center"/>
          </w:tcPr>
          <w:p>
            <w:pPr>
              <w:pStyle w:val="TableContents"/>
              <w:bidi w:val="0"/>
              <w:spacing w:before="0" w:after="283"/>
              <w:jc w:val="left"/>
              <w:rPr>
                <w:sz w:val="4"/>
                <w:szCs w:val="4"/>
              </w:rPr>
            </w:pPr>
            <w:r>
              <w:rPr>
                <w:sz w:val="4"/>
                <w:szCs w:val="4"/>
              </w:rPr>
            </w:r>
          </w:p>
        </w:tc>
      </w:tr>
      <w:tr>
        <w:trPr/>
        <w:tc>
          <w:tcPr>
            <w:tcW w:w="6140" w:type="dxa"/>
            <w:tcBorders/>
            <w:shd w:fill="CCF2F8" w:val="clear"/>
            <w:vAlign w:val="center"/>
          </w:tcPr>
          <w:p>
            <w:pPr>
              <w:pStyle w:val="TableContents"/>
              <w:bidi w:val="0"/>
              <w:spacing w:before="0" w:after="0"/>
              <w:jc w:val="left"/>
              <w:rPr>
                <w:rFonts w:ascii="arial" w:hAnsi="arial"/>
                <w:color w:val="3E3935"/>
                <w:sz w:val="17"/>
              </w:rPr>
            </w:pPr>
            <w:r>
              <w:rPr>
                <w:rFonts w:ascii="arial" w:hAnsi="arial"/>
                <w:color w:val="3E3935"/>
                <w:sz w:val="17"/>
              </w:rPr>
              <w:t>Total adjustments</w:t>
            </w:r>
          </w:p>
        </w:tc>
        <w:tc>
          <w:tcPr>
            <w:tcW w:w="120" w:type="dxa"/>
            <w:tcBorders/>
            <w:shd w:fill="CCF2F8" w:val="clear"/>
            <w:vAlign w:val="center"/>
          </w:tcPr>
          <w:p>
            <w:pPr>
              <w:pStyle w:val="TableContents"/>
              <w:bidi w:val="0"/>
              <w:spacing w:before="0" w:after="283"/>
              <w:jc w:val="left"/>
              <w:rPr/>
            </w:pPr>
            <w:r>
              <w:rPr/>
              <w:t>  </w:t>
            </w:r>
          </w:p>
        </w:tc>
        <w:tc>
          <w:tcPr>
            <w:tcW w:w="60" w:type="dxa"/>
            <w:tcBorders/>
            <w:shd w:fill="CCF2F8" w:val="clear"/>
            <w:vAlign w:val="center"/>
          </w:tcPr>
          <w:p>
            <w:pPr>
              <w:pStyle w:val="TableContents"/>
              <w:bidi w:val="0"/>
              <w:spacing w:before="0" w:after="283"/>
              <w:jc w:val="left"/>
              <w:rPr>
                <w:sz w:val="4"/>
                <w:szCs w:val="4"/>
              </w:rPr>
            </w:pPr>
            <w:r>
              <w:rPr>
                <w:sz w:val="4"/>
                <w:szCs w:val="4"/>
              </w:rPr>
            </w:r>
          </w:p>
        </w:tc>
        <w:tc>
          <w:tcPr>
            <w:tcW w:w="395" w:type="dxa"/>
            <w:tcBorders/>
            <w:shd w:fill="CCF2F8" w:val="clear"/>
            <w:vAlign w:val="center"/>
          </w:tcPr>
          <w:p>
            <w:pPr>
              <w:pStyle w:val="TableContents"/>
              <w:bidi w:val="0"/>
              <w:spacing w:before="0" w:after="283"/>
              <w:jc w:val="left"/>
              <w:rPr>
                <w:sz w:val="4"/>
                <w:szCs w:val="4"/>
              </w:rPr>
            </w:pPr>
            <w:r>
              <w:rPr>
                <w:sz w:val="4"/>
                <w:szCs w:val="4"/>
              </w:rPr>
            </w:r>
          </w:p>
        </w:tc>
        <w:tc>
          <w:tcPr>
            <w:tcW w:w="155" w:type="dxa"/>
            <w:tcBorders/>
            <w:shd w:fill="CCF2F8" w:val="clear"/>
            <w:vAlign w:val="center"/>
          </w:tcPr>
          <w:p>
            <w:pPr>
              <w:pStyle w:val="TableContents"/>
              <w:bidi w:val="0"/>
              <w:spacing w:before="0" w:after="283"/>
              <w:jc w:val="left"/>
              <w:rPr>
                <w:sz w:val="4"/>
                <w:szCs w:val="4"/>
              </w:rPr>
            </w:pPr>
            <w:r>
              <w:rPr>
                <w:sz w:val="4"/>
                <w:szCs w:val="4"/>
              </w:rPr>
            </w:r>
          </w:p>
        </w:tc>
        <w:tc>
          <w:tcPr>
            <w:tcW w:w="60" w:type="dxa"/>
            <w:tcBorders/>
            <w:shd w:fill="CCF2F8" w:val="clear"/>
            <w:vAlign w:val="center"/>
          </w:tcPr>
          <w:p>
            <w:pPr>
              <w:pStyle w:val="TableContents"/>
              <w:bidi w:val="0"/>
              <w:spacing w:before="0" w:after="283"/>
              <w:jc w:val="left"/>
              <w:rPr/>
            </w:pPr>
            <w:r>
              <w:rPr/>
              <w:t> </w:t>
            </w:r>
          </w:p>
        </w:tc>
        <w:tc>
          <w:tcPr>
            <w:tcW w:w="140" w:type="dxa"/>
            <w:tcBorders/>
            <w:shd w:fill="CCF2F8" w:val="clear"/>
            <w:vAlign w:val="center"/>
          </w:tcPr>
          <w:p>
            <w:pPr>
              <w:pStyle w:val="TableContents"/>
              <w:bidi w:val="0"/>
              <w:spacing w:before="0" w:after="283"/>
              <w:jc w:val="left"/>
              <w:rPr>
                <w:color w:val="3E3935"/>
              </w:rPr>
            </w:pPr>
            <w:r>
              <w:rPr>
                <w:color w:val="3E3935"/>
              </w:rPr>
              <w:t> </w:t>
            </w:r>
          </w:p>
        </w:tc>
        <w:tc>
          <w:tcPr>
            <w:tcW w:w="515" w:type="dxa"/>
            <w:tcBorders/>
            <w:shd w:fill="CCF2F8" w:val="clear"/>
            <w:vAlign w:val="center"/>
          </w:tcPr>
          <w:p>
            <w:pPr>
              <w:pStyle w:val="TableContents"/>
              <w:bidi w:val="0"/>
              <w:spacing w:before="0" w:after="283"/>
              <w:jc w:val="right"/>
              <w:rPr>
                <w:color w:val="3E3935"/>
              </w:rPr>
            </w:pPr>
            <w:r>
              <w:rPr>
                <w:color w:val="3E3935"/>
              </w:rPr>
              <w:t>(1.7</w:t>
            </w:r>
          </w:p>
        </w:tc>
        <w:tc>
          <w:tcPr>
            <w:tcW w:w="170" w:type="dxa"/>
            <w:tcBorders/>
            <w:shd w:fill="CCF2F8" w:val="clear"/>
            <w:vAlign w:val="center"/>
          </w:tcPr>
          <w:p>
            <w:pPr>
              <w:pStyle w:val="TableContents"/>
              <w:bidi w:val="0"/>
              <w:spacing w:before="0" w:after="283"/>
              <w:jc w:val="left"/>
              <w:rPr>
                <w:color w:val="3E3935"/>
              </w:rPr>
            </w:pPr>
            <w:r>
              <w:rPr>
                <w:color w:val="3E3935"/>
              </w:rPr>
              <w:t>) </w:t>
            </w:r>
          </w:p>
        </w:tc>
      </w:tr>
      <w:tr>
        <w:trPr/>
        <w:tc>
          <w:tcPr>
            <w:tcW w:w="6140"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6140" w:type="dxa"/>
            <w:tcBorders>
              <w:bottom w:val="single" w:sz="6" w:space="0" w:color="0071CE"/>
            </w:tcBorders>
            <w:tcMar>
              <w:bottom w:w="80" w:type="dxa"/>
            </w:tcMar>
            <w:vAlign w:val="center"/>
          </w:tcPr>
          <w:p>
            <w:pPr>
              <w:pStyle w:val="TableContents"/>
              <w:bidi w:val="0"/>
              <w:spacing w:before="0" w:after="0"/>
              <w:jc w:val="left"/>
              <w:rPr>
                <w:rFonts w:ascii="arial" w:hAnsi="arial"/>
                <w:b/>
                <w:color w:val="3E3935"/>
                <w:sz w:val="17"/>
              </w:rPr>
            </w:pPr>
            <w:r>
              <w:rPr>
                <w:rFonts w:ascii="arial" w:hAnsi="arial"/>
                <w:b/>
                <w:color w:val="3E3935"/>
                <w:sz w:val="17"/>
              </w:rPr>
              <w:t>Adjusted Automotive Free Cash Flow (for incentive compensation purposes)</w:t>
            </w:r>
          </w:p>
        </w:tc>
        <w:tc>
          <w:tcPr>
            <w:tcW w:w="120"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395" w:type="dxa"/>
            <w:tcBorders>
              <w:bottom w:val="single" w:sz="6" w:space="0" w:color="0071CE"/>
            </w:tcBorders>
            <w:tcMar>
              <w:bottom w:w="28" w:type="dxa"/>
            </w:tcMar>
            <w:vAlign w:val="center"/>
          </w:tcPr>
          <w:p>
            <w:pPr>
              <w:pStyle w:val="TableContents"/>
              <w:bidi w:val="0"/>
              <w:spacing w:before="0" w:after="283"/>
              <w:jc w:val="left"/>
              <w:rPr/>
            </w:pPr>
            <w:r>
              <w:rPr/>
              <w:t> </w:t>
            </w:r>
          </w:p>
        </w:tc>
        <w:tc>
          <w:tcPr>
            <w:tcW w:w="155" w:type="dxa"/>
            <w:tcBorders>
              <w:bottom w:val="single" w:sz="6" w:space="0" w:color="0071CE"/>
            </w:tcBorders>
            <w:tcMar>
              <w:bottom w:w="28" w:type="dxa"/>
            </w:tcMar>
            <w:vAlign w:val="center"/>
          </w:tcPr>
          <w:p>
            <w:pPr>
              <w:pStyle w:val="TableContents"/>
              <w:bidi w:val="0"/>
              <w:spacing w:before="0" w:after="283"/>
              <w:jc w:val="left"/>
              <w:rPr/>
            </w:pPr>
            <w:r>
              <w:rPr/>
              <w:t> </w:t>
            </w:r>
          </w:p>
        </w:tc>
        <w:tc>
          <w:tcPr>
            <w:tcW w:w="60" w:type="dxa"/>
            <w:tcBorders>
              <w:bottom w:val="single" w:sz="6" w:space="0" w:color="0071CE"/>
            </w:tcBorders>
            <w:tcMar>
              <w:bottom w:w="28" w:type="dxa"/>
            </w:tcMar>
            <w:vAlign w:val="center"/>
          </w:tcPr>
          <w:p>
            <w:pPr>
              <w:pStyle w:val="TableContents"/>
              <w:bidi w:val="0"/>
              <w:spacing w:before="0" w:after="283"/>
              <w:jc w:val="left"/>
              <w:rPr/>
            </w:pPr>
            <w:r>
              <w:rPr/>
              <w:t> </w:t>
            </w:r>
          </w:p>
        </w:tc>
        <w:tc>
          <w:tcPr>
            <w:tcW w:w="140" w:type="dxa"/>
            <w:tcBorders>
              <w:bottom w:val="single" w:sz="6" w:space="0" w:color="0071CE"/>
            </w:tcBorders>
            <w:tcMar>
              <w:bottom w:w="80" w:type="dxa"/>
            </w:tcMar>
            <w:vAlign w:val="center"/>
          </w:tcPr>
          <w:p>
            <w:pPr>
              <w:pStyle w:val="TableContents"/>
              <w:bidi w:val="0"/>
              <w:spacing w:before="0" w:after="283"/>
              <w:jc w:val="left"/>
              <w:rPr>
                <w:b/>
                <w:color w:val="3E3935"/>
              </w:rPr>
            </w:pPr>
            <w:r>
              <w:rPr>
                <w:b/>
                <w:color w:val="3E3935"/>
              </w:rPr>
              <w:t>$</w:t>
            </w:r>
          </w:p>
        </w:tc>
        <w:tc>
          <w:tcPr>
            <w:tcW w:w="515" w:type="dxa"/>
            <w:tcBorders>
              <w:bottom w:val="single" w:sz="6" w:space="0" w:color="0071CE"/>
            </w:tcBorders>
            <w:tcMar>
              <w:bottom w:w="80" w:type="dxa"/>
            </w:tcMar>
            <w:vAlign w:val="center"/>
          </w:tcPr>
          <w:p>
            <w:pPr>
              <w:pStyle w:val="TableContents"/>
              <w:bidi w:val="0"/>
              <w:spacing w:before="0" w:after="283"/>
              <w:jc w:val="right"/>
              <w:rPr>
                <w:b/>
                <w:color w:val="3E3935"/>
              </w:rPr>
            </w:pPr>
            <w:r>
              <w:rPr>
                <w:b/>
                <w:color w:val="3E3935"/>
              </w:rPr>
              <w:t>8.4</w:t>
            </w:r>
          </w:p>
        </w:tc>
        <w:tc>
          <w:tcPr>
            <w:tcW w:w="170" w:type="dxa"/>
            <w:tcBorders>
              <w:bottom w:val="single" w:sz="6" w:space="0" w:color="0071CE"/>
            </w:tcBorders>
            <w:tcMar>
              <w:bottom w:w="80" w:type="dxa"/>
            </w:tcMar>
            <w:vAlign w:val="center"/>
          </w:tcPr>
          <w:p>
            <w:pPr>
              <w:pStyle w:val="TableContents"/>
              <w:bidi w:val="0"/>
              <w:spacing w:before="0" w:after="283"/>
              <w:jc w:val="left"/>
              <w:rPr>
                <w:color w:val="3E3935"/>
              </w:rPr>
            </w:pPr>
            <w:r>
              <w:rPr>
                <w:color w:val="3E393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color w:val="3E3935"/>
              </w:rPr>
            </w:pPr>
            <w:r>
              <w:rPr>
                <w:color w:val="3E3935"/>
              </w:rPr>
              <w:t>(1)</w:t>
            </w:r>
          </w:p>
        </w:tc>
        <w:tc>
          <w:tcPr>
            <w:tcW w:w="9949" w:type="dxa"/>
            <w:tcBorders/>
            <w:vAlign w:val="center"/>
          </w:tcPr>
          <w:p>
            <w:pPr>
              <w:pStyle w:val="TableContents"/>
              <w:bidi w:val="0"/>
              <w:spacing w:before="0" w:after="0"/>
              <w:jc w:val="both"/>
              <w:rPr>
                <w:rFonts w:ascii="arial" w:hAnsi="arial"/>
                <w:color w:val="3E3935"/>
                <w:sz w:val="15"/>
              </w:rPr>
            </w:pPr>
            <w:r>
              <w:rPr>
                <w:rFonts w:ascii="arial" w:hAnsi="arial"/>
                <w:color w:val="3E3935"/>
                <w:sz w:val="15"/>
              </w:rPr>
              <w:t xml:space="preserve">Adjusted for incentive compensation purposes to add back certain recall-related expenses attributable to events occurring in 2014. In addition, at the recommendation of management, and with the approval of the Compensation Committee, this measure was adjusted downward for events that impacted EBIT-adjusted in 2023, but will impact cash flows in future periods. </w:t>
            </w:r>
          </w:p>
        </w:tc>
      </w:tr>
    </w:tbl>
    <w:p>
      <w:pPr>
        <w:pStyle w:val="TextBody"/>
        <w:bidi w:val="0"/>
        <w:spacing w:before="0" w:after="0"/>
        <w:jc w:val="left"/>
        <w:rPr/>
      </w:pPr>
      <w:r>
        <w:rPr/>
        <w:t> </w:t>
      </w:r>
    </w:p>
    <w:tbl>
      <w:tblPr>
        <w:tblW w:w="6818" w:type="dxa"/>
        <w:jc w:val="left"/>
        <w:tblInd w:w="0" w:type="dxa"/>
        <w:tblLayout w:type="fixed"/>
        <w:tblCellMar>
          <w:top w:w="0" w:type="dxa"/>
          <w:left w:w="0" w:type="dxa"/>
          <w:bottom w:w="0" w:type="dxa"/>
          <w:right w:w="0" w:type="dxa"/>
        </w:tblCellMar>
      </w:tblPr>
      <w:tblGrid>
        <w:gridCol w:w="410"/>
        <w:gridCol w:w="60"/>
        <w:gridCol w:w="192"/>
        <w:gridCol w:w="60"/>
        <w:gridCol w:w="5855"/>
        <w:gridCol w:w="60"/>
        <w:gridCol w:w="23"/>
        <w:gridCol w:w="120"/>
        <w:gridCol w:w="38"/>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spacing w:before="0" w:after="283"/>
              <w:jc w:val="left"/>
              <w:rPr>
                <w:b/>
                <w:color w:val="0071CE"/>
              </w:rPr>
            </w:pPr>
            <w:r>
              <w:rPr>
                <w:b/>
                <w:color w:val="0071CE"/>
              </w:rPr>
              <w:t>A-2</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drawing>
                <wp:inline distT="0" distB="0" distL="0" distR="0">
                  <wp:extent cx="83820" cy="14605"/>
                  <wp:effectExtent l="0" t="0" r="0" b="0"/>
                  <wp:docPr id="360"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89" descr=""/>
                          <pic:cNvPicPr>
                            <a:picLocks noChangeAspect="1" noChangeArrowheads="1"/>
                          </pic:cNvPicPr>
                        </pic:nvPicPr>
                        <pic:blipFill>
                          <a:blip r:embed="rId343"/>
                          <a:stretch>
                            <a:fillRect/>
                          </a:stretch>
                        </pic:blipFill>
                        <pic:spPr bwMode="auto">
                          <a:xfrm>
                            <a:off x="0" y="0"/>
                            <a:ext cx="83820"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b/>
                <w:color w:val="3E3935"/>
              </w:rPr>
            </w:pPr>
            <w:r>
              <w:rPr>
                <w:b/>
                <w:color w:val="3E3935"/>
              </w:rPr>
              <w:t>APPENDIX A: NON-GAAP FINANCIAL MEASURES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center"/>
        <w:rPr>
          <w:rFonts w:ascii="arial" w:hAnsi="arial"/>
          <w:color w:val="3E3935"/>
          <w:sz w:val="18"/>
        </w:rPr>
      </w:pPr>
      <w:r>
        <w:rPr>
          <w:rFonts w:ascii="arial" w:hAnsi="arial"/>
          <w:color w:val="3E3935"/>
          <w:sz w:val="18"/>
        </w:rPr>
        <w:t xml:space="preserve">[THIS PAGE INTENTIONALLY LEFT BLANK]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center"/>
        <w:rPr>
          <w:rFonts w:ascii="arial" w:hAnsi="arial"/>
          <w:color w:val="3E3935"/>
          <w:sz w:val="18"/>
        </w:rPr>
      </w:pPr>
      <w:r>
        <w:rPr>
          <w:rFonts w:ascii="arial" w:hAnsi="arial"/>
          <w:color w:val="3E3935"/>
          <w:sz w:val="18"/>
        </w:rPr>
        <w:t xml:space="preserve">[THIS PAGE INTENTIONALLY LEFT BLANK]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19925" cy="9144000"/>
            <wp:effectExtent l="0" t="0" r="0" b="0"/>
            <wp:docPr id="361"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90" descr=""/>
                    <pic:cNvPicPr>
                      <a:picLocks noChangeAspect="1" noChangeArrowheads="1"/>
                    </pic:cNvPicPr>
                  </pic:nvPicPr>
                  <pic:blipFill>
                    <a:blip r:embed="rId344"/>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EMPOWERED BY ultium ZERO CRASHES ZERO EMISSIONS ZERO CONGESTION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106025"/>
            <wp:effectExtent l="0" t="0" r="0" b="0"/>
            <wp:docPr id="362"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91" descr=""/>
                    <pic:cNvPicPr>
                      <a:picLocks noChangeAspect="1" noChangeArrowheads="1"/>
                    </pic:cNvPicPr>
                  </pic:nvPicPr>
                  <pic:blipFill>
                    <a:blip r:embed="rId345"/>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GENERAL MOTORS COMPANY GENERAL MOTORS GLOBAL HEADQUARTERS MAIL CODE 482-C24-A68 300 RENAISSANCE CENTER DETROIT, MI 48265 SCAN TO VIEW MATERIALS &amp; VOTE VOTE BY INTERNET Before The Meeting - Go to www.proxyvote.com or scan the QR Barcode above Use the internet to transmit your voting instructions and for electronic delivery of information up until 11:59 p.m. Eastern Time on Monday, June 3, 2024. Have your proxy card in hand when you access the website and follow the instructions to obtain your records and to create an electronic voting instruction form. During The Meeting - Go to www.virtualshareholdermeeting.com/GM2024 You may attend the meeting via the internet and vote during the meeting. Have the information that is printed in the box marked by the arrow available and follow the instructions. VOTE BY TELEPHONE - 1-800-690-6903 Use any touch-tone telephone to transmit your voting instructions up until 11:59 p.m. Eastern Time on Monday, June 3, 2024. Have your proxy card in hand when you call and then follow the instructions. If you vote by internet or telephone, do not mail this proxy card. VOTE BY MAIL Mark, sign, and date this proxy card and promptly return it in the enclosed postage-paid envelope or return it to: Vote Processing, c/o Broadridge, 51 Mercedes Way, Edgewood, NY 11717. TO VOTE, MARK BLOCKS BELOW IN BLUE OR BLACK INK AS FOLLOWS: V46894-P10415 KEEP THIS PORTION FOR YOUR RECORDS THIS PROXY CARD IS VALID ONLY WHEN SIGNED AND DATED. DETACH AND RETURN THIS PORTION ONLY GENERAL MOTORS COMPANY If you wish to vote in accordance with the Board of Directors’ recommendations, you need only sign, date, and return this proxy card. The Board of Directors recommends you vote FOR each Board nominee listed in Item 1. 1. Election of Directors For Against Abstain Nominees: 1a. Mary T. Barra The Board of Directors recommends you vote FOR Board Items For Against Abstain 2 and 3. 1b. Wesley G. Bush 2. Ratification of the Selection of Ernst &amp; Young LLP as the Company’s Independent Registered Public Accounting Firm for 2024 1c. Joanne C. Crevoiserat 3. Advisory Approval of Named Executive Officer Compensation 1d. Linda R. Gooden The Board of Directors recommends you vote AGAINST shareholder For Against Abstain Items 4, 5, 6, and 7.4. Shareholder Proposal Requesting a Report on the Use of Child 1e. Joseph Jimenez Labor in Connection with the Company’s EV Supply Chain 1f. Jonathan McNeill 5. Shareholder Proposal to Eliminate EV Targets from Incentive Compensation Programs 1g. Judith A. Miscik 6. Shareholder Proposal Requesting a Report on the Company’s Use of Deep-Sea Mined Minerals in its Production and Supply Chains 1h. Patricia F. Russo 7. Shareholder Proposal Requesting a Report on Sustainability Risk in the Company’s Supply Chain 1i. Thomas M. Schoewe 1j. Mark A. Tatum 1k. Jan E. Tighe 1l. Devin N. Wenig NOTE: Please sign exactly as your name(s) appear(s) hereon. When shares are held jointly, each holder should sign. When signing as attorney, executor, administrator, guardian, trustee, custodian, or in any other representative capacity, give full title as such. Corporations should provide the full name of corporation and name and title of the authorized officer signing the proxy card.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106025"/>
            <wp:effectExtent l="0" t="0" r="0" b="0"/>
            <wp:docPr id="363"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92" descr=""/>
                    <pic:cNvPicPr>
                      <a:picLocks noChangeAspect="1" noChangeArrowheads="1"/>
                    </pic:cNvPicPr>
                  </pic:nvPicPr>
                  <pic:blipFill>
                    <a:blip r:embed="rId346"/>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both"/>
        <w:rPr>
          <w:rFonts w:ascii="arial" w:hAnsi="arial"/>
          <w:color w:val="FFFFFF"/>
          <w:sz w:val="2"/>
        </w:rPr>
      </w:pPr>
      <w:r>
        <w:rPr>
          <w:rFonts w:ascii="arial" w:hAnsi="arial"/>
          <w:color w:val="FFFFFF"/>
          <w:sz w:val="2"/>
        </w:rPr>
        <w:t xml:space="preserve">Important Notice Regarding the Availability of Proxy Materials for the Annual Meeting: The Proxy Statement, Notice of 2024 Annual Meeting of Shareholders and 2023 Annual Report are available at www.proxyvote.com. Meeting Information Meeting Type: Annual Meeting For holders as of: April 15, 2024 Date: June 4, 2024 Time: 11:00 a.m. Eastern Time Location: Meeting live via the internet only - please visit www.virtualshareholdermeeting.com/GM2024. The company will be hosting the meeting live via the internet only this year. To attend the meeting via the internet please visit www.virtualshareholdermeeting.com/GM2024 and be sure to have the information that is printed in the box marked by the arrow XXXX XXXX XXXX XXXX (located on the reverse side of this proxy card). PLEASE VOTE TODAY! SEE REVERSE SIDE FOR THREE EASY WAYS TO VOTE V46895-P10415 THIS PROXY IS SOLICITED ON BEHALF OF THE BOARD OF DIRECTORS The undersigned shareholder(s) of General Motors Company authorize(s) Mary T. Barra, Craig B. Glidden, and John S. Kim, and each of them, as proxies with full power of substitution, to vote the common stock of the undersigned in the manner specified on this proxy card and in their discretion upon all other matters (including on the election of any nominees for director that are not identified on this proxy) that may come before the 2024 Annual Meeting of Shareholders of General Motors Company, to be held at 11:00 a.m. Eastern Time on June 4, 2024, or any adjournment or postponement thereof. The undersigned hereby revokes all proxies previously given. On matters for which you do not specify a choice, the shares will be voted in accordance with the recommendation of the Board of Directors; therefore, if no direction is made, this proxy will be voted FOR General Motors Company’s director nominees in Item 1; FOR Items 2 and 3; and AGAINST Items 4, 5, 6, and 7. YOUR VOTE IS VERY IMPORTANT - PLEASE VOTE TODAY Please see the reverse side for internet, mail, and telephone voting instructions. (Continued and to be marked, signed, and dated on the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8.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8.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8.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8.jpeg"/><Relationship Id="rId30" Type="http://schemas.openxmlformats.org/officeDocument/2006/relationships/image" Target="media/image20.jpeg"/><Relationship Id="rId31" Type="http://schemas.openxmlformats.org/officeDocument/2006/relationships/image" Target="media/image8.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25.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image" Target="media/image36.jpeg"/><Relationship Id="rId48" Type="http://schemas.openxmlformats.org/officeDocument/2006/relationships/image" Target="media/image37.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41.jpeg"/><Relationship Id="rId53" Type="http://schemas.openxmlformats.org/officeDocument/2006/relationships/image" Target="media/image42.jpeg"/><Relationship Id="rId54" Type="http://schemas.openxmlformats.org/officeDocument/2006/relationships/image" Target="media/image8.jpeg"/><Relationship Id="rId55" Type="http://schemas.openxmlformats.org/officeDocument/2006/relationships/image" Target="media/image43.jpeg"/><Relationship Id="rId56" Type="http://schemas.openxmlformats.org/officeDocument/2006/relationships/image" Target="media/image44.jpeg"/><Relationship Id="rId57" Type="http://schemas.openxmlformats.org/officeDocument/2006/relationships/image" Target="media/image45.jpeg"/><Relationship Id="rId58" Type="http://schemas.openxmlformats.org/officeDocument/2006/relationships/image" Target="media/image46.jpeg"/><Relationship Id="rId59" Type="http://schemas.openxmlformats.org/officeDocument/2006/relationships/image" Target="media/image47.jpeg"/><Relationship Id="rId60" Type="http://schemas.openxmlformats.org/officeDocument/2006/relationships/image" Target="media/image48.jpeg"/><Relationship Id="rId61" Type="http://schemas.openxmlformats.org/officeDocument/2006/relationships/image" Target="media/image49.jpeg"/><Relationship Id="rId62" Type="http://schemas.openxmlformats.org/officeDocument/2006/relationships/image" Target="media/image50.jpeg"/><Relationship Id="rId63" Type="http://schemas.openxmlformats.org/officeDocument/2006/relationships/image" Target="media/image51.jpeg"/><Relationship Id="rId64" Type="http://schemas.openxmlformats.org/officeDocument/2006/relationships/image" Target="media/image52.jpeg"/><Relationship Id="rId65" Type="http://schemas.openxmlformats.org/officeDocument/2006/relationships/image" Target="media/image44.jpeg"/><Relationship Id="rId66" Type="http://schemas.openxmlformats.org/officeDocument/2006/relationships/image" Target="media/image46.jpeg"/><Relationship Id="rId67" Type="http://schemas.openxmlformats.org/officeDocument/2006/relationships/image" Target="media/image47.jpeg"/><Relationship Id="rId68" Type="http://schemas.openxmlformats.org/officeDocument/2006/relationships/image" Target="media/image48.jpeg"/><Relationship Id="rId69" Type="http://schemas.openxmlformats.org/officeDocument/2006/relationships/image" Target="media/image49.jpeg"/><Relationship Id="rId70" Type="http://schemas.openxmlformats.org/officeDocument/2006/relationships/image" Target="media/image53.jpeg"/><Relationship Id="rId71" Type="http://schemas.openxmlformats.org/officeDocument/2006/relationships/image" Target="media/image50.jpeg"/><Relationship Id="rId72" Type="http://schemas.openxmlformats.org/officeDocument/2006/relationships/image" Target="media/image54.jpeg"/><Relationship Id="rId73" Type="http://schemas.openxmlformats.org/officeDocument/2006/relationships/image" Target="media/image52.jpeg"/><Relationship Id="rId74" Type="http://schemas.openxmlformats.org/officeDocument/2006/relationships/image" Target="media/image44.jpeg"/><Relationship Id="rId75" Type="http://schemas.openxmlformats.org/officeDocument/2006/relationships/image" Target="media/image46.jpeg"/><Relationship Id="rId76" Type="http://schemas.openxmlformats.org/officeDocument/2006/relationships/image" Target="media/image47.jpeg"/><Relationship Id="rId77" Type="http://schemas.openxmlformats.org/officeDocument/2006/relationships/image" Target="media/image48.jpeg"/><Relationship Id="rId78" Type="http://schemas.openxmlformats.org/officeDocument/2006/relationships/image" Target="media/image49.jpeg"/><Relationship Id="rId79" Type="http://schemas.openxmlformats.org/officeDocument/2006/relationships/image" Target="media/image55.jpeg"/><Relationship Id="rId80" Type="http://schemas.openxmlformats.org/officeDocument/2006/relationships/image" Target="media/image50.jpeg"/><Relationship Id="rId81" Type="http://schemas.openxmlformats.org/officeDocument/2006/relationships/image" Target="media/image56.jpeg"/><Relationship Id="rId82" Type="http://schemas.openxmlformats.org/officeDocument/2006/relationships/image" Target="media/image52.jpeg"/><Relationship Id="rId83" Type="http://schemas.openxmlformats.org/officeDocument/2006/relationships/image" Target="media/image44.jpeg"/><Relationship Id="rId84" Type="http://schemas.openxmlformats.org/officeDocument/2006/relationships/image" Target="media/image46.jpeg"/><Relationship Id="rId85" Type="http://schemas.openxmlformats.org/officeDocument/2006/relationships/image" Target="media/image48.jpeg"/><Relationship Id="rId86" Type="http://schemas.openxmlformats.org/officeDocument/2006/relationships/image" Target="media/image49.jpeg"/><Relationship Id="rId87" Type="http://schemas.openxmlformats.org/officeDocument/2006/relationships/image" Target="media/image53.jpeg"/><Relationship Id="rId88" Type="http://schemas.openxmlformats.org/officeDocument/2006/relationships/image" Target="media/image50.jpeg"/><Relationship Id="rId89" Type="http://schemas.openxmlformats.org/officeDocument/2006/relationships/image" Target="media/image8.jpeg"/><Relationship Id="rId90" Type="http://schemas.openxmlformats.org/officeDocument/2006/relationships/image" Target="media/image57.jpeg"/><Relationship Id="rId91" Type="http://schemas.openxmlformats.org/officeDocument/2006/relationships/image" Target="media/image52.jpeg"/><Relationship Id="rId92" Type="http://schemas.openxmlformats.org/officeDocument/2006/relationships/image" Target="media/image46.jpeg"/><Relationship Id="rId93" Type="http://schemas.openxmlformats.org/officeDocument/2006/relationships/image" Target="media/image47.jpeg"/><Relationship Id="rId94" Type="http://schemas.openxmlformats.org/officeDocument/2006/relationships/image" Target="media/image48.jpeg"/><Relationship Id="rId95" Type="http://schemas.openxmlformats.org/officeDocument/2006/relationships/image" Target="media/image49.jpeg"/><Relationship Id="rId96" Type="http://schemas.openxmlformats.org/officeDocument/2006/relationships/image" Target="media/image55.jpeg"/><Relationship Id="rId97" Type="http://schemas.openxmlformats.org/officeDocument/2006/relationships/image" Target="media/image50.jpeg"/><Relationship Id="rId98" Type="http://schemas.openxmlformats.org/officeDocument/2006/relationships/image" Target="media/image58.jpeg"/><Relationship Id="rId99" Type="http://schemas.openxmlformats.org/officeDocument/2006/relationships/image" Target="media/image52.jpeg"/><Relationship Id="rId100" Type="http://schemas.openxmlformats.org/officeDocument/2006/relationships/image" Target="media/image44.jpeg"/><Relationship Id="rId101" Type="http://schemas.openxmlformats.org/officeDocument/2006/relationships/image" Target="media/image46.jpeg"/><Relationship Id="rId102" Type="http://schemas.openxmlformats.org/officeDocument/2006/relationships/image" Target="media/image48.jpeg"/><Relationship Id="rId103" Type="http://schemas.openxmlformats.org/officeDocument/2006/relationships/image" Target="media/image49.jpeg"/><Relationship Id="rId104" Type="http://schemas.openxmlformats.org/officeDocument/2006/relationships/image" Target="media/image53.jpeg"/><Relationship Id="rId105" Type="http://schemas.openxmlformats.org/officeDocument/2006/relationships/image" Target="media/image50.jpeg"/><Relationship Id="rId106" Type="http://schemas.openxmlformats.org/officeDocument/2006/relationships/image" Target="media/image59.jpeg"/><Relationship Id="rId107" Type="http://schemas.openxmlformats.org/officeDocument/2006/relationships/image" Target="media/image52.jpeg"/><Relationship Id="rId108" Type="http://schemas.openxmlformats.org/officeDocument/2006/relationships/image" Target="media/image45.jpeg"/><Relationship Id="rId109" Type="http://schemas.openxmlformats.org/officeDocument/2006/relationships/image" Target="media/image46.jpeg"/><Relationship Id="rId110" Type="http://schemas.openxmlformats.org/officeDocument/2006/relationships/image" Target="media/image47.jpeg"/><Relationship Id="rId111" Type="http://schemas.openxmlformats.org/officeDocument/2006/relationships/image" Target="media/image48.jpeg"/><Relationship Id="rId112" Type="http://schemas.openxmlformats.org/officeDocument/2006/relationships/image" Target="media/image49.jpeg"/><Relationship Id="rId113" Type="http://schemas.openxmlformats.org/officeDocument/2006/relationships/image" Target="media/image53.jpeg"/><Relationship Id="rId114" Type="http://schemas.openxmlformats.org/officeDocument/2006/relationships/image" Target="media/image55.jpeg"/><Relationship Id="rId115" Type="http://schemas.openxmlformats.org/officeDocument/2006/relationships/image" Target="media/image50.jpeg"/><Relationship Id="rId116" Type="http://schemas.openxmlformats.org/officeDocument/2006/relationships/image" Target="media/image60.jpeg"/><Relationship Id="rId117" Type="http://schemas.openxmlformats.org/officeDocument/2006/relationships/image" Target="media/image52.jpeg"/><Relationship Id="rId118" Type="http://schemas.openxmlformats.org/officeDocument/2006/relationships/image" Target="media/image47.jpeg"/><Relationship Id="rId119" Type="http://schemas.openxmlformats.org/officeDocument/2006/relationships/image" Target="media/image48.jpeg"/><Relationship Id="rId120" Type="http://schemas.openxmlformats.org/officeDocument/2006/relationships/image" Target="media/image49.jpeg"/><Relationship Id="rId121" Type="http://schemas.openxmlformats.org/officeDocument/2006/relationships/image" Target="media/image50.jpeg"/><Relationship Id="rId122" Type="http://schemas.openxmlformats.org/officeDocument/2006/relationships/image" Target="media/image8.jpeg"/><Relationship Id="rId123" Type="http://schemas.openxmlformats.org/officeDocument/2006/relationships/image" Target="media/image61.jpeg"/><Relationship Id="rId124" Type="http://schemas.openxmlformats.org/officeDocument/2006/relationships/image" Target="media/image52.jpeg"/><Relationship Id="rId125" Type="http://schemas.openxmlformats.org/officeDocument/2006/relationships/image" Target="media/image46.jpeg"/><Relationship Id="rId126" Type="http://schemas.openxmlformats.org/officeDocument/2006/relationships/image" Target="media/image47.jpeg"/><Relationship Id="rId127" Type="http://schemas.openxmlformats.org/officeDocument/2006/relationships/image" Target="media/image48.jpeg"/><Relationship Id="rId128" Type="http://schemas.openxmlformats.org/officeDocument/2006/relationships/image" Target="media/image49.jpeg"/><Relationship Id="rId129" Type="http://schemas.openxmlformats.org/officeDocument/2006/relationships/image" Target="media/image53.jpeg"/><Relationship Id="rId130" Type="http://schemas.openxmlformats.org/officeDocument/2006/relationships/image" Target="media/image55.jpeg"/><Relationship Id="rId131" Type="http://schemas.openxmlformats.org/officeDocument/2006/relationships/image" Target="media/image50.jpeg"/><Relationship Id="rId132" Type="http://schemas.openxmlformats.org/officeDocument/2006/relationships/image" Target="media/image62.jpeg"/><Relationship Id="rId133" Type="http://schemas.openxmlformats.org/officeDocument/2006/relationships/image" Target="media/image52.jpeg"/><Relationship Id="rId134" Type="http://schemas.openxmlformats.org/officeDocument/2006/relationships/image" Target="media/image48.jpeg"/><Relationship Id="rId135" Type="http://schemas.openxmlformats.org/officeDocument/2006/relationships/image" Target="media/image53.jpeg"/><Relationship Id="rId136" Type="http://schemas.openxmlformats.org/officeDocument/2006/relationships/image" Target="media/image50.jpeg"/><Relationship Id="rId137" Type="http://schemas.openxmlformats.org/officeDocument/2006/relationships/image" Target="media/image63.jpeg"/><Relationship Id="rId138" Type="http://schemas.openxmlformats.org/officeDocument/2006/relationships/image" Target="media/image52.jpeg"/><Relationship Id="rId139" Type="http://schemas.openxmlformats.org/officeDocument/2006/relationships/image" Target="media/image47.jpeg"/><Relationship Id="rId140" Type="http://schemas.openxmlformats.org/officeDocument/2006/relationships/image" Target="media/image48.jpeg"/><Relationship Id="rId141" Type="http://schemas.openxmlformats.org/officeDocument/2006/relationships/image" Target="media/image55.jpeg"/><Relationship Id="rId142" Type="http://schemas.openxmlformats.org/officeDocument/2006/relationships/image" Target="media/image50.jpeg"/><Relationship Id="rId143" Type="http://schemas.openxmlformats.org/officeDocument/2006/relationships/image" Target="media/image64.jpeg"/><Relationship Id="rId144" Type="http://schemas.openxmlformats.org/officeDocument/2006/relationships/image" Target="media/image52.jpeg"/><Relationship Id="rId145" Type="http://schemas.openxmlformats.org/officeDocument/2006/relationships/image" Target="media/image44.jpeg"/><Relationship Id="rId146" Type="http://schemas.openxmlformats.org/officeDocument/2006/relationships/image" Target="media/image47.jpeg"/><Relationship Id="rId147" Type="http://schemas.openxmlformats.org/officeDocument/2006/relationships/image" Target="media/image48.jpeg"/><Relationship Id="rId148" Type="http://schemas.openxmlformats.org/officeDocument/2006/relationships/image" Target="media/image49.jpeg"/><Relationship Id="rId149" Type="http://schemas.openxmlformats.org/officeDocument/2006/relationships/image" Target="media/image53.jpeg"/><Relationship Id="rId150" Type="http://schemas.openxmlformats.org/officeDocument/2006/relationships/image" Target="media/image50.jpeg"/><Relationship Id="rId151" Type="http://schemas.openxmlformats.org/officeDocument/2006/relationships/image" Target="media/image8.jpeg"/><Relationship Id="rId152" Type="http://schemas.openxmlformats.org/officeDocument/2006/relationships/image" Target="media/image65.jpeg"/><Relationship Id="rId153" Type="http://schemas.openxmlformats.org/officeDocument/2006/relationships/image" Target="media/image8.jpeg"/><Relationship Id="rId154" Type="http://schemas.openxmlformats.org/officeDocument/2006/relationships/image" Target="media/image66.jpeg"/><Relationship Id="rId155" Type="http://schemas.openxmlformats.org/officeDocument/2006/relationships/image" Target="media/image8.jpeg"/><Relationship Id="rId156" Type="http://schemas.openxmlformats.org/officeDocument/2006/relationships/image" Target="media/image8.jpeg"/><Relationship Id="rId157" Type="http://schemas.openxmlformats.org/officeDocument/2006/relationships/image" Target="media/image67.jpeg"/><Relationship Id="rId158" Type="http://schemas.openxmlformats.org/officeDocument/2006/relationships/image" Target="media/image8.jpeg"/><Relationship Id="rId159" Type="http://schemas.openxmlformats.org/officeDocument/2006/relationships/image" Target="media/image68.jpeg"/><Relationship Id="rId160" Type="http://schemas.openxmlformats.org/officeDocument/2006/relationships/image" Target="media/image69.jpeg"/><Relationship Id="rId161" Type="http://schemas.openxmlformats.org/officeDocument/2006/relationships/image" Target="media/image70.jpeg"/><Relationship Id="rId162" Type="http://schemas.openxmlformats.org/officeDocument/2006/relationships/image" Target="media/image71.jpeg"/><Relationship Id="rId163" Type="http://schemas.openxmlformats.org/officeDocument/2006/relationships/image" Target="media/image8.jpeg"/><Relationship Id="rId164" Type="http://schemas.openxmlformats.org/officeDocument/2006/relationships/image" Target="media/image72.jpeg"/><Relationship Id="rId165" Type="http://schemas.openxmlformats.org/officeDocument/2006/relationships/image" Target="media/image73.jpeg"/><Relationship Id="rId166" Type="http://schemas.openxmlformats.org/officeDocument/2006/relationships/image" Target="media/image8.jpeg"/><Relationship Id="rId167" Type="http://schemas.openxmlformats.org/officeDocument/2006/relationships/image" Target="media/image8.jpeg"/><Relationship Id="rId168" Type="http://schemas.openxmlformats.org/officeDocument/2006/relationships/image" Target="media/image74.jpeg"/><Relationship Id="rId169" Type="http://schemas.openxmlformats.org/officeDocument/2006/relationships/image" Target="media/image8.jpeg"/><Relationship Id="rId170" Type="http://schemas.openxmlformats.org/officeDocument/2006/relationships/image" Target="media/image8.jpeg"/><Relationship Id="rId171" Type="http://schemas.openxmlformats.org/officeDocument/2006/relationships/image" Target="media/image8.jpeg"/><Relationship Id="rId172" Type="http://schemas.openxmlformats.org/officeDocument/2006/relationships/image" Target="media/image21.jpeg"/><Relationship Id="rId173" Type="http://schemas.openxmlformats.org/officeDocument/2006/relationships/image" Target="media/image8.jpeg"/><Relationship Id="rId174" Type="http://schemas.openxmlformats.org/officeDocument/2006/relationships/image" Target="media/image8.jpeg"/><Relationship Id="rId175" Type="http://schemas.openxmlformats.org/officeDocument/2006/relationships/image" Target="media/image21.jpeg"/><Relationship Id="rId176" Type="http://schemas.openxmlformats.org/officeDocument/2006/relationships/image" Target="media/image75.jpeg"/><Relationship Id="rId177" Type="http://schemas.openxmlformats.org/officeDocument/2006/relationships/image" Target="media/image76.jpeg"/><Relationship Id="rId178" Type="http://schemas.openxmlformats.org/officeDocument/2006/relationships/image" Target="media/image8.jpeg"/><Relationship Id="rId179" Type="http://schemas.openxmlformats.org/officeDocument/2006/relationships/image" Target="media/image77.jpeg"/><Relationship Id="rId180" Type="http://schemas.openxmlformats.org/officeDocument/2006/relationships/image" Target="media/image78.jpeg"/><Relationship Id="rId181" Type="http://schemas.openxmlformats.org/officeDocument/2006/relationships/image" Target="media/image79.jpeg"/><Relationship Id="rId182" Type="http://schemas.openxmlformats.org/officeDocument/2006/relationships/image" Target="media/image77.jpeg"/><Relationship Id="rId183" Type="http://schemas.openxmlformats.org/officeDocument/2006/relationships/image" Target="media/image78.jpeg"/><Relationship Id="rId184" Type="http://schemas.openxmlformats.org/officeDocument/2006/relationships/image" Target="media/image79.jpeg"/><Relationship Id="rId185" Type="http://schemas.openxmlformats.org/officeDocument/2006/relationships/image" Target="media/image80.jpeg"/><Relationship Id="rId186" Type="http://schemas.openxmlformats.org/officeDocument/2006/relationships/image" Target="media/image80.jpeg"/><Relationship Id="rId187" Type="http://schemas.openxmlformats.org/officeDocument/2006/relationships/image" Target="media/image81.jpeg"/><Relationship Id="rId188" Type="http://schemas.openxmlformats.org/officeDocument/2006/relationships/image" Target="media/image82.jpeg"/><Relationship Id="rId189" Type="http://schemas.openxmlformats.org/officeDocument/2006/relationships/image" Target="media/image80.jpeg"/><Relationship Id="rId190" Type="http://schemas.openxmlformats.org/officeDocument/2006/relationships/image" Target="media/image83.jpeg"/><Relationship Id="rId191" Type="http://schemas.openxmlformats.org/officeDocument/2006/relationships/image" Target="media/image80.jpeg"/><Relationship Id="rId192" Type="http://schemas.openxmlformats.org/officeDocument/2006/relationships/image" Target="media/image80.jpeg"/><Relationship Id="rId193" Type="http://schemas.openxmlformats.org/officeDocument/2006/relationships/image" Target="media/image80.jpeg"/><Relationship Id="rId194" Type="http://schemas.openxmlformats.org/officeDocument/2006/relationships/image" Target="media/image83.jpeg"/><Relationship Id="rId195" Type="http://schemas.openxmlformats.org/officeDocument/2006/relationships/image" Target="media/image84.jpeg"/><Relationship Id="rId196" Type="http://schemas.openxmlformats.org/officeDocument/2006/relationships/image" Target="media/image85.jpeg"/><Relationship Id="rId197" Type="http://schemas.openxmlformats.org/officeDocument/2006/relationships/image" Target="media/image86.jpeg"/><Relationship Id="rId198" Type="http://schemas.openxmlformats.org/officeDocument/2006/relationships/image" Target="media/image83.jpeg"/><Relationship Id="rId199" Type="http://schemas.openxmlformats.org/officeDocument/2006/relationships/image" Target="media/image86.jpeg"/><Relationship Id="rId200" Type="http://schemas.openxmlformats.org/officeDocument/2006/relationships/image" Target="media/image83.jpeg"/><Relationship Id="rId201" Type="http://schemas.openxmlformats.org/officeDocument/2006/relationships/image" Target="media/image87.jpeg"/><Relationship Id="rId202" Type="http://schemas.openxmlformats.org/officeDocument/2006/relationships/image" Target="media/image83.jpeg"/><Relationship Id="rId203" Type="http://schemas.openxmlformats.org/officeDocument/2006/relationships/image" Target="media/image88.jpeg"/><Relationship Id="rId204" Type="http://schemas.openxmlformats.org/officeDocument/2006/relationships/image" Target="media/image89.jpeg"/><Relationship Id="rId205" Type="http://schemas.openxmlformats.org/officeDocument/2006/relationships/image" Target="media/image83.jpeg"/><Relationship Id="rId206" Type="http://schemas.openxmlformats.org/officeDocument/2006/relationships/image" Target="media/image90.jpeg"/><Relationship Id="rId207" Type="http://schemas.openxmlformats.org/officeDocument/2006/relationships/image" Target="media/image83.jpeg"/><Relationship Id="rId208" Type="http://schemas.openxmlformats.org/officeDocument/2006/relationships/image" Target="media/image91.jpeg"/><Relationship Id="rId209" Type="http://schemas.openxmlformats.org/officeDocument/2006/relationships/image" Target="media/image83.jpeg"/><Relationship Id="rId210" Type="http://schemas.openxmlformats.org/officeDocument/2006/relationships/image" Target="media/image8.jpeg"/><Relationship Id="rId211" Type="http://schemas.openxmlformats.org/officeDocument/2006/relationships/image" Target="media/image92.jpeg"/><Relationship Id="rId212" Type="http://schemas.openxmlformats.org/officeDocument/2006/relationships/image" Target="media/image93.jpeg"/><Relationship Id="rId213" Type="http://schemas.openxmlformats.org/officeDocument/2006/relationships/image" Target="media/image94.jpeg"/><Relationship Id="rId214" Type="http://schemas.openxmlformats.org/officeDocument/2006/relationships/image" Target="media/image95.jpeg"/><Relationship Id="rId215" Type="http://schemas.openxmlformats.org/officeDocument/2006/relationships/image" Target="media/image96.jpeg"/><Relationship Id="rId216" Type="http://schemas.openxmlformats.org/officeDocument/2006/relationships/image" Target="media/image97.jpeg"/><Relationship Id="rId217" Type="http://schemas.openxmlformats.org/officeDocument/2006/relationships/image" Target="media/image8.jpeg"/><Relationship Id="rId218" Type="http://schemas.openxmlformats.org/officeDocument/2006/relationships/image" Target="media/image18.jpeg"/><Relationship Id="rId219" Type="http://schemas.openxmlformats.org/officeDocument/2006/relationships/image" Target="media/image98.jpeg"/><Relationship Id="rId220" Type="http://schemas.openxmlformats.org/officeDocument/2006/relationships/image" Target="media/image8.jpeg"/><Relationship Id="rId221" Type="http://schemas.openxmlformats.org/officeDocument/2006/relationships/image" Target="media/image99.jpeg"/><Relationship Id="rId222" Type="http://schemas.openxmlformats.org/officeDocument/2006/relationships/image" Target="media/image100.jpeg"/><Relationship Id="rId223" Type="http://schemas.openxmlformats.org/officeDocument/2006/relationships/image" Target="media/image101.jpeg"/><Relationship Id="rId224" Type="http://schemas.openxmlformats.org/officeDocument/2006/relationships/image" Target="media/image102.jpeg"/><Relationship Id="rId225" Type="http://schemas.openxmlformats.org/officeDocument/2006/relationships/image" Target="media/image103.jpeg"/><Relationship Id="rId226" Type="http://schemas.openxmlformats.org/officeDocument/2006/relationships/image" Target="media/image8.jpeg"/><Relationship Id="rId227" Type="http://schemas.openxmlformats.org/officeDocument/2006/relationships/image" Target="media/image104.jpeg"/><Relationship Id="rId228" Type="http://schemas.openxmlformats.org/officeDocument/2006/relationships/image" Target="media/image8.jpeg"/><Relationship Id="rId229" Type="http://schemas.openxmlformats.org/officeDocument/2006/relationships/image" Target="media/image105.jpeg"/><Relationship Id="rId230" Type="http://schemas.openxmlformats.org/officeDocument/2006/relationships/image" Target="media/image106.jpeg"/><Relationship Id="rId231" Type="http://schemas.openxmlformats.org/officeDocument/2006/relationships/image" Target="media/image8.jpeg"/><Relationship Id="rId232" Type="http://schemas.openxmlformats.org/officeDocument/2006/relationships/image" Target="media/image107.jpeg"/><Relationship Id="rId233" Type="http://schemas.openxmlformats.org/officeDocument/2006/relationships/image" Target="media/image8.jpeg"/><Relationship Id="rId234" Type="http://schemas.openxmlformats.org/officeDocument/2006/relationships/image" Target="media/image83.jpeg"/><Relationship Id="rId235" Type="http://schemas.openxmlformats.org/officeDocument/2006/relationships/image" Target="media/image83.jpeg"/><Relationship Id="rId236" Type="http://schemas.openxmlformats.org/officeDocument/2006/relationships/image" Target="media/image83.jpeg"/><Relationship Id="rId237" Type="http://schemas.openxmlformats.org/officeDocument/2006/relationships/image" Target="media/image83.jpeg"/><Relationship Id="rId238" Type="http://schemas.openxmlformats.org/officeDocument/2006/relationships/image" Target="media/image83.jpeg"/><Relationship Id="rId239" Type="http://schemas.openxmlformats.org/officeDocument/2006/relationships/image" Target="media/image83.jpeg"/><Relationship Id="rId240" Type="http://schemas.openxmlformats.org/officeDocument/2006/relationships/image" Target="media/image83.jpeg"/><Relationship Id="rId241" Type="http://schemas.openxmlformats.org/officeDocument/2006/relationships/image" Target="media/image83.jpeg"/><Relationship Id="rId242" Type="http://schemas.openxmlformats.org/officeDocument/2006/relationships/image" Target="media/image83.jpeg"/><Relationship Id="rId243" Type="http://schemas.openxmlformats.org/officeDocument/2006/relationships/image" Target="media/image83.jpeg"/><Relationship Id="rId244" Type="http://schemas.openxmlformats.org/officeDocument/2006/relationships/image" Target="media/image83.jpeg"/><Relationship Id="rId245" Type="http://schemas.openxmlformats.org/officeDocument/2006/relationships/image" Target="media/image83.jpeg"/><Relationship Id="rId246" Type="http://schemas.openxmlformats.org/officeDocument/2006/relationships/image" Target="media/image83.jpeg"/><Relationship Id="rId247" Type="http://schemas.openxmlformats.org/officeDocument/2006/relationships/image" Target="media/image83.jpeg"/><Relationship Id="rId248" Type="http://schemas.openxmlformats.org/officeDocument/2006/relationships/image" Target="media/image83.jpeg"/><Relationship Id="rId249" Type="http://schemas.openxmlformats.org/officeDocument/2006/relationships/image" Target="media/image83.jpeg"/><Relationship Id="rId250" Type="http://schemas.openxmlformats.org/officeDocument/2006/relationships/image" Target="media/image83.jpeg"/><Relationship Id="rId251" Type="http://schemas.openxmlformats.org/officeDocument/2006/relationships/image" Target="media/image83.jpeg"/><Relationship Id="rId252" Type="http://schemas.openxmlformats.org/officeDocument/2006/relationships/image" Target="media/image108.jpeg"/><Relationship Id="rId253" Type="http://schemas.openxmlformats.org/officeDocument/2006/relationships/image" Target="media/image109.jpeg"/><Relationship Id="rId254" Type="http://schemas.openxmlformats.org/officeDocument/2006/relationships/image" Target="media/image108.jpeg"/><Relationship Id="rId255" Type="http://schemas.openxmlformats.org/officeDocument/2006/relationships/image" Target="media/image109.jpeg"/><Relationship Id="rId256" Type="http://schemas.openxmlformats.org/officeDocument/2006/relationships/image" Target="media/image83.jpeg"/><Relationship Id="rId257" Type="http://schemas.openxmlformats.org/officeDocument/2006/relationships/image" Target="media/image83.jpeg"/><Relationship Id="rId258" Type="http://schemas.openxmlformats.org/officeDocument/2006/relationships/image" Target="media/image83.jpeg"/><Relationship Id="rId259" Type="http://schemas.openxmlformats.org/officeDocument/2006/relationships/image" Target="media/image83.jpeg"/><Relationship Id="rId260" Type="http://schemas.openxmlformats.org/officeDocument/2006/relationships/image" Target="media/image83.jpeg"/><Relationship Id="rId261" Type="http://schemas.openxmlformats.org/officeDocument/2006/relationships/image" Target="media/image83.jpeg"/><Relationship Id="rId262" Type="http://schemas.openxmlformats.org/officeDocument/2006/relationships/image" Target="media/image83.jpeg"/><Relationship Id="rId263" Type="http://schemas.openxmlformats.org/officeDocument/2006/relationships/image" Target="media/image83.jpeg"/><Relationship Id="rId264" Type="http://schemas.openxmlformats.org/officeDocument/2006/relationships/image" Target="media/image83.jpeg"/><Relationship Id="rId265" Type="http://schemas.openxmlformats.org/officeDocument/2006/relationships/image" Target="media/image83.jpeg"/><Relationship Id="rId266" Type="http://schemas.openxmlformats.org/officeDocument/2006/relationships/image" Target="media/image110.jpeg"/><Relationship Id="rId267" Type="http://schemas.openxmlformats.org/officeDocument/2006/relationships/image" Target="media/image111.jpeg"/><Relationship Id="rId268" Type="http://schemas.openxmlformats.org/officeDocument/2006/relationships/image" Target="media/image110.jpeg"/><Relationship Id="rId269" Type="http://schemas.openxmlformats.org/officeDocument/2006/relationships/image" Target="media/image111.jpeg"/><Relationship Id="rId270" Type="http://schemas.openxmlformats.org/officeDocument/2006/relationships/image" Target="media/image8.jpeg"/><Relationship Id="rId271" Type="http://schemas.openxmlformats.org/officeDocument/2006/relationships/image" Target="media/image83.jpeg"/><Relationship Id="rId272" Type="http://schemas.openxmlformats.org/officeDocument/2006/relationships/image" Target="media/image83.jpeg"/><Relationship Id="rId273" Type="http://schemas.openxmlformats.org/officeDocument/2006/relationships/image" Target="media/image83.jpeg"/><Relationship Id="rId274" Type="http://schemas.openxmlformats.org/officeDocument/2006/relationships/image" Target="media/image83.jpeg"/><Relationship Id="rId275" Type="http://schemas.openxmlformats.org/officeDocument/2006/relationships/image" Target="media/image83.jpeg"/><Relationship Id="rId276" Type="http://schemas.openxmlformats.org/officeDocument/2006/relationships/image" Target="media/image83.jpeg"/><Relationship Id="rId277" Type="http://schemas.openxmlformats.org/officeDocument/2006/relationships/image" Target="media/image83.jpeg"/><Relationship Id="rId278" Type="http://schemas.openxmlformats.org/officeDocument/2006/relationships/image" Target="media/image83.jpeg"/><Relationship Id="rId279" Type="http://schemas.openxmlformats.org/officeDocument/2006/relationships/image" Target="media/image83.jpeg"/><Relationship Id="rId280" Type="http://schemas.openxmlformats.org/officeDocument/2006/relationships/image" Target="media/image83.jpeg"/><Relationship Id="rId281" Type="http://schemas.openxmlformats.org/officeDocument/2006/relationships/image" Target="media/image83.jpeg"/><Relationship Id="rId282" Type="http://schemas.openxmlformats.org/officeDocument/2006/relationships/image" Target="media/image83.jpeg"/><Relationship Id="rId283" Type="http://schemas.openxmlformats.org/officeDocument/2006/relationships/image" Target="media/image83.jpeg"/><Relationship Id="rId284" Type="http://schemas.openxmlformats.org/officeDocument/2006/relationships/image" Target="media/image83.jpeg"/><Relationship Id="rId285" Type="http://schemas.openxmlformats.org/officeDocument/2006/relationships/image" Target="media/image83.jpeg"/><Relationship Id="rId286" Type="http://schemas.openxmlformats.org/officeDocument/2006/relationships/image" Target="media/image83.jpeg"/><Relationship Id="rId287" Type="http://schemas.openxmlformats.org/officeDocument/2006/relationships/image" Target="media/image112.jpeg"/><Relationship Id="rId288" Type="http://schemas.openxmlformats.org/officeDocument/2006/relationships/image" Target="media/image113.jpeg"/><Relationship Id="rId289" Type="http://schemas.openxmlformats.org/officeDocument/2006/relationships/image" Target="media/image112.jpeg"/><Relationship Id="rId290" Type="http://schemas.openxmlformats.org/officeDocument/2006/relationships/image" Target="media/image113.jpeg"/><Relationship Id="rId291" Type="http://schemas.openxmlformats.org/officeDocument/2006/relationships/image" Target="media/image114.jpeg"/><Relationship Id="rId292" Type="http://schemas.openxmlformats.org/officeDocument/2006/relationships/image" Target="media/image115.jpeg"/><Relationship Id="rId293" Type="http://schemas.openxmlformats.org/officeDocument/2006/relationships/image" Target="media/image114.jpeg"/><Relationship Id="rId294" Type="http://schemas.openxmlformats.org/officeDocument/2006/relationships/image" Target="media/image115.jpeg"/><Relationship Id="rId295" Type="http://schemas.openxmlformats.org/officeDocument/2006/relationships/image" Target="media/image83.jpeg"/><Relationship Id="rId296" Type="http://schemas.openxmlformats.org/officeDocument/2006/relationships/image" Target="media/image83.jpeg"/><Relationship Id="rId297" Type="http://schemas.openxmlformats.org/officeDocument/2006/relationships/image" Target="media/image83.jpeg"/><Relationship Id="rId298" Type="http://schemas.openxmlformats.org/officeDocument/2006/relationships/image" Target="media/image83.jpeg"/><Relationship Id="rId299" Type="http://schemas.openxmlformats.org/officeDocument/2006/relationships/image" Target="media/image83.jpeg"/><Relationship Id="rId300" Type="http://schemas.openxmlformats.org/officeDocument/2006/relationships/image" Target="media/image83.jpeg"/><Relationship Id="rId301" Type="http://schemas.openxmlformats.org/officeDocument/2006/relationships/image" Target="media/image83.jpeg"/><Relationship Id="rId302" Type="http://schemas.openxmlformats.org/officeDocument/2006/relationships/image" Target="media/image83.jpeg"/><Relationship Id="rId303" Type="http://schemas.openxmlformats.org/officeDocument/2006/relationships/image" Target="media/image83.jpeg"/><Relationship Id="rId304" Type="http://schemas.openxmlformats.org/officeDocument/2006/relationships/image" Target="media/image83.jpeg"/><Relationship Id="rId305" Type="http://schemas.openxmlformats.org/officeDocument/2006/relationships/image" Target="media/image8.jpeg"/><Relationship Id="rId306" Type="http://schemas.openxmlformats.org/officeDocument/2006/relationships/image" Target="media/image83.jpeg"/><Relationship Id="rId307" Type="http://schemas.openxmlformats.org/officeDocument/2006/relationships/image" Target="media/image83.jpeg"/><Relationship Id="rId308" Type="http://schemas.openxmlformats.org/officeDocument/2006/relationships/image" Target="media/image83.jpeg"/><Relationship Id="rId309" Type="http://schemas.openxmlformats.org/officeDocument/2006/relationships/image" Target="media/image83.jpeg"/><Relationship Id="rId310" Type="http://schemas.openxmlformats.org/officeDocument/2006/relationships/image" Target="media/image83.jpeg"/><Relationship Id="rId311" Type="http://schemas.openxmlformats.org/officeDocument/2006/relationships/image" Target="media/image83.jpeg"/><Relationship Id="rId312" Type="http://schemas.openxmlformats.org/officeDocument/2006/relationships/image" Target="media/image83.jpeg"/><Relationship Id="rId313" Type="http://schemas.openxmlformats.org/officeDocument/2006/relationships/image" Target="media/image83.jpeg"/><Relationship Id="rId314" Type="http://schemas.openxmlformats.org/officeDocument/2006/relationships/image" Target="media/image83.jpeg"/><Relationship Id="rId315" Type="http://schemas.openxmlformats.org/officeDocument/2006/relationships/image" Target="media/image83.jpeg"/><Relationship Id="rId316" Type="http://schemas.openxmlformats.org/officeDocument/2006/relationships/image" Target="media/image83.jpeg"/><Relationship Id="rId317" Type="http://schemas.openxmlformats.org/officeDocument/2006/relationships/image" Target="media/image83.jpeg"/><Relationship Id="rId318" Type="http://schemas.openxmlformats.org/officeDocument/2006/relationships/image" Target="media/image83.jpeg"/><Relationship Id="rId319" Type="http://schemas.openxmlformats.org/officeDocument/2006/relationships/image" Target="media/image83.jpeg"/><Relationship Id="rId320" Type="http://schemas.openxmlformats.org/officeDocument/2006/relationships/image" Target="media/image83.jpeg"/><Relationship Id="rId321" Type="http://schemas.openxmlformats.org/officeDocument/2006/relationships/image" Target="media/image83.jpeg"/><Relationship Id="rId322" Type="http://schemas.openxmlformats.org/officeDocument/2006/relationships/image" Target="media/image116.jpeg"/><Relationship Id="rId323" Type="http://schemas.openxmlformats.org/officeDocument/2006/relationships/image" Target="media/image117.jpeg"/><Relationship Id="rId324" Type="http://schemas.openxmlformats.org/officeDocument/2006/relationships/image" Target="media/image116.jpeg"/><Relationship Id="rId325" Type="http://schemas.openxmlformats.org/officeDocument/2006/relationships/image" Target="media/image117.jpeg"/><Relationship Id="rId326" Type="http://schemas.openxmlformats.org/officeDocument/2006/relationships/image" Target="media/image118.jpeg"/><Relationship Id="rId327" Type="http://schemas.openxmlformats.org/officeDocument/2006/relationships/image" Target="media/image8.jpeg"/><Relationship Id="rId328" Type="http://schemas.openxmlformats.org/officeDocument/2006/relationships/image" Target="media/image8.jpeg"/><Relationship Id="rId329" Type="http://schemas.openxmlformats.org/officeDocument/2006/relationships/image" Target="media/image8.jpeg"/><Relationship Id="rId330" Type="http://schemas.openxmlformats.org/officeDocument/2006/relationships/image" Target="media/image8.jpeg"/><Relationship Id="rId331" Type="http://schemas.openxmlformats.org/officeDocument/2006/relationships/image" Target="media/image8.jpeg"/><Relationship Id="rId332" Type="http://schemas.openxmlformats.org/officeDocument/2006/relationships/image" Target="media/image8.jpeg"/><Relationship Id="rId333" Type="http://schemas.openxmlformats.org/officeDocument/2006/relationships/image" Target="media/image8.jpeg"/><Relationship Id="rId334" Type="http://schemas.openxmlformats.org/officeDocument/2006/relationships/image" Target="media/image119.jpeg"/><Relationship Id="rId335" Type="http://schemas.openxmlformats.org/officeDocument/2006/relationships/image" Target="media/image120.jpeg"/><Relationship Id="rId336" Type="http://schemas.openxmlformats.org/officeDocument/2006/relationships/image" Target="media/image8.jpeg"/><Relationship Id="rId337" Type="http://schemas.openxmlformats.org/officeDocument/2006/relationships/image" Target="media/image8.jpeg"/><Relationship Id="rId338" Type="http://schemas.openxmlformats.org/officeDocument/2006/relationships/image" Target="media/image8.jpeg"/><Relationship Id="rId339" Type="http://schemas.openxmlformats.org/officeDocument/2006/relationships/image" Target="media/image8.jpeg"/><Relationship Id="rId340" Type="http://schemas.openxmlformats.org/officeDocument/2006/relationships/image" Target="media/image8.jpeg"/><Relationship Id="rId341" Type="http://schemas.openxmlformats.org/officeDocument/2006/relationships/image" Target="media/image8.jpeg"/><Relationship Id="rId342" Type="http://schemas.openxmlformats.org/officeDocument/2006/relationships/image" Target="media/image8.jpeg"/><Relationship Id="rId343" Type="http://schemas.openxmlformats.org/officeDocument/2006/relationships/image" Target="media/image8.jpeg"/><Relationship Id="rId344" Type="http://schemas.openxmlformats.org/officeDocument/2006/relationships/image" Target="media/image121.jpeg"/><Relationship Id="rId345" Type="http://schemas.openxmlformats.org/officeDocument/2006/relationships/image" Target="media/image122.jpeg"/><Relationship Id="rId346" Type="http://schemas.openxmlformats.org/officeDocument/2006/relationships/image" Target="media/image123.jpeg"/><Relationship Id="rId347" Type="http://schemas.openxmlformats.org/officeDocument/2006/relationships/fontTable" Target="fontTable.xml"/><Relationship Id="rId3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104</Pages>
  <Words>46603</Words>
  <Characters>270885</Characters>
  <CharactersWithSpaces>322899</CharactersWithSpaces>
  <Paragraphs>11204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