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180340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7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759"/>
        <w:spacing w:after="0"/>
        <w:rPr>
          <w:sz w:val="20"/>
          <w:szCs w:val="20"/>
          <w:color w:val="auto"/>
        </w:rPr>
      </w:pPr>
      <w:r>
        <w:rPr>
          <w:rFonts w:ascii="Arial" w:cs="Arial" w:eastAsia="Arial" w:hAnsi="Arial"/>
          <w:sz w:val="21"/>
          <w:szCs w:val="21"/>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106680</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198" w:lineRule="exact"/>
        <w:rPr>
          <w:sz w:val="24"/>
          <w:szCs w:val="24"/>
          <w:color w:val="auto"/>
        </w:rPr>
      </w:pPr>
    </w:p>
    <w:p>
      <w:pPr>
        <w:jc w:val="center"/>
        <w:ind w:right="-75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123825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40" w:lineRule="exact"/>
        <w:rPr>
          <w:sz w:val="24"/>
          <w:szCs w:val="24"/>
          <w:color w:val="auto"/>
        </w:rPr>
      </w:pPr>
    </w:p>
    <w:p>
      <w:pPr>
        <w:jc w:val="center"/>
        <w:ind w:right="-759"/>
        <w:spacing w:after="0"/>
        <w:rPr>
          <w:sz w:val="20"/>
          <w:szCs w:val="20"/>
          <w:color w:val="auto"/>
        </w:rPr>
      </w:pPr>
      <w:r>
        <w:rPr>
          <w:rFonts w:ascii="Arial" w:cs="Arial" w:eastAsia="Arial" w:hAnsi="Arial"/>
          <w:sz w:val="24"/>
          <w:szCs w:val="24"/>
          <w:b w:val="1"/>
          <w:bCs w:val="1"/>
          <w:color w:val="auto"/>
        </w:rPr>
        <w:t>CURRENT REPORT</w:t>
      </w:r>
    </w:p>
    <w:p>
      <w:pPr>
        <w:spacing w:after="0" w:line="155" w:lineRule="exact"/>
        <w:rPr>
          <w:sz w:val="24"/>
          <w:szCs w:val="24"/>
          <w:color w:val="auto"/>
        </w:rPr>
      </w:pPr>
    </w:p>
    <w:p>
      <w:pPr>
        <w:jc w:val="center"/>
        <w:ind w:right="-759"/>
        <w:spacing w:after="0"/>
        <w:rPr>
          <w:sz w:val="20"/>
          <w:szCs w:val="20"/>
          <w:color w:val="auto"/>
        </w:rPr>
      </w:pPr>
      <w:r>
        <w:rPr>
          <w:rFonts w:ascii="Arial" w:cs="Arial" w:eastAsia="Arial" w:hAnsi="Arial"/>
          <w:sz w:val="21"/>
          <w:szCs w:val="21"/>
          <w:b w:val="1"/>
          <w:bCs w:val="1"/>
          <w:color w:val="auto"/>
        </w:rPr>
        <w:t>PURSUANT TO SECTION 13 OR 15(d) OF</w:t>
      </w:r>
    </w:p>
    <w:p>
      <w:pPr>
        <w:spacing w:after="0" w:line="18" w:lineRule="exact"/>
        <w:rPr>
          <w:sz w:val="24"/>
          <w:szCs w:val="24"/>
          <w:color w:val="auto"/>
        </w:rPr>
      </w:pPr>
    </w:p>
    <w:p>
      <w:pPr>
        <w:jc w:val="center"/>
        <w:ind w:right="-759"/>
        <w:spacing w:after="0"/>
        <w:rPr>
          <w:sz w:val="20"/>
          <w:szCs w:val="20"/>
          <w:color w:val="auto"/>
        </w:rPr>
      </w:pPr>
      <w:r>
        <w:rPr>
          <w:rFonts w:ascii="Arial" w:cs="Arial" w:eastAsia="Arial" w:hAnsi="Arial"/>
          <w:sz w:val="21"/>
          <w:szCs w:val="21"/>
          <w:b w:val="1"/>
          <w:bCs w:val="1"/>
          <w:color w:val="auto"/>
        </w:rPr>
        <w:t>THE SECURITIES EXCHANGE ACT OF 1934</w:t>
      </w:r>
    </w:p>
    <w:p>
      <w:pPr>
        <w:spacing w:after="0" w:line="127" w:lineRule="exact"/>
        <w:rPr>
          <w:sz w:val="24"/>
          <w:szCs w:val="24"/>
          <w:color w:val="auto"/>
        </w:rPr>
      </w:pPr>
    </w:p>
    <w:p>
      <w:pPr>
        <w:jc w:val="center"/>
        <w:ind w:right="-759"/>
        <w:spacing w:after="0"/>
        <w:rPr>
          <w:sz w:val="20"/>
          <w:szCs w:val="20"/>
          <w:color w:val="auto"/>
        </w:rPr>
      </w:pPr>
      <w:r>
        <w:rPr>
          <w:rFonts w:ascii="Arial" w:cs="Arial" w:eastAsia="Arial" w:hAnsi="Arial"/>
          <w:sz w:val="21"/>
          <w:szCs w:val="21"/>
          <w:b w:val="1"/>
          <w:bCs w:val="1"/>
          <w:color w:val="auto"/>
        </w:rPr>
        <w:t>Date of Report (Date of earliest event reported) September 7,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113665</wp:posOffset>
            </wp:positionV>
            <wp:extent cx="1529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9" w:lineRule="exact"/>
        <w:rPr>
          <w:sz w:val="24"/>
          <w:szCs w:val="24"/>
          <w:color w:val="auto"/>
        </w:rPr>
      </w:pPr>
    </w:p>
    <w:p>
      <w:pPr>
        <w:jc w:val="center"/>
        <w:ind w:right="-759"/>
        <w:spacing w:after="0"/>
        <w:rPr>
          <w:sz w:val="20"/>
          <w:szCs w:val="20"/>
          <w:color w:val="auto"/>
        </w:rPr>
      </w:pPr>
      <w:r>
        <w:rPr>
          <w:rFonts w:ascii="Arial" w:cs="Arial" w:eastAsia="Arial" w:hAnsi="Arial"/>
          <w:sz w:val="42"/>
          <w:szCs w:val="42"/>
          <w:b w:val="1"/>
          <w:bCs w:val="1"/>
          <w:color w:val="auto"/>
        </w:rPr>
        <w:t>GENERAL MOTORS COMPANY</w:t>
      </w:r>
    </w:p>
    <w:p>
      <w:pPr>
        <w:spacing w:after="0" w:line="49" w:lineRule="exact"/>
        <w:rPr>
          <w:sz w:val="24"/>
          <w:szCs w:val="24"/>
          <w:color w:val="auto"/>
        </w:rPr>
      </w:pPr>
    </w:p>
    <w:p>
      <w:pPr>
        <w:ind w:left="376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113665</wp:posOffset>
            </wp:positionV>
            <wp:extent cx="1529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ectPr>
          <w:pgSz w:w="11900" w:h="16838" w:orient="portrait"/>
          <w:cols w:equalWidth="0" w:num="1">
            <w:col w:w="10680"/>
          </w:cols>
          <w:pgMar w:left="240" w:top="308" w:right="979" w:bottom="1440" w:gutter="0" w:footer="0" w:header="0"/>
        </w:sectPr>
      </w:pPr>
    </w:p>
    <w:p>
      <w:pPr>
        <w:spacing w:after="0" w:line="284" w:lineRule="exact"/>
        <w:rPr>
          <w:sz w:val="24"/>
          <w:szCs w:val="24"/>
          <w:color w:val="auto"/>
        </w:rPr>
      </w:pPr>
    </w:p>
    <w:p>
      <w:pPr>
        <w:ind w:left="1020"/>
        <w:spacing w:after="0"/>
        <w:rPr>
          <w:sz w:val="20"/>
          <w:szCs w:val="20"/>
          <w:color w:val="auto"/>
        </w:rPr>
      </w:pPr>
      <w:r>
        <w:rPr>
          <w:rFonts w:ascii="Arial" w:cs="Arial" w:eastAsia="Arial" w:hAnsi="Arial"/>
          <w:sz w:val="15"/>
          <w:szCs w:val="15"/>
          <w:b w:val="1"/>
          <w:bCs w:val="1"/>
          <w:color w:val="auto"/>
        </w:rPr>
        <w:t>001-34960</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jc w:val="center"/>
        <w:ind w:right="27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47" w:lineRule="exact"/>
        <w:rPr>
          <w:sz w:val="24"/>
          <w:szCs w:val="24"/>
          <w:color w:val="auto"/>
        </w:rPr>
      </w:pPr>
    </w:p>
    <w:p>
      <w:pPr>
        <w:sectPr>
          <w:pgSz w:w="11900" w:h="16838" w:orient="portrait"/>
          <w:cols w:equalWidth="0" w:num="3">
            <w:col w:w="4520" w:space="720"/>
            <w:col w:w="3680" w:space="720"/>
            <w:col w:w="1040"/>
          </w:cols>
          <w:pgMar w:left="240" w:top="308" w:right="979" w:bottom="1440" w:gutter="0" w:footer="0" w:header="0"/>
          <w:type w:val="continuous"/>
        </w:sectPr>
      </w:pPr>
    </w:p>
    <w:p>
      <w:pPr>
        <w:ind w:left="1020"/>
        <w:spacing w:after="0"/>
        <w:rPr>
          <w:sz w:val="20"/>
          <w:szCs w:val="20"/>
          <w:color w:val="auto"/>
        </w:rPr>
      </w:pPr>
      <w:r>
        <w:rPr>
          <w:rFonts w:ascii="Arial" w:cs="Arial" w:eastAsia="Arial" w:hAnsi="Arial"/>
          <w:sz w:val="11"/>
          <w:szCs w:val="11"/>
          <w:b w:val="1"/>
          <w:bCs w:val="1"/>
          <w:color w:val="auto"/>
        </w:rPr>
        <w:t>(Commission</w:t>
      </w:r>
    </w:p>
    <w:p>
      <w:pPr>
        <w:spacing w:after="0" w:line="21" w:lineRule="exact"/>
        <w:rPr>
          <w:sz w:val="24"/>
          <w:szCs w:val="24"/>
          <w:color w:val="auto"/>
        </w:rPr>
      </w:pPr>
    </w:p>
    <w:p>
      <w:pPr>
        <w:ind w:left="1000"/>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1"/>
          <w:szCs w:val="11"/>
          <w:b w:val="1"/>
          <w:bCs w:val="1"/>
          <w:color w:val="auto"/>
        </w:rPr>
        <w:t>(State or other jurisdiction</w:t>
      </w:r>
    </w:p>
    <w:p>
      <w:pPr>
        <w:spacing w:after="0" w:line="21" w:lineRule="exact"/>
        <w:rPr>
          <w:sz w:val="24"/>
          <w:szCs w:val="24"/>
          <w:color w:val="auto"/>
        </w:rPr>
      </w:pPr>
    </w:p>
    <w:p>
      <w:pPr>
        <w:jc w:val="center"/>
        <w:ind w:right="234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260" w:space="720"/>
            <w:col w:w="3840" w:space="720"/>
            <w:col w:w="1140"/>
          </w:cols>
          <w:pgMar w:left="240" w:top="308" w:right="979" w:bottom="1440" w:gutter="0" w:footer="0" w:header="0"/>
          <w:type w:val="continuous"/>
        </w:sectPr>
      </w:pPr>
    </w:p>
    <w:p>
      <w:pPr>
        <w:spacing w:after="0" w:line="3" w:lineRule="exact"/>
        <w:rPr>
          <w:sz w:val="24"/>
          <w:szCs w:val="24"/>
          <w:color w:val="auto"/>
        </w:rPr>
      </w:pPr>
    </w:p>
    <w:p>
      <w:pPr>
        <w:ind w:left="126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47" w:lineRule="exact"/>
        <w:rPr>
          <w:sz w:val="24"/>
          <w:szCs w:val="24"/>
          <w:color w:val="auto"/>
        </w:rPr>
      </w:pPr>
    </w:p>
    <w:p>
      <w:pPr>
        <w:sectPr>
          <w:pgSz w:w="11900" w:h="16838" w:orient="portrait"/>
          <w:cols w:equalWidth="0" w:num="2">
            <w:col w:w="7440" w:space="720"/>
            <w:col w:w="2520"/>
          </w:cols>
          <w:pgMar w:left="240" w:top="308" w:right="979" w:bottom="1440" w:gutter="0" w:footer="0" w:header="0"/>
          <w:type w:val="continuous"/>
        </w:sectPr>
      </w:pPr>
    </w:p>
    <w:p>
      <w:pPr>
        <w:ind w:left="170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53" w:lineRule="exact"/>
        <w:rPr>
          <w:sz w:val="24"/>
          <w:szCs w:val="24"/>
          <w:color w:val="auto"/>
        </w:rPr>
      </w:pPr>
    </w:p>
    <w:p>
      <w:pPr>
        <w:sectPr>
          <w:pgSz w:w="11900" w:h="16838" w:orient="portrait"/>
          <w:cols w:equalWidth="0" w:num="2">
            <w:col w:w="7560" w:space="720"/>
            <w:col w:w="2400"/>
          </w:cols>
          <w:pgMar w:left="240" w:top="308" w:right="979" w:bottom="1440" w:gutter="0" w:footer="0" w:header="0"/>
          <w:type w:val="continuous"/>
        </w:sectPr>
      </w:pPr>
    </w:p>
    <w:p>
      <w:pPr>
        <w:jc w:val="center"/>
        <w:ind w:right="-739"/>
        <w:spacing w:after="0"/>
        <w:rPr>
          <w:sz w:val="20"/>
          <w:szCs w:val="20"/>
          <w:color w:val="auto"/>
        </w:rPr>
      </w:pPr>
      <w:r>
        <w:rPr>
          <w:rFonts w:ascii="Arial" w:cs="Arial" w:eastAsia="Arial" w:hAnsi="Arial"/>
          <w:sz w:val="17"/>
          <w:szCs w:val="17"/>
          <w:b w:val="1"/>
          <w:bCs w:val="1"/>
          <w:color w:val="auto"/>
        </w:rPr>
        <w:t>(313) 556-5000</w:t>
      </w:r>
    </w:p>
    <w:p>
      <w:pPr>
        <w:spacing w:after="0" w:line="24" w:lineRule="exact"/>
        <w:rPr>
          <w:sz w:val="24"/>
          <w:szCs w:val="24"/>
          <w:color w:val="auto"/>
        </w:rPr>
      </w:pPr>
    </w:p>
    <w:p>
      <w:pPr>
        <w:jc w:val="center"/>
        <w:ind w:right="-73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42" w:lineRule="exact"/>
        <w:rPr>
          <w:sz w:val="24"/>
          <w:szCs w:val="24"/>
          <w:color w:val="auto"/>
        </w:rPr>
      </w:pPr>
    </w:p>
    <w:p>
      <w:pPr>
        <w:jc w:val="center"/>
        <w:ind w:right="-739"/>
        <w:spacing w:after="0"/>
        <w:rPr>
          <w:sz w:val="20"/>
          <w:szCs w:val="20"/>
          <w:color w:val="auto"/>
        </w:rPr>
      </w:pPr>
      <w:r>
        <w:rPr>
          <w:rFonts w:ascii="Arial" w:cs="Arial" w:eastAsia="Arial" w:hAnsi="Arial"/>
          <w:sz w:val="17"/>
          <w:szCs w:val="17"/>
          <w:b w:val="1"/>
          <w:bCs w:val="1"/>
          <w:color w:val="auto"/>
        </w:rPr>
        <w:t>Not Applicable</w:t>
      </w:r>
    </w:p>
    <w:p>
      <w:pPr>
        <w:spacing w:after="0" w:line="24" w:lineRule="exact"/>
        <w:rPr>
          <w:sz w:val="24"/>
          <w:szCs w:val="24"/>
          <w:color w:val="auto"/>
        </w:rPr>
      </w:pPr>
    </w:p>
    <w:p>
      <w:pPr>
        <w:ind w:left="398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97790</wp:posOffset>
            </wp:positionV>
            <wp:extent cx="1529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17" w:lineRule="exact"/>
        <w:rPr>
          <w:sz w:val="24"/>
          <w:szCs w:val="24"/>
          <w:color w:val="auto"/>
        </w:rPr>
      </w:pPr>
    </w:p>
    <w:p>
      <w:pPr>
        <w:spacing w:after="0" w:line="282"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38"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92"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(17-CFR 240.14a-12)</w:t>
      </w:r>
    </w:p>
    <w:p>
      <w:pPr>
        <w:spacing w:after="0" w:line="92"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92"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114300</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0680"/>
          </w:cols>
          <w:pgMar w:left="240" w:top="308" w:right="979" w:bottom="1440" w:gutter="0" w:footer="0" w:header="0"/>
          <w:type w:val="continuous"/>
        </w:sectPr>
      </w:pPr>
    </w:p>
    <w:bookmarkStart w:id="1" w:name="page2"/>
    <w:bookmarkEnd w:id="1"/>
    <w:p>
      <w:pPr>
        <w:jc w:val="right"/>
        <w:ind w:right="359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TABLE OF CONTENTS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8.01 Other Events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Index to Exhibits</w:t>
      </w:r>
    </w:p>
    <w:p>
      <w:pPr>
        <w:spacing w:after="0" w:line="9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Presentation Webcast Charts Dated September 7, 2011</w:t>
      </w:r>
    </w:p>
    <w:p>
      <w:pPr>
        <w:sectPr>
          <w:pgSz w:w="11900" w:h="16838" w:orient="portrait"/>
          <w:cols w:equalWidth="0" w:num="1">
            <w:col w:w="10219"/>
          </w:cols>
          <w:pgMar w:left="240" w:top="271" w:right="1440"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ITEM 8.01 Other Events</w:t>
      </w:r>
    </w:p>
    <w:p>
      <w:pPr>
        <w:spacing w:after="0" w:line="97"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color w:val="auto"/>
        </w:rPr>
        <w:t>On September 7, 2011, Mr. Stephen Girsky, Vice Chairman, conducted a webcast presentation hosted by Credit Suisse to provide an update on General Motors Company financial and operating strategy and the role of GM Ventures. The presentation related thereto is attached as Exhibit 99.1.</w:t>
      </w:r>
    </w:p>
    <w:p>
      <w:pPr>
        <w:spacing w:after="0" w:line="248"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u w:val="single" w:color="auto"/>
          <w:color w:val="auto"/>
        </w:rPr>
        <w:t>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56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7140" w:type="dxa"/>
            <w:vAlign w:val="bottom"/>
            <w:gridSpan w:val="3"/>
          </w:tcPr>
          <w:p>
            <w:pPr>
              <w:ind w:left="1720"/>
              <w:spacing w:after="0"/>
              <w:rPr>
                <w:sz w:val="20"/>
                <w:szCs w:val="20"/>
                <w:color w:val="auto"/>
              </w:rPr>
            </w:pPr>
            <w:r>
              <w:rPr>
                <w:rFonts w:ascii="Arial" w:cs="Arial" w:eastAsia="Arial" w:hAnsi="Arial"/>
                <w:sz w:val="13"/>
                <w:szCs w:val="13"/>
                <w:b w:val="1"/>
                <w:bCs w:val="1"/>
                <w:color w:val="auto"/>
              </w:rPr>
              <w:t>Description</w:t>
            </w:r>
          </w:p>
        </w:tc>
        <w:tc>
          <w:tcPr>
            <w:tcW w:w="1340" w:type="dxa"/>
            <w:vAlign w:val="bottom"/>
            <w:gridSpan w:val="2"/>
          </w:tcPr>
          <w:p>
            <w:pPr>
              <w:spacing w:after="0"/>
              <w:rPr>
                <w:sz w:val="20"/>
                <w:szCs w:val="20"/>
                <w:color w:val="auto"/>
              </w:rPr>
            </w:pPr>
            <w:r>
              <w:rPr>
                <w:rFonts w:ascii="Arial" w:cs="Arial" w:eastAsia="Arial" w:hAnsi="Arial"/>
                <w:sz w:val="13"/>
                <w:szCs w:val="13"/>
                <w:b w:val="1"/>
                <w:bCs w:val="1"/>
                <w:color w:val="auto"/>
              </w:rPr>
              <w:t>Method of Filing</w:t>
            </w:r>
          </w:p>
        </w:tc>
      </w:tr>
      <w:tr>
        <w:trPr>
          <w:trHeight w:val="194"/>
        </w:trPr>
        <w:tc>
          <w:tcPr>
            <w:tcW w:w="44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w w:val="82"/>
              </w:rPr>
              <w:t>Exhibit</w:t>
            </w:r>
          </w:p>
        </w:tc>
        <w:tc>
          <w:tcPr>
            <w:tcW w:w="2120" w:type="dxa"/>
            <w:vAlign w:val="bottom"/>
          </w:tcPr>
          <w:p>
            <w:pPr>
              <w:jc w:val="right"/>
              <w:ind w:right="1635"/>
              <w:spacing w:after="0" w:line="194" w:lineRule="exact"/>
              <w:rPr>
                <w:sz w:val="20"/>
                <w:szCs w:val="20"/>
                <w:color w:val="auto"/>
              </w:rPr>
            </w:pPr>
            <w:r>
              <w:rPr>
                <w:rFonts w:ascii="Arial" w:cs="Arial" w:eastAsia="Arial" w:hAnsi="Arial"/>
                <w:sz w:val="17"/>
                <w:szCs w:val="17"/>
                <w:color w:val="auto"/>
              </w:rPr>
              <w:t>99.1</w:t>
            </w:r>
          </w:p>
        </w:tc>
        <w:tc>
          <w:tcPr>
            <w:tcW w:w="1720" w:type="dxa"/>
            <w:vAlign w:val="bottom"/>
          </w:tcPr>
          <w:p>
            <w:pPr>
              <w:spacing w:after="0"/>
              <w:rPr>
                <w:sz w:val="16"/>
                <w:szCs w:val="16"/>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3"/>
              </w:rPr>
              <w:t>Presentation</w:t>
            </w:r>
          </w:p>
        </w:tc>
        <w:tc>
          <w:tcPr>
            <w:tcW w:w="4740" w:type="dxa"/>
            <w:vAlign w:val="bottom"/>
          </w:tcPr>
          <w:p>
            <w:pPr>
              <w:ind w:left="220"/>
              <w:spacing w:after="0" w:line="194" w:lineRule="exact"/>
              <w:rPr>
                <w:sz w:val="20"/>
                <w:szCs w:val="20"/>
                <w:color w:val="auto"/>
              </w:rPr>
            </w:pPr>
            <w:r>
              <w:rPr>
                <w:rFonts w:ascii="Arial" w:cs="Arial" w:eastAsia="Arial" w:hAnsi="Arial"/>
                <w:sz w:val="17"/>
                <w:szCs w:val="17"/>
                <w:color w:val="auto"/>
              </w:rPr>
              <w:t>Charts</w:t>
            </w:r>
          </w:p>
        </w:tc>
        <w:tc>
          <w:tcPr>
            <w:tcW w:w="9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229"/>
        </w:trPr>
        <w:tc>
          <w:tcPr>
            <w:tcW w:w="4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140" w:type="dxa"/>
            <w:vAlign w:val="bottom"/>
            <w:gridSpan w:val="3"/>
          </w:tcPr>
          <w:p>
            <w:pPr>
              <w:ind w:left="1720"/>
              <w:spacing w:after="0"/>
              <w:rPr>
                <w:sz w:val="20"/>
                <w:szCs w:val="20"/>
                <w:color w:val="auto"/>
              </w:rPr>
            </w:pPr>
            <w:r>
              <w:rPr>
                <w:rFonts w:ascii="Arial" w:cs="Arial" w:eastAsia="Arial" w:hAnsi="Arial"/>
                <w:sz w:val="17"/>
                <w:szCs w:val="17"/>
                <w:color w:val="auto"/>
              </w:rPr>
              <w:t>Dated September 7, 2011</w:t>
            </w:r>
          </w:p>
        </w:tc>
        <w:tc>
          <w:tcPr>
            <w:tcW w:w="1340" w:type="dxa"/>
            <w:vAlign w:val="bottom"/>
            <w:gridSpan w:val="2"/>
          </w:tcPr>
          <w:p>
            <w:pPr>
              <w:spacing w:after="0"/>
              <w:rPr>
                <w:sz w:val="20"/>
                <w:szCs w:val="20"/>
                <w:color w:val="auto"/>
              </w:rPr>
            </w:pPr>
            <w:r>
              <w:rPr>
                <w:rFonts w:ascii="Arial" w:cs="Arial" w:eastAsia="Arial" w:hAnsi="Arial"/>
                <w:sz w:val="17"/>
                <w:szCs w:val="17"/>
                <w:color w:val="auto"/>
                <w:w w:val="90"/>
              </w:rPr>
              <w:t>Attached as Exhibit</w:t>
            </w:r>
          </w:p>
        </w:tc>
      </w:tr>
    </w:tbl>
    <w:p>
      <w:pPr>
        <w:sectPr>
          <w:pgSz w:w="11900" w:h="16838" w:orient="portrait"/>
          <w:cols w:equalWidth="0" w:num="1">
            <w:col w:w="11040"/>
          </w:cols>
          <w:pgMar w:left="240" w:top="271" w:right="61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SIGNATURE</w:t>
      </w:r>
    </w:p>
    <w:p>
      <w:pPr>
        <w:spacing w:after="0" w:line="175"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56" w:lineRule="exact"/>
        <w:rPr>
          <w:sz w:val="20"/>
          <w:szCs w:val="20"/>
          <w:color w:val="auto"/>
        </w:rPr>
      </w:pPr>
    </w:p>
    <w:p>
      <w:pPr>
        <w:ind w:left="6060"/>
        <w:spacing w:after="0"/>
        <w:rPr>
          <w:sz w:val="20"/>
          <w:szCs w:val="20"/>
          <w:color w:val="auto"/>
        </w:rPr>
      </w:pPr>
      <w:r>
        <w:rPr>
          <w:rFonts w:ascii="Arial" w:cs="Arial" w:eastAsia="Arial" w:hAnsi="Arial"/>
          <w:sz w:val="17"/>
          <w:szCs w:val="17"/>
          <w:u w:val="single" w:color="auto"/>
          <w:color w:val="auto"/>
        </w:rPr>
        <w:t>GENERAL MOTORS COMPANY</w:t>
      </w:r>
    </w:p>
    <w:p>
      <w:pPr>
        <w:spacing w:after="0" w:line="2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(Registrant)</w:t>
      </w:r>
    </w:p>
    <w:p>
      <w:pPr>
        <w:spacing w:after="0" w:line="230"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7"/>
          <w:szCs w:val="17"/>
          <w:color w:val="auto"/>
        </w:rPr>
        <w:t>Date: September 9, 2011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14605</wp:posOffset>
            </wp:positionV>
            <wp:extent cx="34010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1060" cy="8255"/>
                    </a:xfrm>
                    <a:prstGeom prst="rect">
                      <a:avLst/>
                    </a:prstGeom>
                    <a:noFill/>
                  </pic:spPr>
                </pic:pic>
              </a:graphicData>
            </a:graphic>
          </wp:anchor>
        </w:drawing>
      </w:r>
    </w:p>
    <w:p>
      <w:pPr>
        <w:spacing w:after="0" w:line="2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Nick S. Cyprus</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Vice President, Controller and Chief Accounting</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Officer</w:t>
      </w:r>
    </w:p>
    <w:p>
      <w:pPr>
        <w:sectPr>
          <w:pgSz w:w="11900" w:h="16838" w:orient="portrait"/>
          <w:cols w:equalWidth="0" w:num="1">
            <w:col w:w="11300"/>
          </w:cols>
          <w:pgMar w:left="240" w:top="271"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312025" cy="5487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2025" cy="548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color w:val="FFFFFF"/>
        </w:rPr>
        <w:t>Exhibit 99.1</w:t>
      </w:r>
    </w:p>
    <w:p>
      <w:pPr>
        <w:spacing w:after="0" w:line="204" w:lineRule="auto"/>
        <w:rPr>
          <w:sz w:val="20"/>
          <w:szCs w:val="20"/>
          <w:color w:val="auto"/>
        </w:rPr>
      </w:pPr>
      <w:r>
        <w:rPr>
          <w:rFonts w:ascii="Arial" w:cs="Arial" w:eastAsia="Arial" w:hAnsi="Arial"/>
          <w:sz w:val="4"/>
          <w:szCs w:val="4"/>
          <w:color w:val="FFFFFF"/>
        </w:rPr>
        <w:t>Steve Girsky</w:t>
      </w:r>
    </w:p>
    <w:p>
      <w:pPr>
        <w:spacing w:after="0"/>
        <w:rPr>
          <w:sz w:val="20"/>
          <w:szCs w:val="20"/>
          <w:color w:val="auto"/>
        </w:rPr>
      </w:pPr>
      <w:r>
        <w:rPr>
          <w:rFonts w:ascii="Arial" w:cs="Arial" w:eastAsia="Arial" w:hAnsi="Arial"/>
          <w:sz w:val="13"/>
          <w:szCs w:val="13"/>
          <w:color w:val="FFFFFF"/>
        </w:rPr>
        <w:t>Vice Chairman, General Motors</w:t>
      </w:r>
    </w:p>
    <w:p>
      <w:pPr>
        <w:sectPr>
          <w:pgSz w:w="11900" w:h="16838" w:orient="portrait"/>
          <w:cols w:equalWidth="0" w:num="1">
            <w:col w:w="11420"/>
          </w:cols>
          <w:pgMar w:left="240" w:top="127"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0"/>
          <w:szCs w:val="10"/>
          <w:color w:val="FFFFFF"/>
        </w:rPr>
        <w:t>FORWARDInthispresentationLOOKINGandinSTATEMENTSrelatedcomments by our management, our use of the words “expect,” “anticipate,” “possible,” “potential,” “target,” “believe,” “commit,” “intend,” “continue,” “may,” “would,” “could,”</w:t>
      </w:r>
    </w:p>
    <w:p>
      <w:pPr>
        <w:spacing w:after="0" w:line="42" w:lineRule="exact"/>
        <w:rPr>
          <w:sz w:val="20"/>
          <w:szCs w:val="20"/>
          <w:color w:val="auto"/>
        </w:rPr>
      </w:pPr>
    </w:p>
    <w:p>
      <w:pPr>
        <w:ind w:right="120"/>
        <w:spacing w:after="0"/>
        <w:rPr>
          <w:sz w:val="20"/>
          <w:szCs w:val="20"/>
          <w:color w:val="auto"/>
        </w:rPr>
      </w:pPr>
      <w:r>
        <w:rPr>
          <w:rFonts w:ascii="Arial" w:cs="Arial" w:eastAsia="Arial" w:hAnsi="Arial"/>
          <w:sz w:val="1"/>
          <w:szCs w:val="1"/>
          <w:color w:val="FFFFFF"/>
        </w:rPr>
        <w:t>reasonable,“should,”“project,”butthese“projected,”statements are“positioned”notguaranteesorsimilarofanyexpressionseventsorfinancialisintendedresults,toidentifyandourforwardactual resultslookingmaystatementsdiffermateriallythatrepresentdue toour varietycurrent ofjudgmentimportantaboutfactors.possibleAmongfutureotherevents.items,Wesuchbelievefactorsthesemightjudgmentsinclude:areour ability to realize production efficiencies and to achieve reductions in costs as a of our restructuring initiatives and labor our ability to maintain quality control over our vehicles and avoid material</w:t>
      </w:r>
    </w:p>
    <w:p>
      <w:pPr>
        <w:ind w:left="6600"/>
        <w:spacing w:after="0" w:line="182" w:lineRule="auto"/>
        <w:rPr>
          <w:sz w:val="20"/>
          <w:szCs w:val="20"/>
          <w:color w:val="auto"/>
        </w:rPr>
      </w:pPr>
      <w:r>
        <w:rPr>
          <w:rFonts w:ascii="Arial" w:cs="Arial" w:eastAsia="Arial" w:hAnsi="Arial"/>
          <w:sz w:val="9"/>
          <w:szCs w:val="9"/>
          <w:color w:val="FFFFFF"/>
        </w:rPr>
        <w:t>modifications;</w:t>
      </w:r>
    </w:p>
    <w:p>
      <w:pPr>
        <w:spacing w:after="0" w:line="205" w:lineRule="auto"/>
        <w:rPr>
          <w:sz w:val="20"/>
          <w:szCs w:val="20"/>
          <w:color w:val="auto"/>
        </w:rPr>
      </w:pPr>
      <w:r>
        <w:rPr>
          <w:rFonts w:ascii="Arial" w:cs="Arial" w:eastAsia="Arial" w:hAnsi="Arial"/>
          <w:sz w:val="2"/>
          <w:szCs w:val="2"/>
          <w:color w:val="FFFFFF"/>
        </w:rPr>
        <w:t>vehicle recalls; our suppliers’ ability to deliver parts, systems and components at such</w:t>
      </w:r>
      <w:r>
        <w:rPr>
          <w:rFonts w:ascii="Arial" w:cs="Arial" w:eastAsia="Arial" w:hAnsi="Arial"/>
          <w:sz w:val="4"/>
          <w:szCs w:val="4"/>
          <w:color w:val="FFFFFF"/>
          <w:vertAlign w:val="subscript"/>
        </w:rPr>
        <w:t>technology;</w:t>
      </w:r>
      <w:r>
        <w:rPr>
          <w:rFonts w:ascii="Arial" w:cs="Arial" w:eastAsia="Arial" w:hAnsi="Arial"/>
          <w:sz w:val="2"/>
          <w:szCs w:val="2"/>
          <w:color w:val="FFFFFF"/>
        </w:rPr>
        <w:t>timestoallow us to meet production schedul</w:t>
      </w:r>
      <w:r>
        <w:rPr>
          <w:rFonts w:ascii="Arial" w:cs="Arial" w:eastAsia="Arial" w:hAnsi="Arial"/>
          <w:sz w:val="4"/>
          <w:szCs w:val="4"/>
          <w:color w:val="FFFFFF"/>
          <w:vertAlign w:val="subscript"/>
        </w:rPr>
        <w:t>vehicle</w:t>
      </w:r>
      <w:r>
        <w:rPr>
          <w:rFonts w:ascii="Arial" w:cs="Arial" w:eastAsia="Arial" w:hAnsi="Arial"/>
          <w:sz w:val="2"/>
          <w:szCs w:val="2"/>
          <w:color w:val="FFFFFF"/>
        </w:rPr>
        <w:t>our ability to maintain adequate liquidity and financing sources and an appropriate</w:t>
      </w:r>
    </w:p>
    <w:p>
      <w:pPr>
        <w:ind w:right="360"/>
        <w:spacing w:after="0" w:line="182" w:lineRule="auto"/>
        <w:rPr>
          <w:sz w:val="20"/>
          <w:szCs w:val="20"/>
          <w:color w:val="auto"/>
        </w:rPr>
      </w:pPr>
      <w:r>
        <w:rPr>
          <w:rFonts w:ascii="Arial" w:cs="Arial" w:eastAsia="Arial" w:hAnsi="Arial"/>
          <w:sz w:val="7"/>
          <w:szCs w:val="7"/>
          <w:color w:val="FFFFFF"/>
        </w:rPr>
        <w:t xml:space="preserve">level of debt, including as required to fund our planned significant investment in new our ability to realize successful applications of new technology; and our ability to continue to attract new </w:t>
      </w:r>
      <w:r>
        <w:rPr>
          <w:rFonts w:ascii="Arial" w:cs="Arial" w:eastAsia="Arial" w:hAnsi="Arial"/>
          <w:sz w:val="9"/>
          <w:szCs w:val="9"/>
          <w:color w:val="FFFFFF"/>
          <w:vertAlign w:val="subscript"/>
        </w:rPr>
        <w:t>customers,</w:t>
      </w:r>
      <w:r>
        <w:rPr>
          <w:rFonts w:ascii="Arial" w:cs="Arial" w:eastAsia="Arial" w:hAnsi="Arial"/>
          <w:sz w:val="7"/>
          <w:szCs w:val="7"/>
          <w:color w:val="FFFFFF"/>
        </w:rPr>
        <w:t xml:space="preserve"> particularly for our new products.</w:t>
      </w:r>
    </w:p>
    <w:p>
      <w:pPr>
        <w:spacing w:after="0"/>
        <w:rPr>
          <w:sz w:val="20"/>
          <w:szCs w:val="20"/>
          <w:color w:val="auto"/>
        </w:rPr>
      </w:pPr>
      <w:r>
        <w:rPr>
          <w:rFonts w:ascii="Arial" w:cs="Arial" w:eastAsia="Arial" w:hAnsi="Arial"/>
          <w:sz w:val="13"/>
          <w:szCs w:val="13"/>
          <w:color w:val="FFFFFF"/>
        </w:rPr>
        <w:t>GM’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420"/>
          </w:cols>
          <w:pgMar w:left="240" w:top="1440"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color w:val="FFFFFF"/>
        </w:rPr>
        <w:t>New GM</w:t>
      </w:r>
    </w:p>
    <w:p>
      <w:pPr>
        <w:spacing w:after="0"/>
        <w:rPr>
          <w:sz w:val="20"/>
          <w:szCs w:val="20"/>
          <w:color w:val="auto"/>
        </w:rPr>
      </w:pPr>
      <w:r>
        <w:rPr>
          <w:rFonts w:ascii="Arial" w:cs="Arial" w:eastAsia="Arial" w:hAnsi="Arial"/>
          <w:sz w:val="5"/>
          <w:szCs w:val="5"/>
          <w:color w:val="FFFFFF"/>
        </w:rPr>
        <w:t>UpdateCorporateon StrategyGMVentures</w:t>
      </w:r>
    </w:p>
    <w:p>
      <w:pPr>
        <w:sectPr>
          <w:pgSz w:w="11900" w:h="16838" w:orient="portrait"/>
          <w:cols w:equalWidth="0" w:num="1">
            <w:col w:w="10219"/>
          </w:cols>
          <w:pgMar w:left="2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6"/>
          <w:szCs w:val="26"/>
          <w:color w:val="FFFFFF"/>
          <w:vertAlign w:val="subscript"/>
        </w:rPr>
        <w:t>New</w:t>
      </w:r>
      <w:r>
        <w:rPr>
          <w:rFonts w:ascii="Arial" w:cs="Arial" w:eastAsia="Arial" w:hAnsi="Arial"/>
          <w:sz w:val="13"/>
          <w:szCs w:val="13"/>
          <w:color w:val="FFFFFF"/>
        </w:rPr>
        <w:t>EWBusinessGM Model</w:t>
      </w:r>
    </w:p>
    <w:p>
      <w:pPr>
        <w:spacing w:after="0"/>
        <w:rPr>
          <w:sz w:val="20"/>
          <w:szCs w:val="20"/>
          <w:color w:val="auto"/>
        </w:rPr>
      </w:pPr>
      <w:r>
        <w:rPr>
          <w:rFonts w:ascii="Arial" w:cs="Arial" w:eastAsia="Arial" w:hAnsi="Arial"/>
          <w:sz w:val="7"/>
          <w:szCs w:val="7"/>
          <w:color w:val="FFFFFF"/>
        </w:rPr>
        <w:t>SignificantlyLeveragetoGlobalLowerGrowthRiskProfile</w:t>
      </w:r>
    </w:p>
    <w:p>
      <w:pPr>
        <w:sectPr>
          <w:pgSz w:w="11900" w:h="16838" w:orient="portrait"/>
          <w:cols w:equalWidth="0" w:num="1">
            <w:col w:w="10219"/>
          </w:cols>
          <w:pgMar w:left="2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6"/>
          <w:szCs w:val="26"/>
          <w:color w:val="FFFFFF"/>
          <w:vertAlign w:val="subscript"/>
        </w:rPr>
        <w:t>SUCCESS</w:t>
      </w:r>
      <w:r>
        <w:rPr>
          <w:rFonts w:ascii="Arial" w:cs="Arial" w:eastAsia="Arial" w:hAnsi="Arial"/>
          <w:sz w:val="13"/>
          <w:szCs w:val="13"/>
          <w:color w:val="FFFFFF"/>
        </w:rPr>
        <w:t xml:space="preserve"> IN MARKET PLACE</w:t>
      </w:r>
    </w:p>
    <w:p>
      <w:pPr>
        <w:ind w:left="100"/>
        <w:spacing w:after="0" w:line="204" w:lineRule="auto"/>
        <w:rPr>
          <w:sz w:val="20"/>
          <w:szCs w:val="20"/>
          <w:color w:val="auto"/>
        </w:rPr>
      </w:pPr>
      <w:r>
        <w:rPr>
          <w:rFonts w:ascii="Arial" w:cs="Arial" w:eastAsia="Arial" w:hAnsi="Arial"/>
          <w:sz w:val="4"/>
          <w:szCs w:val="4"/>
          <w:color w:val="FFFFFF"/>
        </w:rPr>
        <w:t>. . Total Market Share</w:t>
      </w:r>
    </w:p>
    <w:p>
      <w:pPr>
        <w:spacing w:after="0" w:line="182" w:lineRule="auto"/>
        <w:rPr>
          <w:sz w:val="20"/>
          <w:szCs w:val="20"/>
          <w:color w:val="auto"/>
        </w:rPr>
      </w:pPr>
      <w:r>
        <w:rPr>
          <w:rFonts w:ascii="Arial" w:cs="Arial" w:eastAsia="Arial" w:hAnsi="Arial"/>
          <w:sz w:val="7"/>
          <w:szCs w:val="7"/>
          <w:color w:val="FFFFFF"/>
        </w:rPr>
        <w:t>19</w:t>
      </w:r>
      <w:r>
        <w:rPr>
          <w:rFonts w:ascii="Arial" w:cs="Arial" w:eastAsia="Arial" w:hAnsi="Arial"/>
          <w:sz w:val="9"/>
          <w:szCs w:val="9"/>
          <w:color w:val="FFFFFF"/>
          <w:vertAlign w:val="superscript"/>
        </w:rPr>
        <w:t>8</w:t>
      </w:r>
      <w:r>
        <w:rPr>
          <w:rFonts w:ascii="Arial" w:cs="Arial" w:eastAsia="Arial" w:hAnsi="Arial"/>
          <w:sz w:val="7"/>
          <w:szCs w:val="7"/>
          <w:color w:val="FFFFFF"/>
        </w:rPr>
        <w:t>.6%</w:t>
      </w:r>
      <w:r>
        <w:rPr>
          <w:rFonts w:ascii="Arial" w:cs="Arial" w:eastAsia="Arial" w:hAnsi="Arial"/>
          <w:sz w:val="9"/>
          <w:szCs w:val="9"/>
          <w:color w:val="FFFFFF"/>
          <w:vertAlign w:val="superscript"/>
        </w:rPr>
        <w:t>9%</w:t>
      </w:r>
    </w:p>
    <w:p>
      <w:pPr>
        <w:spacing w:after="0" w:line="206" w:lineRule="auto"/>
        <w:rPr>
          <w:sz w:val="20"/>
          <w:szCs w:val="20"/>
          <w:color w:val="auto"/>
        </w:rPr>
      </w:pPr>
      <w:r>
        <w:rPr>
          <w:rFonts w:ascii="Arial" w:cs="Arial" w:eastAsia="Arial" w:hAnsi="Arial"/>
          <w:sz w:val="2"/>
          <w:szCs w:val="2"/>
          <w:color w:val="FFFFFF"/>
        </w:rPr>
        <w:t>H1 201</w:t>
      </w:r>
      <w:r>
        <w:rPr>
          <w:rFonts w:ascii="Arial" w:cs="Arial" w:eastAsia="Arial" w:hAnsi="Arial"/>
          <w:sz w:val="4"/>
          <w:szCs w:val="4"/>
          <w:color w:val="FFFFFF"/>
          <w:vertAlign w:val="superscript"/>
        </w:rPr>
        <w:t>0</w:t>
      </w:r>
    </w:p>
    <w:p>
      <w:pPr>
        <w:ind w:left="380"/>
        <w:spacing w:after="0" w:line="182" w:lineRule="auto"/>
        <w:rPr>
          <w:sz w:val="20"/>
          <w:szCs w:val="20"/>
          <w:color w:val="auto"/>
        </w:rPr>
      </w:pPr>
      <w:r>
        <w:rPr>
          <w:rFonts w:ascii="Arial" w:cs="Arial" w:eastAsia="Arial" w:hAnsi="Arial"/>
          <w:sz w:val="9"/>
          <w:szCs w:val="9"/>
          <w:color w:val="FFFFFF"/>
        </w:rPr>
        <w:t>1</w:t>
      </w:r>
    </w:p>
    <w:p>
      <w:pPr>
        <w:spacing w:after="0" w:line="182" w:lineRule="auto"/>
        <w:rPr>
          <w:sz w:val="20"/>
          <w:szCs w:val="20"/>
          <w:color w:val="auto"/>
        </w:rPr>
      </w:pPr>
      <w:r>
        <w:rPr>
          <w:rFonts w:ascii="Arial" w:cs="Arial" w:eastAsia="Arial" w:hAnsi="Arial"/>
          <w:sz w:val="9"/>
          <w:szCs w:val="9"/>
          <w:color w:val="FFFFFF"/>
        </w:rPr>
        <w:t>29,800U.S.Retail ATP ($/Unit)</w:t>
      </w:r>
    </w:p>
    <w:p>
      <w:pPr>
        <w:spacing w:after="0" w:line="206" w:lineRule="auto"/>
        <w:rPr>
          <w:sz w:val="20"/>
          <w:szCs w:val="20"/>
          <w:color w:val="auto"/>
        </w:rPr>
      </w:pPr>
      <w:r>
        <w:rPr>
          <w:rFonts w:ascii="Arial" w:cs="Arial" w:eastAsia="Arial" w:hAnsi="Arial"/>
          <w:sz w:val="2"/>
          <w:szCs w:val="2"/>
          <w:color w:val="FFFFFF"/>
        </w:rPr>
        <w:t>H1 201</w:t>
      </w:r>
      <w:r>
        <w:rPr>
          <w:rFonts w:ascii="Arial" w:cs="Arial" w:eastAsia="Arial" w:hAnsi="Arial"/>
          <w:sz w:val="4"/>
          <w:szCs w:val="4"/>
          <w:color w:val="FFFFFF"/>
          <w:vertAlign w:val="superscript"/>
        </w:rPr>
        <w:t>0*</w:t>
      </w:r>
    </w:p>
    <w:p>
      <w:pPr>
        <w:ind w:left="380"/>
        <w:spacing w:after="0" w:line="182" w:lineRule="auto"/>
        <w:rPr>
          <w:sz w:val="20"/>
          <w:szCs w:val="20"/>
          <w:color w:val="auto"/>
        </w:rPr>
      </w:pPr>
      <w:r>
        <w:rPr>
          <w:rFonts w:ascii="Arial" w:cs="Arial" w:eastAsia="Arial" w:hAnsi="Arial"/>
          <w:sz w:val="9"/>
          <w:szCs w:val="9"/>
          <w:color w:val="FFFFFF"/>
        </w:rPr>
        <w:t>1</w:t>
      </w:r>
    </w:p>
    <w:p>
      <w:pPr>
        <w:spacing w:after="0" w:line="182" w:lineRule="auto"/>
        <w:rPr>
          <w:sz w:val="20"/>
          <w:szCs w:val="20"/>
          <w:color w:val="auto"/>
        </w:rPr>
      </w:pPr>
      <w:r>
        <w:rPr>
          <w:rFonts w:ascii="Arial" w:cs="Arial" w:eastAsia="Arial" w:hAnsi="Arial"/>
          <w:sz w:val="7"/>
          <w:szCs w:val="7"/>
          <w:color w:val="FFFFFF"/>
        </w:rPr>
        <w:t>17U.S.</w:t>
      </w:r>
      <w:r>
        <w:rPr>
          <w:rFonts w:ascii="Arial" w:cs="Arial" w:eastAsia="Arial" w:hAnsi="Arial"/>
          <w:sz w:val="9"/>
          <w:szCs w:val="9"/>
          <w:color w:val="FFFFFF"/>
          <w:vertAlign w:val="superscript"/>
        </w:rPr>
        <w:t>6</w:t>
      </w:r>
      <w:r>
        <w:rPr>
          <w:rFonts w:ascii="Arial" w:cs="Arial" w:eastAsia="Arial" w:hAnsi="Arial"/>
          <w:sz w:val="7"/>
          <w:szCs w:val="7"/>
          <w:color w:val="FFFFFF"/>
        </w:rPr>
        <w:t>.9%</w:t>
      </w:r>
      <w:r>
        <w:rPr>
          <w:rFonts w:ascii="Arial" w:cs="Arial" w:eastAsia="Arial" w:hAnsi="Arial"/>
          <w:sz w:val="9"/>
          <w:szCs w:val="9"/>
          <w:color w:val="FFFFFF"/>
          <w:vertAlign w:val="superscript"/>
        </w:rPr>
        <w:t>6%</w:t>
      </w:r>
      <w:r>
        <w:rPr>
          <w:rFonts w:ascii="Arial" w:cs="Arial" w:eastAsia="Arial" w:hAnsi="Arial"/>
          <w:sz w:val="7"/>
          <w:szCs w:val="7"/>
          <w:color w:val="FFFFFF"/>
        </w:rPr>
        <w:t>Retail Market Share</w:t>
      </w:r>
    </w:p>
    <w:p>
      <w:pPr>
        <w:jc w:val="right"/>
        <w:ind w:right="9759"/>
        <w:spacing w:after="0" w:line="206" w:lineRule="auto"/>
        <w:rPr>
          <w:sz w:val="20"/>
          <w:szCs w:val="20"/>
          <w:color w:val="auto"/>
        </w:rPr>
      </w:pPr>
      <w:r>
        <w:rPr>
          <w:rFonts w:ascii="Arial" w:cs="Arial" w:eastAsia="Arial" w:hAnsi="Arial"/>
          <w:sz w:val="2"/>
          <w:szCs w:val="2"/>
          <w:color w:val="FFFFFF"/>
        </w:rPr>
        <w:t>H1 201</w:t>
      </w:r>
      <w:r>
        <w:rPr>
          <w:rFonts w:ascii="Arial" w:cs="Arial" w:eastAsia="Arial" w:hAnsi="Arial"/>
          <w:sz w:val="4"/>
          <w:szCs w:val="4"/>
          <w:color w:val="FFFFFF"/>
          <w:vertAlign w:val="superscript"/>
        </w:rPr>
        <w:t>0</w:t>
      </w:r>
    </w:p>
    <w:p>
      <w:pPr>
        <w:jc w:val="right"/>
        <w:ind w:right="9759"/>
        <w:spacing w:after="0" w:line="182" w:lineRule="auto"/>
        <w:rPr>
          <w:sz w:val="20"/>
          <w:szCs w:val="20"/>
          <w:color w:val="auto"/>
        </w:rPr>
      </w:pPr>
      <w:r>
        <w:rPr>
          <w:rFonts w:ascii="Arial" w:cs="Arial" w:eastAsia="Arial" w:hAnsi="Arial"/>
          <w:sz w:val="9"/>
          <w:szCs w:val="9"/>
          <w:color w:val="FFFFFF"/>
        </w:rPr>
        <w:t>1</w:t>
      </w:r>
    </w:p>
    <w:p>
      <w:pPr>
        <w:spacing w:after="0" w:line="205" w:lineRule="auto"/>
        <w:rPr>
          <w:sz w:val="20"/>
          <w:szCs w:val="20"/>
          <w:color w:val="auto"/>
        </w:rPr>
      </w:pPr>
      <w:r>
        <w:rPr>
          <w:rFonts w:ascii="Arial" w:cs="Arial" w:eastAsia="Arial" w:hAnsi="Arial"/>
          <w:sz w:val="4"/>
          <w:szCs w:val="4"/>
          <w:color w:val="FFFFFF"/>
        </w:rPr>
        <w:t>2010U.S. 36moMY2011ResidualMY (Gap To Competitive Set)</w:t>
      </w:r>
    </w:p>
    <w:p>
      <w:pPr>
        <w:spacing w:after="0" w:line="182" w:lineRule="auto"/>
        <w:rPr>
          <w:sz w:val="20"/>
          <w:szCs w:val="20"/>
          <w:color w:val="auto"/>
        </w:rPr>
      </w:pPr>
      <w:r>
        <w:rPr>
          <w:rFonts w:ascii="Arial" w:cs="Arial" w:eastAsia="Arial" w:hAnsi="Arial"/>
          <w:sz w:val="7"/>
          <w:szCs w:val="7"/>
          <w:color w:val="FFFFFF"/>
        </w:rPr>
        <w:t>(2</w:t>
      </w:r>
      <w:r>
        <w:rPr>
          <w:rFonts w:ascii="Arial" w:cs="Arial" w:eastAsia="Arial" w:hAnsi="Arial"/>
          <w:sz w:val="9"/>
          <w:szCs w:val="9"/>
          <w:color w:val="FFFFFF"/>
          <w:vertAlign w:val="superscript"/>
        </w:rPr>
        <w:t>3</w:t>
      </w:r>
      <w:r>
        <w:rPr>
          <w:rFonts w:ascii="Arial" w:cs="Arial" w:eastAsia="Arial" w:hAnsi="Arial"/>
          <w:sz w:val="7"/>
          <w:szCs w:val="7"/>
          <w:color w:val="FFFFFF"/>
        </w:rPr>
        <w:t>.4)</w:t>
      </w:r>
      <w:r>
        <w:rPr>
          <w:rFonts w:ascii="Arial" w:cs="Arial" w:eastAsia="Arial" w:hAnsi="Arial"/>
          <w:sz w:val="9"/>
          <w:szCs w:val="9"/>
          <w:color w:val="FFFFFF"/>
          <w:vertAlign w:val="superscript"/>
        </w:rPr>
        <w:t>0)</w:t>
      </w:r>
      <w:r>
        <w:rPr>
          <w:rFonts w:ascii="Arial" w:cs="Arial" w:eastAsia="Arial" w:hAnsi="Arial"/>
          <w:sz w:val="7"/>
          <w:szCs w:val="7"/>
          <w:color w:val="FFFFFF"/>
        </w:rPr>
        <w:t xml:space="preserve"> pts</w:t>
      </w:r>
    </w:p>
    <w:p>
      <w:pPr>
        <w:spacing w:after="0"/>
        <w:rPr>
          <w:sz w:val="20"/>
          <w:szCs w:val="20"/>
          <w:color w:val="auto"/>
        </w:rPr>
      </w:pPr>
      <w:r>
        <w:rPr>
          <w:rFonts w:ascii="Arial" w:cs="Arial" w:eastAsia="Arial" w:hAnsi="Arial"/>
          <w:sz w:val="13"/>
          <w:szCs w:val="13"/>
          <w:color w:val="FFFFFF"/>
        </w:rPr>
        <w:t>* H1 2010 U.S. ATP mix adjusted</w:t>
      </w:r>
    </w:p>
    <w:p>
      <w:pPr>
        <w:sectPr>
          <w:pgSz w:w="11900" w:h="16838" w:orient="portrait"/>
          <w:cols w:equalWidth="0" w:num="1">
            <w:col w:w="10219"/>
          </w:cols>
          <w:pgMar w:left="2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1"/>
          <w:szCs w:val="11"/>
          <w:color w:val="FFFFFF"/>
        </w:rPr>
        <w:t>Everything Starts &amp; Ends with Great Products</w:t>
      </w:r>
    </w:p>
    <w:p>
      <w:pPr>
        <w:sectPr>
          <w:pgSz w:w="11900" w:h="16838" w:orient="portrait"/>
          <w:cols w:equalWidth="0" w:num="1">
            <w:col w:w="10219"/>
          </w:cols>
          <w:pgMar w:left="2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1"/>
          <w:szCs w:val="11"/>
          <w:color w:val="FFFFFF"/>
        </w:rPr>
        <w:t>Everything Starts &amp; Ends with Great Products</w:t>
      </w:r>
    </w:p>
    <w:p>
      <w:pPr>
        <w:sectPr>
          <w:pgSz w:w="11900" w:h="16838" w:orient="portrait"/>
          <w:cols w:equalWidth="0" w:num="1">
            <w:col w:w="10219"/>
          </w:cols>
          <w:pgMar w:left="2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1"/>
          <w:szCs w:val="11"/>
          <w:color w:val="FFFFFF"/>
        </w:rPr>
        <w:t>Everything Starts &amp; Ends with Great Products</w:t>
      </w:r>
    </w:p>
    <w:p>
      <w:pPr>
        <w:sectPr>
          <w:pgSz w:w="11900" w:h="16838" w:orient="portrait"/>
          <w:cols w:equalWidth="0" w:num="1">
            <w:col w:w="10219"/>
          </w:cols>
          <w:pgMar w:left="2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12"/>
                <w:szCs w:val="12"/>
                <w:color w:val="auto"/>
              </w:rPr>
            </w:pPr>
          </w:p>
        </w:tc>
        <w:tc>
          <w:tcPr>
            <w:tcW w:w="4380" w:type="dxa"/>
            <w:vAlign w:val="bottom"/>
          </w:tcPr>
          <w:p>
            <w:pPr>
              <w:ind w:left="20"/>
              <w:spacing w:after="0"/>
              <w:rPr>
                <w:sz w:val="20"/>
                <w:szCs w:val="20"/>
                <w:color w:val="auto"/>
              </w:rPr>
            </w:pPr>
            <w:r>
              <w:rPr>
                <w:rFonts w:ascii="Arial" w:cs="Arial" w:eastAsia="Arial" w:hAnsi="Arial"/>
                <w:sz w:val="13"/>
                <w:szCs w:val="13"/>
                <w:color w:val="FFFFFF"/>
              </w:rPr>
              <w:t>GLOBAL GROWTH</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5080" w:type="dxa"/>
            <w:vAlign w:val="bottom"/>
            <w:gridSpan w:val="2"/>
          </w:tcPr>
          <w:p>
            <w:pPr>
              <w:spacing w:after="0" w:line="40" w:lineRule="exact"/>
              <w:rPr>
                <w:sz w:val="20"/>
                <w:szCs w:val="20"/>
                <w:color w:val="auto"/>
              </w:rPr>
            </w:pPr>
            <w:r>
              <w:rPr>
                <w:rFonts w:ascii="Arial" w:cs="Arial" w:eastAsia="Arial" w:hAnsi="Arial"/>
                <w:sz w:val="4"/>
                <w:szCs w:val="4"/>
                <w:color w:val="FFFFFF"/>
              </w:rPr>
              <w:t>LEVERAGEIndustryolume (M)</w:t>
            </w: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700" w:type="dxa"/>
            <w:vAlign w:val="bottom"/>
          </w:tcPr>
          <w:p>
            <w:pPr>
              <w:jc w:val="right"/>
              <w:ind w:right="536"/>
              <w:spacing w:after="0" w:line="40" w:lineRule="exact"/>
              <w:rPr>
                <w:sz w:val="20"/>
                <w:szCs w:val="20"/>
                <w:color w:val="auto"/>
              </w:rPr>
            </w:pPr>
            <w:r>
              <w:rPr>
                <w:rFonts w:ascii="Arial" w:cs="Arial" w:eastAsia="Arial" w:hAnsi="Arial"/>
                <w:sz w:val="4"/>
                <w:szCs w:val="4"/>
                <w:color w:val="FFFFFF"/>
              </w:rPr>
              <w:t>72</w:t>
            </w:r>
          </w:p>
        </w:tc>
        <w:tc>
          <w:tcPr>
            <w:tcW w:w="43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700" w:type="dxa"/>
            <w:vAlign w:val="bottom"/>
          </w:tcPr>
          <w:p>
            <w:pPr>
              <w:jc w:val="right"/>
              <w:ind w:right="536"/>
              <w:spacing w:after="0" w:line="40" w:lineRule="exact"/>
              <w:rPr>
                <w:sz w:val="20"/>
                <w:szCs w:val="20"/>
                <w:color w:val="auto"/>
              </w:rPr>
            </w:pPr>
            <w:r>
              <w:rPr>
                <w:rFonts w:ascii="Arial" w:cs="Arial" w:eastAsia="Arial" w:hAnsi="Arial"/>
                <w:sz w:val="4"/>
                <w:szCs w:val="4"/>
                <w:color w:val="FFFFFF"/>
              </w:rPr>
              <w:t>9</w:t>
            </w:r>
          </w:p>
        </w:tc>
        <w:tc>
          <w:tcPr>
            <w:tcW w:w="43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700" w:type="dxa"/>
            <w:vAlign w:val="bottom"/>
          </w:tcPr>
          <w:p>
            <w:pPr>
              <w:jc w:val="right"/>
              <w:ind w:right="536"/>
              <w:spacing w:after="0" w:line="79" w:lineRule="exact"/>
              <w:rPr>
                <w:sz w:val="20"/>
                <w:szCs w:val="20"/>
                <w:color w:val="auto"/>
              </w:rPr>
            </w:pPr>
            <w:r>
              <w:rPr>
                <w:rFonts w:ascii="Arial" w:cs="Arial" w:eastAsia="Arial" w:hAnsi="Arial"/>
                <w:sz w:val="9"/>
                <w:szCs w:val="9"/>
                <w:color w:val="FFFFFF"/>
              </w:rPr>
              <w:t>14</w:t>
            </w:r>
          </w:p>
        </w:tc>
        <w:tc>
          <w:tcPr>
            <w:tcW w:w="43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700" w:type="dxa"/>
            <w:vAlign w:val="bottom"/>
          </w:tcPr>
          <w:p>
            <w:pPr>
              <w:jc w:val="right"/>
              <w:ind w:right="536"/>
              <w:spacing w:after="0" w:line="40" w:lineRule="exact"/>
              <w:rPr>
                <w:sz w:val="20"/>
                <w:szCs w:val="20"/>
                <w:color w:val="auto"/>
              </w:rPr>
            </w:pPr>
            <w:r>
              <w:rPr>
                <w:rFonts w:ascii="Arial" w:cs="Arial" w:eastAsia="Arial" w:hAnsi="Arial"/>
                <w:sz w:val="4"/>
                <w:szCs w:val="4"/>
                <w:color w:val="FFFFFF"/>
              </w:rPr>
              <w:t>5</w:t>
            </w:r>
          </w:p>
        </w:tc>
        <w:tc>
          <w:tcPr>
            <w:tcW w:w="43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700" w:type="dxa"/>
            <w:vAlign w:val="bottom"/>
          </w:tcPr>
          <w:p>
            <w:pPr>
              <w:spacing w:after="0" w:line="40" w:lineRule="exact"/>
              <w:rPr>
                <w:sz w:val="20"/>
                <w:szCs w:val="20"/>
                <w:color w:val="auto"/>
              </w:rPr>
            </w:pPr>
            <w:r>
              <w:rPr>
                <w:rFonts w:ascii="Arial" w:cs="Arial" w:eastAsia="Arial" w:hAnsi="Arial"/>
                <w:sz w:val="4"/>
                <w:szCs w:val="4"/>
                <w:color w:val="FFFFFF"/>
              </w:rPr>
              <w:t>2010</w:t>
            </w:r>
          </w:p>
        </w:tc>
        <w:tc>
          <w:tcPr>
            <w:tcW w:w="43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700" w:type="dxa"/>
            <w:vAlign w:val="bottom"/>
          </w:tcPr>
          <w:p>
            <w:pPr>
              <w:jc w:val="right"/>
              <w:ind w:right="536"/>
              <w:spacing w:after="0" w:line="40" w:lineRule="exact"/>
              <w:rPr>
                <w:sz w:val="20"/>
                <w:szCs w:val="20"/>
                <w:color w:val="auto"/>
              </w:rPr>
            </w:pPr>
            <w:r>
              <w:rPr>
                <w:rFonts w:ascii="Arial" w:cs="Arial" w:eastAsia="Arial" w:hAnsi="Arial"/>
                <w:sz w:val="4"/>
                <w:szCs w:val="4"/>
                <w:color w:val="FFFFFF"/>
              </w:rPr>
              <w:t>95</w:t>
            </w:r>
          </w:p>
        </w:tc>
        <w:tc>
          <w:tcPr>
            <w:tcW w:w="43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700" w:type="dxa"/>
            <w:vAlign w:val="bottom"/>
          </w:tcPr>
          <w:p>
            <w:pPr>
              <w:jc w:val="right"/>
              <w:ind w:right="536"/>
              <w:spacing w:after="0" w:line="40" w:lineRule="exact"/>
              <w:rPr>
                <w:sz w:val="20"/>
                <w:szCs w:val="20"/>
                <w:color w:val="auto"/>
              </w:rPr>
            </w:pPr>
            <w:r>
              <w:rPr>
                <w:rFonts w:ascii="Arial" w:cs="Arial" w:eastAsia="Arial" w:hAnsi="Arial"/>
                <w:sz w:val="4"/>
                <w:szCs w:val="4"/>
                <w:color w:val="FFFFFF"/>
              </w:rPr>
              <w:t>23</w:t>
            </w:r>
          </w:p>
        </w:tc>
        <w:tc>
          <w:tcPr>
            <w:tcW w:w="43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700" w:type="dxa"/>
            <w:vAlign w:val="bottom"/>
          </w:tcPr>
          <w:p>
            <w:pPr>
              <w:jc w:val="right"/>
              <w:ind w:right="536"/>
              <w:spacing w:after="0" w:line="40" w:lineRule="exact"/>
              <w:rPr>
                <w:sz w:val="20"/>
                <w:szCs w:val="20"/>
                <w:color w:val="auto"/>
              </w:rPr>
            </w:pPr>
            <w:r>
              <w:rPr>
                <w:rFonts w:ascii="Arial" w:cs="Arial" w:eastAsia="Arial" w:hAnsi="Arial"/>
                <w:sz w:val="4"/>
                <w:szCs w:val="4"/>
                <w:color w:val="FFFFFF"/>
              </w:rPr>
              <w:t>6</w:t>
            </w:r>
          </w:p>
        </w:tc>
        <w:tc>
          <w:tcPr>
            <w:tcW w:w="43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700" w:type="dxa"/>
            <w:vAlign w:val="bottom"/>
          </w:tcPr>
          <w:p>
            <w:pPr>
              <w:jc w:val="right"/>
              <w:ind w:right="536"/>
              <w:spacing w:after="0" w:line="40" w:lineRule="exact"/>
              <w:rPr>
                <w:sz w:val="20"/>
                <w:szCs w:val="20"/>
                <w:color w:val="auto"/>
              </w:rPr>
            </w:pPr>
            <w:r>
              <w:rPr>
                <w:rFonts w:ascii="Arial" w:cs="Arial" w:eastAsia="Arial" w:hAnsi="Arial"/>
                <w:sz w:val="4"/>
                <w:szCs w:val="4"/>
                <w:color w:val="FFFFFF"/>
              </w:rPr>
              <w:t>19</w:t>
            </w:r>
          </w:p>
        </w:tc>
        <w:tc>
          <w:tcPr>
            <w:tcW w:w="43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700" w:type="dxa"/>
            <w:vAlign w:val="bottom"/>
          </w:tcPr>
          <w:p>
            <w:pPr>
              <w:jc w:val="right"/>
              <w:ind w:right="536"/>
              <w:spacing w:after="0" w:line="40" w:lineRule="exact"/>
              <w:rPr>
                <w:sz w:val="20"/>
                <w:szCs w:val="20"/>
                <w:color w:val="auto"/>
              </w:rPr>
            </w:pPr>
            <w:r>
              <w:rPr>
                <w:rFonts w:ascii="Arial" w:cs="Arial" w:eastAsia="Arial" w:hAnsi="Arial"/>
                <w:sz w:val="4"/>
                <w:szCs w:val="4"/>
                <w:color w:val="FFFFFF"/>
              </w:rPr>
              <w:t>37</w:t>
            </w:r>
          </w:p>
        </w:tc>
        <w:tc>
          <w:tcPr>
            <w:tcW w:w="43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700" w:type="dxa"/>
            <w:vAlign w:val="bottom"/>
          </w:tcPr>
          <w:p>
            <w:pPr>
              <w:spacing w:after="0" w:line="40" w:lineRule="exact"/>
              <w:rPr>
                <w:sz w:val="20"/>
                <w:szCs w:val="20"/>
                <w:color w:val="auto"/>
              </w:rPr>
            </w:pPr>
            <w:r>
              <w:rPr>
                <w:rFonts w:ascii="Arial" w:cs="Arial" w:eastAsia="Arial" w:hAnsi="Arial"/>
                <w:sz w:val="4"/>
                <w:szCs w:val="4"/>
                <w:color w:val="FFFFFF"/>
              </w:rPr>
              <w:t>2015 Est.</w:t>
            </w:r>
          </w:p>
        </w:tc>
        <w:tc>
          <w:tcPr>
            <w:tcW w:w="43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080" w:type="dxa"/>
            <w:vAlign w:val="bottom"/>
            <w:gridSpan w:val="2"/>
          </w:tcPr>
          <w:p>
            <w:pPr>
              <w:spacing w:after="0" w:line="40" w:lineRule="exact"/>
              <w:rPr>
                <w:sz w:val="20"/>
                <w:szCs w:val="20"/>
                <w:color w:val="auto"/>
              </w:rPr>
            </w:pPr>
            <w:r>
              <w:rPr>
                <w:rFonts w:ascii="Arial" w:cs="Arial" w:eastAsia="Arial" w:hAnsi="Arial"/>
                <w:sz w:val="4"/>
                <w:szCs w:val="4"/>
                <w:color w:val="FFFFFF"/>
              </w:rPr>
              <w:t>GM – 2011 H1 Performance</w:t>
            </w: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080" w:type="dxa"/>
            <w:vAlign w:val="bottom"/>
            <w:gridSpan w:val="2"/>
          </w:tcPr>
          <w:p>
            <w:pPr>
              <w:spacing w:after="0" w:line="40" w:lineRule="exact"/>
              <w:rPr>
                <w:sz w:val="20"/>
                <w:szCs w:val="20"/>
                <w:color w:val="auto"/>
              </w:rPr>
            </w:pPr>
            <w:r>
              <w:rPr>
                <w:rFonts w:ascii="Arial" w:cs="Arial" w:eastAsia="Arial" w:hAnsi="Arial"/>
                <w:sz w:val="4"/>
                <w:szCs w:val="4"/>
                <w:color w:val="FFFFFF"/>
              </w:rPr>
              <w:t>Position Market Share</w:t>
            </w: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080" w:type="dxa"/>
            <w:vAlign w:val="bottom"/>
            <w:gridSpan w:val="2"/>
          </w:tcPr>
          <w:p>
            <w:pPr>
              <w:spacing w:after="0" w:line="40" w:lineRule="exact"/>
              <w:rPr>
                <w:sz w:val="20"/>
                <w:szCs w:val="20"/>
                <w:color w:val="auto"/>
              </w:rPr>
            </w:pPr>
            <w:r>
              <w:rPr>
                <w:rFonts w:ascii="Arial" w:cs="Arial" w:eastAsia="Arial" w:hAnsi="Arial"/>
                <w:sz w:val="4"/>
                <w:szCs w:val="4"/>
                <w:color w:val="FFFFFF"/>
              </w:rPr>
              <w:t>All Other 3 8%</w:t>
            </w: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080" w:type="dxa"/>
            <w:vAlign w:val="bottom"/>
            <w:gridSpan w:val="2"/>
          </w:tcPr>
          <w:p>
            <w:pPr>
              <w:spacing w:after="0" w:line="40" w:lineRule="exact"/>
              <w:rPr>
                <w:sz w:val="20"/>
                <w:szCs w:val="20"/>
                <w:color w:val="auto"/>
              </w:rPr>
            </w:pPr>
            <w:r>
              <w:rPr>
                <w:rFonts w:ascii="Arial" w:cs="Arial" w:eastAsia="Arial" w:hAnsi="Arial"/>
                <w:sz w:val="4"/>
                <w:szCs w:val="4"/>
                <w:color w:val="FFFFFF"/>
              </w:rPr>
              <w:t>Western Europe 5 8%</w:t>
            </w: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080" w:type="dxa"/>
            <w:vAlign w:val="bottom"/>
            <w:gridSpan w:val="2"/>
          </w:tcPr>
          <w:p>
            <w:pPr>
              <w:spacing w:after="0" w:line="40" w:lineRule="exact"/>
              <w:rPr>
                <w:sz w:val="20"/>
                <w:szCs w:val="20"/>
                <w:color w:val="auto"/>
              </w:rPr>
            </w:pPr>
            <w:r>
              <w:rPr>
                <w:rFonts w:ascii="Arial" w:cs="Arial" w:eastAsia="Arial" w:hAnsi="Arial"/>
                <w:sz w:val="4"/>
                <w:szCs w:val="4"/>
                <w:color w:val="FFFFFF"/>
              </w:rPr>
              <w:t>North America 1 19%</w:t>
            </w: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700" w:type="dxa"/>
            <w:vAlign w:val="bottom"/>
          </w:tcPr>
          <w:p>
            <w:pPr>
              <w:spacing w:after="0" w:line="40" w:lineRule="exact"/>
              <w:rPr>
                <w:sz w:val="20"/>
                <w:szCs w:val="20"/>
                <w:color w:val="auto"/>
              </w:rPr>
            </w:pPr>
            <w:r>
              <w:rPr>
                <w:rFonts w:ascii="Arial" w:cs="Arial" w:eastAsia="Arial" w:hAnsi="Arial"/>
                <w:sz w:val="4"/>
                <w:szCs w:val="4"/>
                <w:color w:val="FFFFFF"/>
              </w:rPr>
              <w:t>BRIC 1 12%</w:t>
            </w:r>
          </w:p>
        </w:tc>
        <w:tc>
          <w:tcPr>
            <w:tcW w:w="4380" w:type="dxa"/>
            <w:vAlign w:val="bottom"/>
          </w:tcPr>
          <w:p>
            <w:pPr>
              <w:spacing w:after="0"/>
              <w:rPr>
                <w:sz w:val="3"/>
                <w:szCs w:val="3"/>
                <w:color w:val="auto"/>
              </w:rPr>
            </w:pPr>
          </w:p>
        </w:tc>
        <w:tc>
          <w:tcPr>
            <w:tcW w:w="1440" w:type="dxa"/>
            <w:vAlign w:val="bottom"/>
            <w:vMerge w:val="restart"/>
          </w:tcPr>
          <w:p>
            <w:pPr>
              <w:ind w:left="160"/>
              <w:spacing w:after="0" w:line="38" w:lineRule="exact"/>
              <w:rPr>
                <w:sz w:val="20"/>
                <w:szCs w:val="20"/>
                <w:color w:val="auto"/>
              </w:rPr>
            </w:pPr>
            <w:r>
              <w:rPr>
                <w:rFonts w:ascii="Arial" w:cs="Arial" w:eastAsia="Arial" w:hAnsi="Arial"/>
                <w:sz w:val="4"/>
                <w:szCs w:val="4"/>
                <w:color w:val="FFFFFF"/>
              </w:rPr>
              <w:t>forecast September 2011</w:t>
            </w:r>
          </w:p>
        </w:tc>
        <w:tc>
          <w:tcPr>
            <w:tcW w:w="0" w:type="dxa"/>
            <w:vAlign w:val="bottom"/>
          </w:tcPr>
          <w:p>
            <w:pPr>
              <w:spacing w:after="0" w:line="20" w:lineRule="exact"/>
              <w:rPr>
                <w:sz w:val="1"/>
                <w:szCs w:val="1"/>
                <w:color w:val="auto"/>
              </w:rPr>
            </w:pPr>
          </w:p>
        </w:tc>
      </w:tr>
      <w:tr>
        <w:trPr>
          <w:trHeight w:val="0"/>
        </w:trPr>
        <w:tc>
          <w:tcPr>
            <w:tcW w:w="5080" w:type="dxa"/>
            <w:vAlign w:val="bottom"/>
            <w:gridSpan w:val="2"/>
          </w:tcPr>
          <w:p>
            <w:pPr>
              <w:spacing w:after="0" w:line="78" w:lineRule="exact"/>
              <w:rPr>
                <w:sz w:val="20"/>
                <w:szCs w:val="20"/>
                <w:color w:val="auto"/>
              </w:rPr>
            </w:pPr>
            <w:r>
              <w:rPr>
                <w:rFonts w:ascii="Arial" w:cs="Arial" w:eastAsia="Arial" w:hAnsi="Arial"/>
                <w:sz w:val="8"/>
                <w:szCs w:val="8"/>
                <w:color w:val="FFFFFF"/>
              </w:rPr>
              <w:t>2010 industry volume &amp; 5 YR projected growth based on IHS Automotive car and light truck</w:t>
            </w: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auto"/>
        <w:rPr>
          <w:sz w:val="20"/>
          <w:szCs w:val="20"/>
          <w:color w:val="auto"/>
        </w:rPr>
      </w:pPr>
      <w:r>
        <w:rPr>
          <w:rFonts w:ascii="Arial" w:cs="Arial" w:eastAsia="Arial" w:hAnsi="Arial"/>
          <w:sz w:val="12"/>
          <w:szCs w:val="12"/>
          <w:color w:val="FFFFFF"/>
        </w:rPr>
        <w:t>GM market position and share based on GM internal data and includes sales by joint ventures onsalestotal vehicle basis</w:t>
      </w:r>
    </w:p>
    <w:p>
      <w:pPr>
        <w:sectPr>
          <w:pgSz w:w="11900" w:h="16838" w:orient="portrait"/>
          <w:cols w:equalWidth="0" w:num="1">
            <w:col w:w="10219"/>
          </w:cols>
          <w:pgMar w:left="2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80" w:type="dxa"/>
            <w:vAlign w:val="bottom"/>
            <w:gridSpan w:val="2"/>
          </w:tcPr>
          <w:p>
            <w:pPr>
              <w:spacing w:after="0"/>
              <w:rPr>
                <w:sz w:val="20"/>
                <w:szCs w:val="20"/>
                <w:color w:val="auto"/>
              </w:rPr>
            </w:pPr>
            <w:r>
              <w:rPr>
                <w:rFonts w:ascii="Arial" w:cs="Arial" w:eastAsia="Arial" w:hAnsi="Arial"/>
                <w:sz w:val="13"/>
                <w:szCs w:val="13"/>
                <w:color w:val="FFFFFF"/>
              </w:rPr>
              <w:t>LOWER RISK PROFILE</w:t>
            </w:r>
          </w:p>
        </w:tc>
        <w:tc>
          <w:tcPr>
            <w:tcW w:w="28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4380" w:type="dxa"/>
            <w:vAlign w:val="bottom"/>
            <w:gridSpan w:val="2"/>
          </w:tcPr>
          <w:p>
            <w:pPr>
              <w:spacing w:after="0" w:line="40" w:lineRule="exact"/>
              <w:rPr>
                <w:sz w:val="20"/>
                <w:szCs w:val="20"/>
                <w:color w:val="auto"/>
              </w:rPr>
            </w:pPr>
            <w:r>
              <w:rPr>
                <w:rFonts w:ascii="Arial" w:cs="Arial" w:eastAsia="Arial" w:hAnsi="Arial"/>
                <w:sz w:val="4"/>
                <w:szCs w:val="4"/>
                <w:color w:val="FFFFFF"/>
              </w:rPr>
              <w:t>Old GM</w:t>
            </w:r>
          </w:p>
        </w:tc>
        <w:tc>
          <w:tcPr>
            <w:tcW w:w="2860" w:type="dxa"/>
            <w:vAlign w:val="bottom"/>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380" w:type="dxa"/>
            <w:vAlign w:val="bottom"/>
            <w:gridSpan w:val="2"/>
          </w:tcPr>
          <w:p>
            <w:pPr>
              <w:spacing w:after="0" w:line="40" w:lineRule="exact"/>
              <w:rPr>
                <w:sz w:val="20"/>
                <w:szCs w:val="20"/>
                <w:color w:val="auto"/>
              </w:rPr>
            </w:pPr>
            <w:r>
              <w:rPr>
                <w:rFonts w:ascii="Arial" w:cs="Arial" w:eastAsia="Arial" w:hAnsi="Arial"/>
                <w:sz w:val="4"/>
                <w:szCs w:val="4"/>
                <w:color w:val="FFFFFF"/>
              </w:rPr>
              <w:t>New GM</w:t>
            </w:r>
          </w:p>
        </w:tc>
        <w:tc>
          <w:tcPr>
            <w:tcW w:w="2860" w:type="dxa"/>
            <w:vAlign w:val="bottom"/>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380" w:type="dxa"/>
            <w:vAlign w:val="bottom"/>
            <w:gridSpan w:val="2"/>
          </w:tcPr>
          <w:p>
            <w:pPr>
              <w:spacing w:after="0" w:line="40" w:lineRule="exact"/>
              <w:rPr>
                <w:sz w:val="20"/>
                <w:szCs w:val="20"/>
                <w:color w:val="auto"/>
              </w:rPr>
            </w:pPr>
            <w:r>
              <w:rPr>
                <w:rFonts w:ascii="Arial" w:cs="Arial" w:eastAsia="Arial" w:hAnsi="Arial"/>
                <w:sz w:val="4"/>
                <w:szCs w:val="4"/>
                <w:color w:val="FFFFFF"/>
              </w:rPr>
              <w:t>U. .</w:t>
            </w:r>
          </w:p>
        </w:tc>
        <w:tc>
          <w:tcPr>
            <w:tcW w:w="2860" w:type="dxa"/>
            <w:vAlign w:val="bottom"/>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380" w:type="dxa"/>
            <w:vAlign w:val="bottom"/>
            <w:gridSpan w:val="2"/>
          </w:tcPr>
          <w:p>
            <w:pPr>
              <w:spacing w:after="0" w:line="40" w:lineRule="exact"/>
              <w:rPr>
                <w:sz w:val="20"/>
                <w:szCs w:val="20"/>
                <w:color w:val="auto"/>
              </w:rPr>
            </w:pPr>
            <w:r>
              <w:rPr>
                <w:rFonts w:ascii="Arial" w:cs="Arial" w:eastAsia="Arial" w:hAnsi="Arial"/>
                <w:sz w:val="4"/>
                <w:szCs w:val="4"/>
                <w:color w:val="FFFFFF"/>
              </w:rPr>
              <w:t>SAAR (M)</w:t>
            </w:r>
          </w:p>
        </w:tc>
        <w:tc>
          <w:tcPr>
            <w:tcW w:w="2860" w:type="dxa"/>
            <w:vAlign w:val="bottom"/>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4300" w:type="dxa"/>
            <w:vAlign w:val="bottom"/>
          </w:tcPr>
          <w:p>
            <w:pPr>
              <w:jc w:val="right"/>
              <w:ind w:right="4218"/>
              <w:spacing w:after="0" w:line="40" w:lineRule="exact"/>
              <w:rPr>
                <w:sz w:val="20"/>
                <w:szCs w:val="20"/>
                <w:color w:val="auto"/>
              </w:rPr>
            </w:pPr>
            <w:r>
              <w:rPr>
                <w:rFonts w:ascii="Arial" w:cs="Arial" w:eastAsia="Arial" w:hAnsi="Arial"/>
                <w:sz w:val="4"/>
                <w:szCs w:val="4"/>
                <w:color w:val="FFFFFF"/>
              </w:rPr>
              <w:t>6</w:t>
            </w:r>
          </w:p>
        </w:tc>
        <w:tc>
          <w:tcPr>
            <w:tcW w:w="2860" w:type="dxa"/>
            <w:vAlign w:val="bottom"/>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380" w:type="dxa"/>
            <w:vAlign w:val="bottom"/>
            <w:gridSpan w:val="2"/>
          </w:tcPr>
          <w:p>
            <w:pPr>
              <w:spacing w:after="0" w:line="40" w:lineRule="exact"/>
              <w:rPr>
                <w:sz w:val="20"/>
                <w:szCs w:val="20"/>
                <w:color w:val="auto"/>
              </w:rPr>
            </w:pPr>
            <w:r>
              <w:rPr>
                <w:rFonts w:ascii="Arial" w:cs="Arial" w:eastAsia="Arial" w:hAnsi="Arial"/>
                <w:sz w:val="4"/>
                <w:szCs w:val="4"/>
                <w:color w:val="FFFFFF"/>
              </w:rPr>
              <w:t>12</w:t>
            </w:r>
          </w:p>
        </w:tc>
        <w:tc>
          <w:tcPr>
            <w:tcW w:w="2860" w:type="dxa"/>
            <w:vAlign w:val="bottom"/>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line="40" w:lineRule="exact"/>
              <w:rPr>
                <w:sz w:val="20"/>
                <w:szCs w:val="20"/>
                <w:color w:val="auto"/>
              </w:rPr>
            </w:pPr>
            <w:r>
              <w:rPr>
                <w:rFonts w:ascii="Arial" w:cs="Arial" w:eastAsia="Arial" w:hAnsi="Arial"/>
                <w:sz w:val="4"/>
                <w:szCs w:val="4"/>
                <w:color w:val="FFFFFF"/>
              </w:rPr>
              <w:t>8</w:t>
            </w:r>
          </w:p>
        </w:tc>
        <w:tc>
          <w:tcPr>
            <w:tcW w:w="43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line="40" w:lineRule="exact"/>
              <w:rPr>
                <w:sz w:val="20"/>
                <w:szCs w:val="20"/>
                <w:color w:val="auto"/>
              </w:rPr>
            </w:pPr>
            <w:r>
              <w:rPr>
                <w:rFonts w:ascii="Arial" w:cs="Arial" w:eastAsia="Arial" w:hAnsi="Arial"/>
                <w:sz w:val="4"/>
                <w:szCs w:val="4"/>
                <w:color w:val="FFFFFF"/>
              </w:rPr>
              <w:t>4</w:t>
            </w:r>
          </w:p>
        </w:tc>
        <w:tc>
          <w:tcPr>
            <w:tcW w:w="43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line="40" w:lineRule="exact"/>
              <w:rPr>
                <w:sz w:val="20"/>
                <w:szCs w:val="20"/>
                <w:color w:val="auto"/>
              </w:rPr>
            </w:pPr>
            <w:r>
              <w:rPr>
                <w:rFonts w:ascii="Arial" w:cs="Arial" w:eastAsia="Arial" w:hAnsi="Arial"/>
                <w:sz w:val="4"/>
                <w:szCs w:val="4"/>
                <w:color w:val="FFFFFF"/>
              </w:rPr>
              <w:t>0</w:t>
            </w:r>
          </w:p>
        </w:tc>
        <w:tc>
          <w:tcPr>
            <w:tcW w:w="43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380" w:type="dxa"/>
            <w:vAlign w:val="bottom"/>
            <w:gridSpan w:val="2"/>
          </w:tcPr>
          <w:p>
            <w:pPr>
              <w:spacing w:after="0" w:line="40" w:lineRule="exact"/>
              <w:rPr>
                <w:sz w:val="20"/>
                <w:szCs w:val="20"/>
                <w:color w:val="auto"/>
              </w:rPr>
            </w:pPr>
            <w:r>
              <w:rPr>
                <w:rFonts w:ascii="Arial" w:cs="Arial" w:eastAsia="Arial" w:hAnsi="Arial"/>
                <w:sz w:val="4"/>
                <w:szCs w:val="4"/>
                <w:color w:val="FFFFFF"/>
              </w:rPr>
              <w:t>U.S. SAAR</w:t>
            </w:r>
          </w:p>
        </w:tc>
        <w:tc>
          <w:tcPr>
            <w:tcW w:w="2860" w:type="dxa"/>
            <w:vAlign w:val="bottom"/>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380" w:type="dxa"/>
            <w:vAlign w:val="bottom"/>
            <w:gridSpan w:val="2"/>
          </w:tcPr>
          <w:p>
            <w:pPr>
              <w:spacing w:after="0" w:line="40" w:lineRule="exact"/>
              <w:rPr>
                <w:sz w:val="20"/>
                <w:szCs w:val="20"/>
                <w:color w:val="auto"/>
              </w:rPr>
            </w:pPr>
            <w:r>
              <w:rPr>
                <w:rFonts w:ascii="Arial" w:cs="Arial" w:eastAsia="Arial" w:hAnsi="Arial"/>
                <w:sz w:val="4"/>
                <w:szCs w:val="4"/>
                <w:color w:val="FFFFFF"/>
              </w:rPr>
              <w:t>GMNA EBIT-Adj</w:t>
            </w:r>
          </w:p>
        </w:tc>
        <w:tc>
          <w:tcPr>
            <w:tcW w:w="2860" w:type="dxa"/>
            <w:vAlign w:val="bottom"/>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380" w:type="dxa"/>
            <w:vAlign w:val="bottom"/>
            <w:gridSpan w:val="2"/>
          </w:tcPr>
          <w:p>
            <w:pPr>
              <w:spacing w:after="0" w:line="40" w:lineRule="exact"/>
              <w:rPr>
                <w:sz w:val="20"/>
                <w:szCs w:val="20"/>
                <w:color w:val="auto"/>
              </w:rPr>
            </w:pPr>
            <w:r>
              <w:rPr>
                <w:rFonts w:ascii="Arial" w:cs="Arial" w:eastAsia="Arial" w:hAnsi="Arial"/>
                <w:sz w:val="4"/>
                <w:szCs w:val="4"/>
                <w:color w:val="FFFFFF"/>
              </w:rPr>
              <w:t>2008 2009 2010 2011</w:t>
            </w:r>
          </w:p>
        </w:tc>
        <w:tc>
          <w:tcPr>
            <w:tcW w:w="2860" w:type="dxa"/>
            <w:vAlign w:val="bottom"/>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380" w:type="dxa"/>
            <w:vAlign w:val="bottom"/>
            <w:gridSpan w:val="2"/>
          </w:tcPr>
          <w:p>
            <w:pPr>
              <w:spacing w:after="0" w:line="40" w:lineRule="exact"/>
              <w:rPr>
                <w:sz w:val="20"/>
                <w:szCs w:val="20"/>
                <w:color w:val="auto"/>
              </w:rPr>
            </w:pPr>
            <w:r>
              <w:rPr>
                <w:rFonts w:ascii="Arial" w:cs="Arial" w:eastAsia="Arial" w:hAnsi="Arial"/>
                <w:sz w:val="4"/>
                <w:szCs w:val="4"/>
                <w:color w:val="FFFFFF"/>
              </w:rPr>
              <w:t>GMNA EBIT-Adj ($B)</w:t>
            </w:r>
          </w:p>
        </w:tc>
        <w:tc>
          <w:tcPr>
            <w:tcW w:w="2860" w:type="dxa"/>
            <w:vAlign w:val="bottom"/>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line="40" w:lineRule="exact"/>
              <w:rPr>
                <w:sz w:val="20"/>
                <w:szCs w:val="20"/>
                <w:color w:val="auto"/>
              </w:rPr>
            </w:pPr>
            <w:r>
              <w:rPr>
                <w:rFonts w:ascii="Arial" w:cs="Arial" w:eastAsia="Arial" w:hAnsi="Arial"/>
                <w:sz w:val="4"/>
                <w:szCs w:val="4"/>
                <w:color w:val="FFFFFF"/>
              </w:rPr>
              <w:t>4</w:t>
            </w:r>
          </w:p>
        </w:tc>
        <w:tc>
          <w:tcPr>
            <w:tcW w:w="43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line="40" w:lineRule="exact"/>
              <w:rPr>
                <w:sz w:val="20"/>
                <w:szCs w:val="20"/>
                <w:color w:val="auto"/>
              </w:rPr>
            </w:pPr>
            <w:r>
              <w:rPr>
                <w:rFonts w:ascii="Arial" w:cs="Arial" w:eastAsia="Arial" w:hAnsi="Arial"/>
                <w:sz w:val="4"/>
                <w:szCs w:val="4"/>
                <w:color w:val="FFFFFF"/>
              </w:rPr>
              <w:t>2</w:t>
            </w:r>
          </w:p>
        </w:tc>
        <w:tc>
          <w:tcPr>
            <w:tcW w:w="43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380" w:type="dxa"/>
            <w:vAlign w:val="bottom"/>
            <w:gridSpan w:val="2"/>
          </w:tcPr>
          <w:p>
            <w:pPr>
              <w:spacing w:after="0" w:line="40" w:lineRule="exact"/>
              <w:rPr>
                <w:sz w:val="20"/>
                <w:szCs w:val="20"/>
                <w:color w:val="auto"/>
              </w:rPr>
            </w:pPr>
            <w:r>
              <w:rPr>
                <w:rFonts w:ascii="Arial" w:cs="Arial" w:eastAsia="Arial" w:hAnsi="Arial"/>
                <w:sz w:val="4"/>
                <w:szCs w:val="4"/>
                <w:color w:val="FFFFFF"/>
              </w:rPr>
              <w:t>0.0</w:t>
            </w:r>
          </w:p>
        </w:tc>
        <w:tc>
          <w:tcPr>
            <w:tcW w:w="2860" w:type="dxa"/>
            <w:vAlign w:val="bottom"/>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380" w:type="dxa"/>
            <w:vAlign w:val="bottom"/>
            <w:gridSpan w:val="2"/>
          </w:tcPr>
          <w:p>
            <w:pPr>
              <w:ind w:left="40"/>
              <w:spacing w:after="0" w:line="40" w:lineRule="exact"/>
              <w:rPr>
                <w:sz w:val="20"/>
                <w:szCs w:val="20"/>
                <w:color w:val="auto"/>
              </w:rPr>
            </w:pPr>
            <w:r>
              <w:rPr>
                <w:rFonts w:ascii="Arial" w:cs="Arial" w:eastAsia="Arial" w:hAnsi="Arial"/>
                <w:sz w:val="4"/>
                <w:szCs w:val="4"/>
                <w:color w:val="FFFFFF"/>
              </w:rPr>
              <w:t>2</w:t>
            </w:r>
          </w:p>
        </w:tc>
        <w:tc>
          <w:tcPr>
            <w:tcW w:w="2860" w:type="dxa"/>
            <w:vAlign w:val="bottom"/>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380" w:type="dxa"/>
            <w:vAlign w:val="bottom"/>
            <w:gridSpan w:val="2"/>
          </w:tcPr>
          <w:p>
            <w:pPr>
              <w:ind w:left="40"/>
              <w:spacing w:after="0" w:line="40" w:lineRule="exact"/>
              <w:rPr>
                <w:sz w:val="20"/>
                <w:szCs w:val="20"/>
                <w:color w:val="auto"/>
              </w:rPr>
            </w:pPr>
            <w:r>
              <w:rPr>
                <w:rFonts w:ascii="Arial" w:cs="Arial" w:eastAsia="Arial" w:hAnsi="Arial"/>
                <w:sz w:val="4"/>
                <w:szCs w:val="4"/>
                <w:color w:val="FFFFFF"/>
              </w:rPr>
              <w:t>4</w:t>
            </w:r>
          </w:p>
        </w:tc>
        <w:tc>
          <w:tcPr>
            <w:tcW w:w="2860" w:type="dxa"/>
            <w:vAlign w:val="bottom"/>
          </w:tcPr>
          <w:p>
            <w:pPr>
              <w:spacing w:after="0"/>
              <w:rPr>
                <w:sz w:val="3"/>
                <w:szCs w:val="3"/>
                <w:color w:val="auto"/>
              </w:rPr>
            </w:pPr>
          </w:p>
        </w:tc>
        <w:tc>
          <w:tcPr>
            <w:tcW w:w="3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380" w:type="dxa"/>
            <w:vAlign w:val="bottom"/>
            <w:gridSpan w:val="2"/>
          </w:tcPr>
          <w:p>
            <w:pPr>
              <w:spacing w:after="0" w:line="40" w:lineRule="exact"/>
              <w:rPr>
                <w:sz w:val="20"/>
                <w:szCs w:val="20"/>
                <w:color w:val="auto"/>
              </w:rPr>
            </w:pPr>
            <w:r>
              <w:rPr>
                <w:rFonts w:ascii="Arial" w:cs="Arial" w:eastAsia="Arial" w:hAnsi="Arial"/>
                <w:sz w:val="4"/>
                <w:szCs w:val="4"/>
                <w:color w:val="FFFFFF"/>
              </w:rPr>
              <w:t>(6.0)</w:t>
            </w:r>
          </w:p>
        </w:tc>
        <w:tc>
          <w:tcPr>
            <w:tcW w:w="2860" w:type="dxa"/>
            <w:vAlign w:val="bottom"/>
            <w:vMerge w:val="restart"/>
          </w:tcPr>
          <w:p>
            <w:pPr>
              <w:ind w:left="320"/>
              <w:spacing w:after="0" w:line="38" w:lineRule="exact"/>
              <w:rPr>
                <w:sz w:val="20"/>
                <w:szCs w:val="20"/>
                <w:color w:val="auto"/>
              </w:rPr>
            </w:pPr>
            <w:r>
              <w:rPr>
                <w:rFonts w:ascii="Arial" w:cs="Arial" w:eastAsia="Arial" w:hAnsi="Arial"/>
                <w:sz w:val="4"/>
                <w:szCs w:val="4"/>
                <w:color w:val="FFFFFF"/>
              </w:rPr>
              <w:t>of fresh-start reporting significantly affected</w:t>
            </w:r>
          </w:p>
        </w:tc>
        <w:tc>
          <w:tcPr>
            <w:tcW w:w="3900" w:type="dxa"/>
            <w:vAlign w:val="bottom"/>
            <w:vMerge w:val="restart"/>
          </w:tcPr>
          <w:p>
            <w:pPr>
              <w:ind w:left="200"/>
              <w:spacing w:after="0" w:line="38" w:lineRule="exact"/>
              <w:rPr>
                <w:sz w:val="20"/>
                <w:szCs w:val="20"/>
                <w:color w:val="auto"/>
              </w:rPr>
            </w:pPr>
            <w:r>
              <w:rPr>
                <w:rFonts w:ascii="Arial" w:cs="Arial" w:eastAsia="Arial" w:hAnsi="Arial"/>
                <w:sz w:val="4"/>
                <w:szCs w:val="4"/>
                <w:color w:val="FFFFFF"/>
              </w:rPr>
              <w:t>assets, liabilities and expenses. Our automotive operations interest and</w:t>
            </w:r>
          </w:p>
        </w:tc>
        <w:tc>
          <w:tcPr>
            <w:tcW w:w="0" w:type="dxa"/>
            <w:vAlign w:val="bottom"/>
          </w:tcPr>
          <w:p>
            <w:pPr>
              <w:spacing w:after="0" w:line="20" w:lineRule="exact"/>
              <w:rPr>
                <w:sz w:val="1"/>
                <w:szCs w:val="1"/>
                <w:color w:val="auto"/>
              </w:rPr>
            </w:pPr>
          </w:p>
        </w:tc>
      </w:tr>
      <w:tr>
        <w:trPr>
          <w:trHeight w:val="0"/>
        </w:trPr>
        <w:tc>
          <w:tcPr>
            <w:tcW w:w="4380" w:type="dxa"/>
            <w:vAlign w:val="bottom"/>
            <w:gridSpan w:val="2"/>
          </w:tcPr>
          <w:p>
            <w:pPr>
              <w:spacing w:after="0" w:line="78" w:lineRule="exact"/>
              <w:rPr>
                <w:sz w:val="20"/>
                <w:szCs w:val="20"/>
                <w:color w:val="auto"/>
              </w:rPr>
            </w:pPr>
            <w:r>
              <w:rPr>
                <w:rFonts w:ascii="Arial" w:cs="Arial" w:eastAsia="Arial" w:hAnsi="Arial"/>
                <w:sz w:val="8"/>
                <w:szCs w:val="8"/>
                <w:color w:val="FFFFFF"/>
              </w:rPr>
              <w:t>Certain financial information of Old GM is not comparable to GM’s as GM’s</w:t>
            </w:r>
          </w:p>
        </w:tc>
        <w:tc>
          <w:tcPr>
            <w:tcW w:w="2860" w:type="dxa"/>
            <w:vAlign w:val="bottom"/>
            <w:vMerge w:val="continue"/>
          </w:tcPr>
          <w:p>
            <w:pPr>
              <w:spacing w:after="0" w:line="20" w:lineRule="exact"/>
              <w:rPr>
                <w:sz w:val="1"/>
                <w:szCs w:val="1"/>
                <w:color w:val="auto"/>
              </w:rPr>
            </w:pPr>
          </w:p>
        </w:tc>
        <w:tc>
          <w:tcPr>
            <w:tcW w:w="3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auto"/>
        <w:rPr>
          <w:sz w:val="20"/>
          <w:szCs w:val="20"/>
          <w:color w:val="auto"/>
        </w:rPr>
      </w:pPr>
      <w:r>
        <w:rPr>
          <w:rFonts w:ascii="Arial" w:cs="Arial" w:eastAsia="Arial" w:hAnsi="Arial"/>
          <w:sz w:val="13"/>
          <w:szCs w:val="13"/>
          <w:color w:val="FFFFFF"/>
        </w:rPr>
        <w:t>income taxes are recorded centrally in Corporate; therefore, a reconciliation toapplicationcorresponding GAAP metric can only be performed oncertainconsolidated basis.</w:t>
      </w:r>
    </w:p>
    <w:p>
      <w:pPr>
        <w:sectPr>
          <w:pgSz w:w="11900" w:h="16838" w:orient="portrait"/>
          <w:cols w:equalWidth="0" w:num="1">
            <w:col w:w="11140"/>
          </w:cols>
          <w:pgMar w:left="240" w:top="1440" w:right="51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color w:val="FFFFFF"/>
        </w:rPr>
        <w:t>JuneFORTRESS30,2011BALANCE($B) SHEET</w:t>
      </w:r>
    </w:p>
    <w:p>
      <w:pPr>
        <w:spacing w:after="0" w:line="204" w:lineRule="auto"/>
        <w:rPr>
          <w:sz w:val="20"/>
          <w:szCs w:val="20"/>
          <w:color w:val="auto"/>
        </w:rPr>
      </w:pPr>
      <w:r>
        <w:rPr>
          <w:rFonts w:ascii="Arial" w:cs="Arial" w:eastAsia="Arial" w:hAnsi="Arial"/>
          <w:sz w:val="4"/>
          <w:szCs w:val="4"/>
          <w:color w:val="FFFFFF"/>
        </w:rPr>
        <w:t>39 7</w:t>
      </w:r>
    </w:p>
    <w:p>
      <w:pPr>
        <w:spacing w:after="0" w:line="205" w:lineRule="auto"/>
        <w:rPr>
          <w:sz w:val="20"/>
          <w:szCs w:val="20"/>
          <w:color w:val="auto"/>
        </w:rPr>
      </w:pPr>
      <w:r>
        <w:rPr>
          <w:rFonts w:ascii="Arial" w:cs="Arial" w:eastAsia="Arial" w:hAnsi="Arial"/>
          <w:sz w:val="2"/>
          <w:szCs w:val="2"/>
          <w:color w:val="FFFFFF"/>
        </w:rPr>
        <w:t>10.</w:t>
      </w:r>
      <w:r>
        <w:rPr>
          <w:rFonts w:ascii="Arial" w:cs="Arial" w:eastAsia="Arial" w:hAnsi="Arial"/>
          <w:sz w:val="4"/>
          <w:szCs w:val="4"/>
          <w:color w:val="FFFFFF"/>
          <w:vertAlign w:val="superscript"/>
        </w:rPr>
        <w:t>2</w:t>
      </w:r>
    </w:p>
    <w:p>
      <w:pPr>
        <w:ind w:left="160"/>
        <w:spacing w:after="0" w:line="182" w:lineRule="auto"/>
        <w:rPr>
          <w:sz w:val="20"/>
          <w:szCs w:val="20"/>
          <w:color w:val="auto"/>
        </w:rPr>
      </w:pPr>
      <w:r>
        <w:rPr>
          <w:rFonts w:ascii="Arial" w:cs="Arial" w:eastAsia="Arial" w:hAnsi="Arial"/>
          <w:sz w:val="9"/>
          <w:szCs w:val="9"/>
          <w:color w:val="FFFFFF"/>
        </w:rPr>
        <w:t>8</w:t>
      </w:r>
    </w:p>
    <w:p>
      <w:pPr>
        <w:spacing w:after="0" w:line="206" w:lineRule="auto"/>
        <w:rPr>
          <w:sz w:val="20"/>
          <w:szCs w:val="20"/>
          <w:color w:val="auto"/>
        </w:rPr>
      </w:pPr>
      <w:r>
        <w:rPr>
          <w:rFonts w:ascii="Arial" w:cs="Arial" w:eastAsia="Arial" w:hAnsi="Arial"/>
          <w:sz w:val="4"/>
          <w:szCs w:val="4"/>
          <w:color w:val="FFFFFF"/>
        </w:rPr>
        <w:t>Available</w:t>
      </w:r>
    </w:p>
    <w:p>
      <w:pPr>
        <w:spacing w:after="0" w:line="182" w:lineRule="auto"/>
        <w:rPr>
          <w:sz w:val="20"/>
          <w:szCs w:val="20"/>
          <w:color w:val="auto"/>
        </w:rPr>
      </w:pPr>
      <w:r>
        <w:rPr>
          <w:rFonts w:ascii="Arial" w:cs="Arial" w:eastAsia="Arial" w:hAnsi="Arial"/>
          <w:sz w:val="9"/>
          <w:szCs w:val="9"/>
          <w:color w:val="FFFFFF"/>
        </w:rPr>
        <w:t>DebtLiquidity&amp;</w:t>
      </w:r>
    </w:p>
    <w:p>
      <w:pPr>
        <w:spacing w:after="0" w:line="182" w:lineRule="auto"/>
        <w:rPr>
          <w:sz w:val="20"/>
          <w:szCs w:val="20"/>
          <w:color w:val="auto"/>
        </w:rPr>
      </w:pPr>
      <w:r>
        <w:rPr>
          <w:rFonts w:ascii="Arial" w:cs="Arial" w:eastAsia="Arial" w:hAnsi="Arial"/>
          <w:sz w:val="7"/>
          <w:szCs w:val="7"/>
          <w:color w:val="FFFFFF"/>
        </w:rPr>
        <w:t>UnderfundedSeries</w:t>
      </w:r>
      <w:r>
        <w:rPr>
          <w:rFonts w:ascii="Arial" w:cs="Arial" w:eastAsia="Arial" w:hAnsi="Arial"/>
          <w:sz w:val="9"/>
          <w:szCs w:val="9"/>
          <w:color w:val="FFFFFF"/>
          <w:vertAlign w:val="superscript"/>
        </w:rPr>
        <w:t>..PensionA</w:t>
      </w:r>
    </w:p>
    <w:p>
      <w:pPr>
        <w:spacing w:after="0" w:line="182" w:lineRule="auto"/>
        <w:rPr>
          <w:sz w:val="20"/>
          <w:szCs w:val="20"/>
          <w:color w:val="auto"/>
        </w:rPr>
      </w:pPr>
      <w:r>
        <w:rPr>
          <w:rFonts w:ascii="Arial" w:cs="Arial" w:eastAsia="Arial" w:hAnsi="Arial"/>
          <w:sz w:val="9"/>
          <w:szCs w:val="9"/>
          <w:color w:val="FFFFFF"/>
        </w:rPr>
        <w:t>Status*</w:t>
      </w:r>
    </w:p>
    <w:p>
      <w:pPr>
        <w:ind w:left="80"/>
        <w:spacing w:after="0" w:line="206" w:lineRule="auto"/>
        <w:rPr>
          <w:sz w:val="20"/>
          <w:szCs w:val="20"/>
          <w:color w:val="auto"/>
        </w:rPr>
      </w:pPr>
      <w:r>
        <w:rPr>
          <w:rFonts w:ascii="Arial" w:cs="Arial" w:eastAsia="Arial" w:hAnsi="Arial"/>
          <w:sz w:val="2"/>
          <w:szCs w:val="2"/>
          <w:color w:val="FFFFFF"/>
        </w:rPr>
        <w:t>MinimalLiquidity</w:t>
      </w:r>
      <w:r>
        <w:rPr>
          <w:rFonts w:ascii="Arial" w:cs="Arial" w:eastAsia="Arial" w:hAnsi="Arial"/>
          <w:sz w:val="4"/>
          <w:szCs w:val="4"/>
          <w:color w:val="FFFFFF"/>
          <w:vertAlign w:val="subscript"/>
        </w:rPr>
        <w:t>fund</w:t>
      </w:r>
      <w:r>
        <w:rPr>
          <w:rFonts w:ascii="Arial" w:cs="Arial" w:eastAsia="Arial" w:hAnsi="Arial"/>
          <w:sz w:val="2"/>
          <w:szCs w:val="2"/>
          <w:color w:val="FFFFFF"/>
        </w:rPr>
        <w:t>toebtsupport steady investment in product &amp; tech.</w:t>
      </w:r>
    </w:p>
    <w:p>
      <w:pPr>
        <w:spacing w:after="0" w:line="205" w:lineRule="auto"/>
        <w:rPr>
          <w:sz w:val="20"/>
          <w:szCs w:val="20"/>
          <w:color w:val="auto"/>
        </w:rPr>
      </w:pPr>
      <w:r>
        <w:rPr>
          <w:rFonts w:ascii="Arial" w:cs="Arial" w:eastAsia="Arial" w:hAnsi="Arial"/>
          <w:sz w:val="4"/>
          <w:szCs w:val="4"/>
          <w:color w:val="FFFFFF"/>
          <w:vertAlign w:val="superscript"/>
        </w:rPr>
        <w:t>•</w:t>
      </w:r>
    </w:p>
    <w:p>
      <w:pPr>
        <w:ind w:left="80"/>
        <w:spacing w:after="0" w:line="205" w:lineRule="auto"/>
        <w:rPr>
          <w:sz w:val="20"/>
          <w:szCs w:val="20"/>
          <w:color w:val="auto"/>
        </w:rPr>
      </w:pPr>
      <w:r>
        <w:rPr>
          <w:rFonts w:ascii="Arial" w:cs="Arial" w:eastAsia="Arial" w:hAnsi="Arial"/>
          <w:sz w:val="4"/>
          <w:szCs w:val="4"/>
          <w:color w:val="FFFFFF"/>
        </w:rPr>
        <w:t>UltimatelyFully &amp;returnde-riskexcessU.S.cashpensiontoshareholdersplans</w:t>
      </w:r>
    </w:p>
    <w:p>
      <w:pPr>
        <w:spacing w:after="0" w:line="205" w:lineRule="auto"/>
        <w:rPr>
          <w:sz w:val="20"/>
          <w:szCs w:val="20"/>
          <w:color w:val="auto"/>
        </w:rPr>
      </w:pPr>
      <w:r>
        <w:rPr>
          <w:rFonts w:ascii="Arial" w:cs="Arial" w:eastAsia="Arial" w:hAnsi="Arial"/>
          <w:sz w:val="4"/>
          <w:szCs w:val="4"/>
          <w:color w:val="FFFFFF"/>
        </w:rPr>
        <w:t>Debt amount excludes GM Financial borrowings.</w:t>
      </w:r>
    </w:p>
    <w:p>
      <w:pPr>
        <w:spacing w:after="0"/>
        <w:rPr>
          <w:sz w:val="20"/>
          <w:szCs w:val="20"/>
          <w:color w:val="auto"/>
        </w:rPr>
      </w:pPr>
      <w:r>
        <w:rPr>
          <w:rFonts w:ascii="Arial" w:cs="Arial" w:eastAsia="Arial" w:hAnsi="Arial"/>
          <w:sz w:val="12"/>
          <w:szCs w:val="12"/>
          <w:color w:val="FFFFFF"/>
        </w:rPr>
        <w:t>* U.S. Pension Underfunded Status as of 6/30/11, excludes U.S. non-qualified plan PBO of ~$0.9 billion and ~$2 billion stock contribution completed 1/31/11</w:t>
      </w:r>
    </w:p>
    <w:p>
      <w:pPr>
        <w:sectPr>
          <w:pgSz w:w="11900" w:h="16838" w:orient="portrait"/>
          <w:cols w:equalWidth="0" w:num="1">
            <w:col w:w="10219"/>
          </w:cols>
          <w:pgMar w:left="2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FFFFFF"/>
        </w:rPr>
        <w:t>TRANSPORFUTUREATION</w:t>
      </w:r>
    </w:p>
    <w:p>
      <w:pPr>
        <w:ind w:left="80"/>
        <w:spacing w:after="0" w:line="182" w:lineRule="auto"/>
        <w:tabs>
          <w:tab w:leader="none" w:pos="820" w:val="left"/>
        </w:tabs>
        <w:rPr>
          <w:sz w:val="20"/>
          <w:szCs w:val="20"/>
          <w:color w:val="auto"/>
        </w:rPr>
      </w:pPr>
      <w:r>
        <w:rPr>
          <w:rFonts w:ascii="Arial" w:cs="Arial" w:eastAsia="Arial" w:hAnsi="Arial"/>
          <w:sz w:val="9"/>
          <w:szCs w:val="9"/>
          <w:color w:val="FFFFFF"/>
        </w:rPr>
        <w:t>HE</w:t>
      </w:r>
      <w:r>
        <w:rPr>
          <w:sz w:val="20"/>
          <w:szCs w:val="20"/>
          <w:color w:val="auto"/>
        </w:rPr>
        <w:tab/>
      </w:r>
      <w:r>
        <w:rPr>
          <w:rFonts w:ascii="Arial" w:cs="Arial" w:eastAsia="Arial" w:hAnsi="Arial"/>
          <w:sz w:val="9"/>
          <w:szCs w:val="9"/>
          <w:color w:val="FFFFFF"/>
        </w:rPr>
        <w:t>OF PERSONAL</w:t>
      </w:r>
    </w:p>
    <w:p>
      <w:pPr>
        <w:ind w:left="80"/>
        <w:spacing w:after="0" w:line="205" w:lineRule="auto"/>
        <w:rPr>
          <w:sz w:val="20"/>
          <w:szCs w:val="20"/>
          <w:color w:val="auto"/>
        </w:rPr>
      </w:pPr>
      <w:r>
        <w:rPr>
          <w:rFonts w:ascii="Arial" w:cs="Arial" w:eastAsia="Arial" w:hAnsi="Arial"/>
          <w:sz w:val="2"/>
          <w:szCs w:val="2"/>
          <w:color w:val="FFFFFF"/>
        </w:rPr>
        <w:t>Consumers will still need mobility produc</w:t>
      </w:r>
      <w:r>
        <w:rPr>
          <w:rFonts w:ascii="Arial" w:cs="Arial" w:eastAsia="Arial" w:hAnsi="Arial"/>
          <w:sz w:val="4"/>
          <w:szCs w:val="4"/>
          <w:color w:val="FFFFFF"/>
          <w:vertAlign w:val="superscript"/>
        </w:rPr>
        <w:t>dirty</w:t>
      </w:r>
      <w:r>
        <w:rPr>
          <w:rFonts w:ascii="Arial" w:cs="Arial" w:eastAsia="Arial" w:hAnsi="Arial"/>
          <w:sz w:val="2"/>
          <w:szCs w:val="2"/>
          <w:color w:val="FFFFFF"/>
        </w:rPr>
        <w:t>s &amp; services</w:t>
      </w:r>
    </w:p>
    <w:p>
      <w:pPr>
        <w:spacing w:after="0" w:line="205" w:lineRule="auto"/>
        <w:rPr>
          <w:sz w:val="20"/>
          <w:szCs w:val="20"/>
          <w:color w:val="auto"/>
        </w:rPr>
      </w:pPr>
      <w:r>
        <w:rPr>
          <w:rFonts w:ascii="Arial" w:cs="Arial" w:eastAsia="Arial" w:hAnsi="Arial"/>
          <w:sz w:val="4"/>
          <w:szCs w:val="4"/>
          <w:color w:val="FFFFFF"/>
          <w:vertAlign w:val="superscript"/>
        </w:rPr>
        <w:t>•</w:t>
      </w:r>
    </w:p>
    <w:p>
      <w:pPr>
        <w:ind w:left="80"/>
        <w:spacing w:after="0"/>
        <w:rPr>
          <w:sz w:val="20"/>
          <w:szCs w:val="20"/>
          <w:color w:val="auto"/>
        </w:rPr>
      </w:pPr>
      <w:r>
        <w:rPr>
          <w:rFonts w:ascii="Arial" w:cs="Arial" w:eastAsia="Arial" w:hAnsi="Arial"/>
          <w:sz w:val="7"/>
          <w:szCs w:val="7"/>
          <w:color w:val="FFFFFF"/>
        </w:rPr>
        <w:t>CompetitionWorldisgettingisintensifyingincreasinglyfromcrowded,anumber ofanddifferentresourceplacesconstrained</w:t>
      </w:r>
    </w:p>
    <w:p>
      <w:pPr>
        <w:sectPr>
          <w:pgSz w:w="11900" w:h="16838" w:orient="portrait"/>
          <w:cols w:equalWidth="0" w:num="1">
            <w:col w:w="10219"/>
          </w:cols>
          <w:pgMar w:left="2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FFFFFF"/>
        </w:rPr>
        <w:t>CORPORATE STRATEGY</w:t>
      </w:r>
    </w:p>
    <w:p>
      <w:pPr>
        <w:ind w:left="80"/>
        <w:spacing w:after="0" w:line="204" w:lineRule="auto"/>
        <w:rPr>
          <w:sz w:val="20"/>
          <w:szCs w:val="20"/>
          <w:color w:val="auto"/>
        </w:rPr>
      </w:pPr>
      <w:r>
        <w:rPr>
          <w:rFonts w:ascii="Arial" w:cs="Arial" w:eastAsia="Arial" w:hAnsi="Arial"/>
          <w:sz w:val="2"/>
          <w:szCs w:val="2"/>
          <w:color w:val="FFFFFF"/>
        </w:rPr>
        <w:t>Leverage strengths</w:t>
      </w:r>
      <w:r>
        <w:rPr>
          <w:rFonts w:ascii="Arial" w:cs="Arial" w:eastAsia="Arial" w:hAnsi="Arial"/>
          <w:sz w:val="4"/>
          <w:szCs w:val="4"/>
          <w:color w:val="FFFFFF"/>
          <w:vertAlign w:val="superscript"/>
        </w:rPr>
        <w:t>into</w:t>
      </w:r>
      <w:r>
        <w:rPr>
          <w:rFonts w:ascii="Arial" w:cs="Arial" w:eastAsia="Arial" w:hAnsi="Arial"/>
          <w:sz w:val="2"/>
          <w:szCs w:val="2"/>
          <w:color w:val="FFFFFF"/>
        </w:rPr>
        <w:t>provide wide range of automotive solutions to meet different global customer needs</w:t>
      </w:r>
    </w:p>
    <w:p>
      <w:pPr>
        <w:ind w:left="80"/>
        <w:spacing w:after="0" w:line="205" w:lineRule="auto"/>
        <w:tabs>
          <w:tab w:leader="none" w:pos="1280" w:val="left"/>
        </w:tabs>
        <w:rPr>
          <w:sz w:val="20"/>
          <w:szCs w:val="20"/>
          <w:color w:val="auto"/>
        </w:rPr>
      </w:pPr>
      <w:r>
        <w:rPr>
          <w:rFonts w:ascii="Arial" w:cs="Arial" w:eastAsia="Arial" w:hAnsi="Arial"/>
          <w:sz w:val="4"/>
          <w:szCs w:val="4"/>
          <w:color w:val="FFFFFF"/>
        </w:rPr>
        <w:t>Build profitability</w:t>
      </w:r>
      <w:r>
        <w:rPr>
          <w:sz w:val="20"/>
          <w:szCs w:val="20"/>
          <w:color w:val="auto"/>
        </w:rPr>
        <w:tab/>
      </w:r>
      <w:r>
        <w:rPr>
          <w:rFonts w:ascii="Arial" w:cs="Arial" w:eastAsia="Arial" w:hAnsi="Arial"/>
          <w:sz w:val="4"/>
          <w:szCs w:val="4"/>
          <w:color w:val="FFFFFF"/>
        </w:rPr>
        <w:t>existing business to fund growth opportunities</w:t>
      </w:r>
    </w:p>
    <w:p>
      <w:pPr>
        <w:ind w:left="80" w:right="3159" w:hanging="78"/>
        <w:spacing w:after="0" w:line="192" w:lineRule="auto"/>
        <w:rPr>
          <w:sz w:val="20"/>
          <w:szCs w:val="20"/>
          <w:color w:val="auto"/>
        </w:rPr>
      </w:pPr>
      <w:r>
        <w:rPr>
          <w:rFonts w:ascii="Arial" w:cs="Arial" w:eastAsia="Arial" w:hAnsi="Arial"/>
          <w:sz w:val="13"/>
          <w:szCs w:val="13"/>
          <w:color w:val="FFFFFF"/>
          <w:vertAlign w:val="superscript"/>
        </w:rPr>
        <w:t>•</w:t>
      </w:r>
      <w:r>
        <w:rPr>
          <w:rFonts w:ascii="Arial" w:cs="Arial" w:eastAsia="Arial" w:hAnsi="Arial"/>
          <w:sz w:val="8"/>
          <w:szCs w:val="8"/>
          <w:color w:val="FFFFFF"/>
        </w:rPr>
        <w:t xml:space="preserve"> Reallocate capital to drive growth, innovative technology, products, services and business models that will differentiate GM in future Utilize collaborative partnerships to access markets and expedite technology development</w:t>
      </w:r>
    </w:p>
    <w:p>
      <w:pPr>
        <w:sectPr>
          <w:pgSz w:w="11900" w:h="16838" w:orient="portrait"/>
          <w:cols w:equalWidth="0" w:num="1">
            <w:col w:w="10219"/>
          </w:cols>
          <w:pgMar w:left="2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9"/>
          <w:szCs w:val="9"/>
          <w:color w:val="FFFFFF"/>
        </w:rPr>
        <w:t>AutomotiveGMVENTURES</w:t>
      </w:r>
      <w:r>
        <w:rPr>
          <w:rFonts w:ascii="Arial" w:cs="Arial" w:eastAsia="Arial" w:hAnsi="Arial"/>
          <w:sz w:val="15"/>
          <w:szCs w:val="15"/>
          <w:color w:val="FFFFFF"/>
          <w:vertAlign w:val="superscript"/>
        </w:rPr>
        <w:t>Cleantech</w:t>
      </w:r>
      <w:r>
        <w:rPr>
          <w:rFonts w:ascii="Arial" w:cs="Arial" w:eastAsia="Arial" w:hAnsi="Arial"/>
          <w:sz w:val="9"/>
          <w:szCs w:val="9"/>
          <w:color w:val="FFFFFF"/>
        </w:rPr>
        <w:t>INVESTMENT SECTORS</w:t>
      </w:r>
    </w:p>
    <w:p>
      <w:pPr>
        <w:spacing w:after="0"/>
        <w:rPr>
          <w:sz w:val="20"/>
          <w:szCs w:val="20"/>
          <w:color w:val="auto"/>
        </w:rPr>
      </w:pPr>
      <w:r>
        <w:rPr>
          <w:rFonts w:ascii="Arial" w:cs="Arial" w:eastAsia="Arial" w:hAnsi="Arial"/>
          <w:sz w:val="10"/>
          <w:szCs w:val="10"/>
          <w:color w:val="FFFFFF"/>
        </w:rPr>
        <w:t>Infotainment.g.,.g.,EVand fuel cell technology, smart grid…</w:t>
      </w:r>
    </w:p>
    <w:p>
      <w:pPr>
        <w:spacing w:after="0" w:line="188" w:lineRule="auto"/>
        <w:rPr>
          <w:sz w:val="20"/>
          <w:szCs w:val="20"/>
          <w:color w:val="auto"/>
        </w:rPr>
      </w:pPr>
      <w:r>
        <w:rPr>
          <w:rFonts w:ascii="Arial" w:cs="Arial" w:eastAsia="Arial" w:hAnsi="Arial"/>
          <w:sz w:val="9"/>
          <w:szCs w:val="9"/>
          <w:color w:val="FFFFFF"/>
        </w:rPr>
        <w:t>SmartvehicleMaterialsHMI, in-vehicle advertising…</w:t>
      </w:r>
    </w:p>
    <w:p>
      <w:pPr>
        <w:spacing w:after="0" w:line="205" w:lineRule="auto"/>
        <w:rPr>
          <w:sz w:val="20"/>
          <w:szCs w:val="20"/>
          <w:color w:val="auto"/>
        </w:rPr>
      </w:pPr>
      <w:r>
        <w:rPr>
          <w:rFonts w:ascii="Arial" w:cs="Arial" w:eastAsia="Arial" w:hAnsi="Arial"/>
          <w:sz w:val="8"/>
          <w:szCs w:val="8"/>
          <w:color w:val="FFFFFF"/>
        </w:rPr>
        <w:t>Valuee.g.,lightweightChain/Businessmaterials,Modeleco-friendly materials…</w:t>
      </w:r>
    </w:p>
    <w:p>
      <w:pPr>
        <w:spacing w:after="0" w:line="206" w:lineRule="auto"/>
        <w:rPr>
          <w:sz w:val="20"/>
          <w:szCs w:val="20"/>
          <w:color w:val="auto"/>
        </w:rPr>
      </w:pPr>
      <w:r>
        <w:rPr>
          <w:rFonts w:ascii="Arial" w:cs="Arial" w:eastAsia="Arial" w:hAnsi="Arial"/>
          <w:sz w:val="4"/>
          <w:szCs w:val="4"/>
          <w:color w:val="FFFFFF"/>
          <w:vertAlign w:val="subscript"/>
        </w:rPr>
        <w:t>Other</w:t>
      </w:r>
      <w:r>
        <w:rPr>
          <w:rFonts w:ascii="Arial" w:cs="Arial" w:eastAsia="Arial" w:hAnsi="Arial"/>
          <w:sz w:val="2"/>
          <w:szCs w:val="2"/>
          <w:color w:val="FFFFFF"/>
        </w:rPr>
        <w:t>.g.,secondaryGame-Changingbattery use…Technologies</w:t>
      </w:r>
    </w:p>
    <w:p>
      <w:pPr>
        <w:ind w:left="60"/>
        <w:spacing w:after="0"/>
        <w:rPr>
          <w:sz w:val="20"/>
          <w:szCs w:val="20"/>
          <w:color w:val="auto"/>
        </w:rPr>
      </w:pPr>
      <w:r>
        <w:rPr>
          <w:rFonts w:ascii="Arial" w:cs="Arial" w:eastAsia="Arial" w:hAnsi="Arial"/>
          <w:sz w:val="13"/>
          <w:szCs w:val="13"/>
          <w:color w:val="FFFFFF"/>
        </w:rPr>
        <w:t>.g., inductive charging…</w:t>
      </w:r>
    </w:p>
    <w:p>
      <w:pPr>
        <w:sectPr>
          <w:pgSz w:w="11900" w:h="16838" w:orient="portrait"/>
          <w:cols w:equalWidth="0" w:num="1">
            <w:col w:w="10219"/>
          </w:cols>
          <w:pgMar w:left="2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5"/>
          <w:szCs w:val="5"/>
          <w:color w:val="FFFFFF"/>
        </w:rPr>
        <w:t>PowermatCoskata• Mascoma•EnviaSystems•Bright• AutomotiveProterra•Sunlogics•Satkti3</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2019-12-11T08:38:37Z</dcterms:created>
  <dcterms:modified xsi:type="dcterms:W3CDTF">2019-12-11T08:38:37Z</dcterms:modified>
</cp:coreProperties>
</file>