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RULES 13d-1(b), (c) AND (d) AND AMENDMENTS THERETO FILED PURSUANT TO RULE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37045V100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0" w:hanging="201"/>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20" w:hanging="201"/>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ind w:left="3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7" w:lineRule="exact"/>
        <w:rPr>
          <w:sz w:val="24"/>
          <w:szCs w:val="24"/>
          <w:color w:val="auto"/>
        </w:rPr>
      </w:pPr>
    </w:p>
    <w:p>
      <w:pPr>
        <w:ind w:left="320" w:right="60" w:hanging="311"/>
        <w:spacing w:after="0" w:line="277" w:lineRule="auto"/>
        <w:rPr>
          <w:sz w:val="24"/>
          <w:szCs w:val="24"/>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37045V100</w:t>
            </w:r>
          </w:p>
        </w:tc>
        <w:tc>
          <w:tcPr>
            <w:tcW w:w="2300" w:type="dxa"/>
            <w:vAlign w:val="bottom"/>
          </w:tcPr>
          <w:p>
            <w:pPr>
              <w:ind w:left="1980"/>
              <w:spacing w:after="0"/>
              <w:rPr>
                <w:sz w:val="20"/>
                <w:szCs w:val="20"/>
                <w:color w:val="auto"/>
              </w:rPr>
            </w:pPr>
            <w:r>
              <w:rPr>
                <w:rFonts w:ascii="Arial" w:cs="Arial" w:eastAsia="Arial" w:hAnsi="Arial"/>
                <w:sz w:val="18"/>
                <w:szCs w:val="18"/>
                <w:color w:val="auto"/>
                <w:w w:val="88"/>
              </w:rPr>
              <w:t>13G</w:t>
            </w:r>
          </w:p>
        </w:tc>
      </w:tr>
    </w:tbl>
    <w:p>
      <w:pPr>
        <w:spacing w:after="0" w:line="215" w:lineRule="exact"/>
        <w:rPr>
          <w:sz w:val="20"/>
          <w:szCs w:val="20"/>
          <w:color w:val="auto"/>
        </w:rPr>
      </w:pPr>
    </w:p>
    <w:p>
      <w:pPr>
        <w:ind w:left="940" w:hanging="91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051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051425"/>
                    </a:xfrm>
                    <a:prstGeom prst="rect">
                      <a:avLst/>
                    </a:prstGeom>
                    <a:noFill/>
                  </pic:spPr>
                </pic:pic>
              </a:graphicData>
            </a:graphic>
          </wp:anchor>
        </w:drawing>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UAW Retiree Medical Benefits Trust</w:t>
      </w:r>
    </w:p>
    <w:p>
      <w:pPr>
        <w:spacing w:after="0" w:line="23" w:lineRule="exact"/>
        <w:rPr>
          <w:sz w:val="20"/>
          <w:szCs w:val="20"/>
          <w:color w:val="auto"/>
        </w:rPr>
      </w:pPr>
    </w:p>
    <w:p>
      <w:pPr>
        <w:ind w:left="940" w:hanging="918"/>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9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sz w:val="20"/>
          <w:szCs w:val="20"/>
          <w:color w:val="auto"/>
        </w:rPr>
      </w:pPr>
    </w:p>
    <w:p>
      <w:pPr>
        <w:ind w:left="940" w:hanging="91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940" w:hanging="918"/>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None. Organized as a 501(c)(9) Voluntary Employee Beneficiary Association</w:t>
      </w:r>
    </w:p>
    <w:p>
      <w:pPr>
        <w:spacing w:after="0" w:line="23" w:lineRule="exact"/>
        <w:rPr>
          <w:rFonts w:ascii="Arial" w:cs="Arial" w:eastAsia="Arial" w:hAnsi="Arial"/>
          <w:sz w:val="18"/>
          <w:szCs w:val="18"/>
          <w:color w:val="auto"/>
        </w:rPr>
      </w:pPr>
    </w:p>
    <w:p>
      <w:pPr>
        <w:ind w:left="2520" w:hanging="446"/>
        <w:spacing w:after="0"/>
        <w:tabs>
          <w:tab w:leader="none" w:pos="2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600" w:type="dxa"/>
            <w:vAlign w:val="bottom"/>
          </w:tcPr>
          <w:p>
            <w:pPr>
              <w:jc w:val="center"/>
              <w:ind w:right="27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60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w:t>
            </w:r>
          </w:p>
        </w:tc>
        <w:tc>
          <w:tcPr>
            <w:tcW w:w="906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jc w:val="center"/>
              <w:ind w:right="27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100,150,000</w:t>
            </w:r>
          </w:p>
        </w:tc>
        <w:tc>
          <w:tcPr>
            <w:tcW w:w="0" w:type="dxa"/>
            <w:vAlign w:val="bottom"/>
          </w:tcPr>
          <w:p>
            <w:pPr>
              <w:spacing w:after="0"/>
              <w:rPr>
                <w:sz w:val="1"/>
                <w:szCs w:val="1"/>
                <w:color w:val="auto"/>
              </w:rPr>
            </w:pPr>
          </w:p>
        </w:tc>
      </w:tr>
      <w:tr>
        <w:trPr>
          <w:trHeight w:val="182"/>
        </w:trPr>
        <w:tc>
          <w:tcPr>
            <w:tcW w:w="1600" w:type="dxa"/>
            <w:vAlign w:val="bottom"/>
          </w:tcPr>
          <w:p>
            <w:pPr>
              <w:jc w:val="center"/>
              <w:ind w:right="250"/>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0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600" w:type="dxa"/>
            <w:vAlign w:val="bottom"/>
            <w:vMerge w:val="continue"/>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100,150,000</w:t>
      </w:r>
    </w:p>
    <w:p>
      <w:pPr>
        <w:spacing w:after="0" w:line="23" w:lineRule="exact"/>
        <w:rPr>
          <w:sz w:val="20"/>
          <w:szCs w:val="20"/>
          <w:color w:val="auto"/>
        </w:rPr>
      </w:pPr>
    </w:p>
    <w:p>
      <w:pPr>
        <w:ind w:left="920" w:hanging="89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100,150,000</w:t>
      </w:r>
    </w:p>
    <w:p>
      <w:pPr>
        <w:spacing w:after="0" w:line="23" w:lineRule="exact"/>
        <w:rPr>
          <w:sz w:val="20"/>
          <w:szCs w:val="20"/>
          <w:color w:val="auto"/>
        </w:rPr>
      </w:pPr>
    </w:p>
    <w:p>
      <w:pPr>
        <w:ind w:left="920" w:hanging="89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91"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920" w:right="5440" w:hanging="898"/>
        <w:spacing w:after="0" w:line="37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w:t>
      </w:r>
    </w:p>
    <w:p>
      <w:pPr>
        <w:spacing w:after="0" w:line="1" w:lineRule="exact"/>
        <w:rPr>
          <w:rFonts w:ascii="Arial" w:cs="Arial" w:eastAsia="Arial" w:hAnsi="Arial"/>
          <w:sz w:val="18"/>
          <w:szCs w:val="18"/>
          <w:color w:val="auto"/>
        </w:rPr>
      </w:pPr>
    </w:p>
    <w:p>
      <w:pPr>
        <w:ind w:left="920" w:right="7980" w:hanging="898"/>
        <w:spacing w:after="0" w:line="52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Motors Company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300 Renaissance Center, Detroit, Michigan, 48265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right="560" w:firstLine="311"/>
        <w:spacing w:after="0" w:line="342" w:lineRule="auto"/>
        <w:rPr>
          <w:sz w:val="20"/>
          <w:szCs w:val="20"/>
          <w:color w:val="auto"/>
        </w:rPr>
      </w:pPr>
      <w:r>
        <w:rPr>
          <w:rFonts w:ascii="Arial" w:cs="Arial" w:eastAsia="Arial" w:hAnsi="Arial"/>
          <w:sz w:val="16"/>
          <w:szCs w:val="16"/>
          <w:color w:val="auto"/>
        </w:rPr>
        <w:t>This Amendment No. 2 to Schedule 13G is being filed on behalf of the UAW Retiree Medical Benefits Trust, organized as a 501(c)(9) Voluntary Employee Beneficiary Association (“UAW RMBT”), solely in compliance with UAW RMBT’s reporting obligations under Schedule 13G.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200 Walker Street, Detroit, MI 48207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 UAW RMBT is organized as a 501(c)(9) Voluntary Employee Beneficiary Association.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37045V100</w:t>
      </w:r>
    </w:p>
    <w:p>
      <w:pPr>
        <w:spacing w:after="0" w:line="3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97" w:lineRule="exact"/>
        <w:rPr>
          <w:sz w:val="20"/>
          <w:szCs w:val="20"/>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620" w:hanging="315"/>
        <w:spacing w:after="0" w:line="184" w:lineRule="exact"/>
        <w:tabs>
          <w:tab w:leader="none" w:pos="162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Rule 13d-1(b)(1)(ii)(J) of the Exchange Act.</w:t>
      </w:r>
    </w:p>
    <w:p>
      <w:pPr>
        <w:spacing w:after="0" w:line="225"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 of the Exchange Act.</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filing as a non-U.S. institution in accordance with Rule 13d-1(b)(1)(ii)(J) of the Exchange Act, please specify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42" w:right="35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100,150,000 shares of Common Stock.</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7.0%. This percentage is based on a total of 1,427,729,248 shares of Common Stock outstanding as reported in the Issuer’s quarterly report on Form 10-Q filed on August 1,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120" w:hanging="464"/>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0" w:right="6860" w:hanging="344"/>
        <w:spacing w:after="0" w:line="563" w:lineRule="auto"/>
        <w:tabs>
          <w:tab w:leader="none" w:pos="11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Shared power to vote or to direct the vote: 100,150,000 shares of Common Stock.</w:t>
      </w:r>
    </w:p>
    <w:p>
      <w:pPr>
        <w:spacing w:after="0" w:line="1" w:lineRule="exact"/>
        <w:rPr>
          <w:rFonts w:ascii="Arial" w:cs="Arial" w:eastAsia="Arial" w:hAnsi="Arial"/>
          <w:sz w:val="16"/>
          <w:szCs w:val="16"/>
          <w:color w:val="auto"/>
        </w:rPr>
      </w:pPr>
    </w:p>
    <w:p>
      <w:pPr>
        <w:ind w:left="1120" w:hanging="464"/>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0" w:right="5960" w:hanging="344"/>
        <w:spacing w:after="0" w:line="573" w:lineRule="auto"/>
        <w:tabs>
          <w:tab w:leader="none" w:pos="11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100,150,000 shares of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firstLine="311"/>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742"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right="200" w:firstLine="311"/>
        <w:spacing w:after="0" w:line="302" w:lineRule="auto"/>
        <w:rPr>
          <w:sz w:val="20"/>
          <w:szCs w:val="20"/>
          <w:color w:val="auto"/>
        </w:rPr>
      </w:pPr>
      <w:r>
        <w:rPr>
          <w:rFonts w:ascii="Arial" w:cs="Arial" w:eastAsia="Arial" w:hAnsi="Arial"/>
          <w:sz w:val="16"/>
          <w:szCs w:val="16"/>
          <w:color w:val="auto"/>
        </w:rPr>
        <w:t>UAW RMBT is party to a Stockholders Agreement dated as of October 15, 2009 (the “Stockholders Agreement”), originally by and among the Issuer, United States Department of the Treasury (“UST”), 7176384 Canada Inc. (since renamed Canada GEN Investment Corporation, “Canada GEN”), UAW RMBT and, solely for the purposes of Section 6.20 thereof, General Motors LLC. The UST and Canada GEN are no longer parties to the Stockholders Agreement. The Stockholders Agreement was filed as Exhibit 10.8 to the Current Report on Form 8-K filed by the Issuer on November 16, 2009.</w:t>
      </w:r>
    </w:p>
    <w:p>
      <w:pPr>
        <w:spacing w:after="0" w:line="154" w:lineRule="exact"/>
        <w:rPr>
          <w:sz w:val="20"/>
          <w:szCs w:val="20"/>
          <w:color w:val="auto"/>
        </w:rPr>
      </w:pPr>
    </w:p>
    <w:p>
      <w:pPr>
        <w:ind w:firstLine="311"/>
        <w:spacing w:after="0" w:line="272" w:lineRule="auto"/>
        <w:rPr>
          <w:sz w:val="20"/>
          <w:szCs w:val="20"/>
          <w:color w:val="auto"/>
        </w:rPr>
      </w:pPr>
      <w:r>
        <w:rPr>
          <w:rFonts w:ascii="Arial" w:cs="Arial" w:eastAsia="Arial" w:hAnsi="Arial"/>
          <w:sz w:val="17"/>
          <w:szCs w:val="17"/>
          <w:color w:val="auto"/>
        </w:rPr>
        <w:t>UAW RMBT initially had the right to designate a director to the board of directors of the Issuer, but, as a result of the sale of 40 million shares of Common Stock that took place in early 2018, it no longer has that right. Pursuant to the Stockholders Agreement, UAW RMBT agrees to vote its shares of Common Stock on any matter presented to the Issuer's shareholders in the same proportionate manner as the other holders of the Common Stock other than the Issuer's directors and executive officers. UAW RMBT will be subject to the terms of the Stockholders Agreement until it beneficially owns less than 2% of the issued and outstanding Common Stock. The Stockholders Agreement prevents the shareholding parties thereto from transferring all or any portion of their Common Stock without the consent of the Issuer’s board of directors, to either (i) any person or group who would thereafter beneficially own more than 10% of the Common Stock, or (ii) any automotive vehicle manufacturer or affiliate thereof.</w:t>
      </w:r>
    </w:p>
    <w:p>
      <w:pPr>
        <w:spacing w:after="0" w:line="178" w:lineRule="exact"/>
        <w:rPr>
          <w:sz w:val="20"/>
          <w:szCs w:val="20"/>
          <w:color w:val="auto"/>
        </w:rPr>
      </w:pPr>
    </w:p>
    <w:p>
      <w:pPr>
        <w:ind w:firstLine="311"/>
        <w:spacing w:after="0" w:line="277" w:lineRule="auto"/>
        <w:rPr>
          <w:sz w:val="20"/>
          <w:szCs w:val="20"/>
          <w:color w:val="auto"/>
        </w:rPr>
      </w:pPr>
      <w:r>
        <w:rPr>
          <w:rFonts w:ascii="Arial" w:cs="Arial" w:eastAsia="Arial" w:hAnsi="Arial"/>
          <w:sz w:val="18"/>
          <w:szCs w:val="18"/>
          <w:color w:val="auto"/>
        </w:rPr>
        <w:t>UAW RMBT has beneficial ownership of 100,150,000 shares of Common Stock. As of July 15, 2019, this represented 7.0% of the outstanding Common Stock based on a total of 1,427,729,248 shares of Common Stock outstanding.</w:t>
      </w:r>
    </w:p>
    <w:p>
      <w:pPr>
        <w:spacing w:after="0" w:line="170" w:lineRule="exact"/>
        <w:rPr>
          <w:sz w:val="20"/>
          <w:szCs w:val="20"/>
          <w:color w:val="auto"/>
        </w:rPr>
      </w:pPr>
    </w:p>
    <w:p>
      <w:pPr>
        <w:jc w:val="both"/>
        <w:ind w:right="160" w:firstLine="311"/>
        <w:spacing w:after="0" w:line="264" w:lineRule="auto"/>
        <w:rPr>
          <w:sz w:val="20"/>
          <w:szCs w:val="20"/>
          <w:color w:val="auto"/>
        </w:rPr>
      </w:pPr>
      <w:r>
        <w:rPr>
          <w:rFonts w:ascii="Arial" w:cs="Arial" w:eastAsia="Arial" w:hAnsi="Arial"/>
          <w:sz w:val="18"/>
          <w:szCs w:val="18"/>
          <w:color w:val="auto"/>
        </w:rPr>
        <w:t>Because UAW RMBT may be deemed a beneficial owner of the securities, UAW RMBT may be deemed a member of any group that the parties to the Stockholders Agreement are deemed to be part of. The Common Stock beneficially owned by UAW RMBT is held solely for the benefit of UAW RMBT’s GM Separate Retiree Account.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742"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22, 2019</w:t>
      </w:r>
    </w:p>
    <w:p>
      <w:pPr>
        <w:spacing w:after="0" w:line="200" w:lineRule="exact"/>
        <w:rPr>
          <w:sz w:val="20"/>
          <w:szCs w:val="20"/>
          <w:color w:val="auto"/>
        </w:rPr>
      </w:pPr>
    </w:p>
    <w:p>
      <w:pPr>
        <w:spacing w:after="0" w:line="24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UAW Retiree Medical Benefits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2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Charles Brock</w:t>
            </w:r>
          </w:p>
        </w:tc>
      </w:tr>
      <w:tr>
        <w:trPr>
          <w:trHeight w:val="195"/>
        </w:trPr>
        <w:tc>
          <w:tcPr>
            <w:tcW w:w="6740" w:type="dxa"/>
            <w:vAlign w:val="bottom"/>
          </w:tcPr>
          <w:p>
            <w:pPr>
              <w:ind w:left="626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Pr>
          <w:p>
            <w:pPr>
              <w:ind w:left="120"/>
              <w:spacing w:after="0" w:line="195" w:lineRule="exact"/>
              <w:rPr>
                <w:sz w:val="20"/>
                <w:szCs w:val="20"/>
                <w:color w:val="auto"/>
              </w:rPr>
            </w:pPr>
            <w:r>
              <w:rPr>
                <w:rFonts w:ascii="Arial" w:cs="Arial" w:eastAsia="Arial" w:hAnsi="Arial"/>
                <w:sz w:val="18"/>
                <w:szCs w:val="18"/>
                <w:color w:val="auto"/>
              </w:rPr>
              <w:t>Charles Brock</w:t>
            </w:r>
          </w:p>
        </w:tc>
      </w:tr>
      <w:tr>
        <w:trPr>
          <w:trHeight w:val="216"/>
        </w:trPr>
        <w:tc>
          <w:tcPr>
            <w:tcW w:w="6740" w:type="dxa"/>
            <w:vAlign w:val="bottom"/>
          </w:tcPr>
          <w:p>
            <w:pPr>
              <w:ind w:left="6260"/>
              <w:spacing w:after="0"/>
              <w:rPr>
                <w:sz w:val="20"/>
                <w:szCs w:val="20"/>
                <w:color w:val="auto"/>
              </w:rPr>
            </w:pPr>
            <w:r>
              <w:rPr>
                <w:rFonts w:ascii="Arial" w:cs="Arial" w:eastAsia="Arial" w:hAnsi="Arial"/>
                <w:sz w:val="18"/>
                <w:szCs w:val="18"/>
                <w:color w:val="auto"/>
              </w:rPr>
              <w:t>Title:</w:t>
            </w:r>
          </w:p>
        </w:tc>
        <w:tc>
          <w:tcPr>
            <w:tcW w:w="4680" w:type="dxa"/>
            <w:vAlign w:val="bottom"/>
          </w:tcPr>
          <w:p>
            <w:pPr>
              <w:ind w:left="120"/>
              <w:spacing w:after="0"/>
              <w:rPr>
                <w:sz w:val="20"/>
                <w:szCs w:val="20"/>
                <w:color w:val="auto"/>
              </w:rPr>
            </w:pPr>
            <w:r>
              <w:rPr>
                <w:rFonts w:ascii="Arial" w:cs="Arial" w:eastAsia="Arial" w:hAnsi="Arial"/>
                <w:sz w:val="18"/>
                <w:szCs w:val="18"/>
                <w:color w:val="auto"/>
              </w:rPr>
              <w:t>Chairman &amp; CEO, Brock Fiduciary</w:t>
            </w:r>
          </w:p>
        </w:tc>
      </w:tr>
      <w:tr>
        <w:trPr>
          <w:trHeight w:val="230"/>
        </w:trPr>
        <w:tc>
          <w:tcPr>
            <w:tcW w:w="674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Services LLC, on behalf of UAW RMBT</w:t>
            </w:r>
          </w:p>
        </w:tc>
      </w:tr>
      <w:tr>
        <w:trPr>
          <w:trHeight w:val="709"/>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lvl w:ilvl="1">
      <w:lvlJc w:val="left"/>
      <w:lvlText w:val="%2."/>
      <w:numFmt w:val="decimal"/>
      <w:start w:val="5"/>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2019-12-21T02:26:55Z</dcterms:created>
  <dcterms:modified xsi:type="dcterms:W3CDTF">2019-12-21T02:26:55Z</dcterms:modified>
</cp:coreProperties>
</file>