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20"/>
                <w:szCs w:val="20"/>
                <w:color w:val="auto"/>
              </w:rPr>
            </w:pPr>
            <w:r>
              <w:rPr>
                <w:rFonts w:ascii="Arial" w:cs="Arial" w:eastAsia="Arial" w:hAnsi="Arial"/>
                <w:sz w:val="17"/>
                <w:szCs w:val="17"/>
                <w:color w:val="auto"/>
              </w:rPr>
              <w:t>SEC Form 3</w:t>
            </w:r>
          </w:p>
        </w:tc>
        <w:tc>
          <w:tcPr>
            <w:tcW w:w="6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780"/>
              <w:spacing w:after="0"/>
              <w:rPr>
                <w:sz w:val="20"/>
                <w:szCs w:val="20"/>
                <w:color w:val="auto"/>
              </w:rPr>
            </w:pPr>
            <w:r>
              <w:rPr>
                <w:rFonts w:ascii="Arial" w:cs="Arial" w:eastAsia="Arial" w:hAnsi="Arial"/>
                <w:sz w:val="19"/>
                <w:szCs w:val="19"/>
                <w:b w:val="1"/>
                <w:bCs w:val="1"/>
                <w:color w:val="auto"/>
              </w:rPr>
              <w:t>FORM 3</w:t>
            </w:r>
          </w:p>
        </w:tc>
        <w:tc>
          <w:tcPr>
            <w:tcW w:w="6980" w:type="dxa"/>
            <w:vAlign w:val="bottom"/>
          </w:tcPr>
          <w:p>
            <w:pPr>
              <w:jc w:val="center"/>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10" w:lineRule="exact"/>
              <w:rPr>
                <w:sz w:val="20"/>
                <w:szCs w:val="20"/>
                <w:color w:val="auto"/>
              </w:rPr>
            </w:pPr>
            <w:r>
              <w:rPr>
                <w:rFonts w:ascii="Arial" w:cs="Arial" w:eastAsia="Arial" w:hAnsi="Arial"/>
                <w:sz w:val="11"/>
                <w:szCs w:val="11"/>
                <w:color w:val="auto"/>
                <w:w w:val="96"/>
              </w:rPr>
              <w:t>Washington, D.C. 20549</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24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vMerge w:val="restart"/>
          </w:tcPr>
          <w:p>
            <w:pPr>
              <w:ind w:left="500"/>
              <w:spacing w:after="0"/>
              <w:rPr>
                <w:sz w:val="20"/>
                <w:szCs w:val="20"/>
                <w:color w:val="auto"/>
              </w:rPr>
            </w:pPr>
            <w:r>
              <w:rPr>
                <w:rFonts w:ascii="Arial" w:cs="Arial" w:eastAsia="Arial" w:hAnsi="Arial"/>
                <w:sz w:val="14"/>
                <w:szCs w:val="14"/>
                <w:color w:val="auto"/>
                <w:w w:val="97"/>
              </w:rPr>
              <w:t>OMB APPROVAL</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bottom w:val="single" w:sz="8" w:color="808080"/>
            </w:tcBorders>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54" w:lineRule="exact"/>
              <w:rPr>
                <w:sz w:val="20"/>
                <w:szCs w:val="20"/>
                <w:color w:val="auto"/>
              </w:rPr>
            </w:pPr>
            <w:r>
              <w:rPr>
                <w:rFonts w:ascii="Arial" w:cs="Arial" w:eastAsia="Arial" w:hAnsi="Arial"/>
                <w:sz w:val="17"/>
                <w:szCs w:val="17"/>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4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w w:val="96"/>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Arial" w:cs="Arial" w:eastAsia="Arial" w:hAnsi="Arial"/>
                <w:sz w:val="11"/>
                <w:szCs w:val="11"/>
                <w:color w:val="auto"/>
                <w:w w:val="97"/>
              </w:rPr>
              <w:t>Filed pursuant to Section 16(a) of the Securities Exchange Act of 1934</w:t>
            </w: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52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6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7211060</wp:posOffset>
            </wp:positionH>
            <wp:positionV relativeFrom="paragraph">
              <wp:posOffset>-525145</wp:posOffset>
            </wp:positionV>
            <wp:extent cx="52705" cy="538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05" cy="538480"/>
                    </a:xfrm>
                    <a:prstGeom prst="rect">
                      <a:avLst/>
                    </a:prstGeom>
                    <a:noFill/>
                  </pic:spPr>
                </pic:pic>
              </a:graphicData>
            </a:graphic>
          </wp:anchor>
        </w:drawing>
        <w:drawing>
          <wp:anchor simplePos="0" relativeHeight="251657728" behindDoc="1" locked="0" layoutInCell="0" allowOverlap="1">
            <wp:simplePos x="0" y="0"/>
            <wp:positionH relativeFrom="column">
              <wp:posOffset>5842000</wp:posOffset>
            </wp:positionH>
            <wp:positionV relativeFrom="paragraph">
              <wp:posOffset>-525145</wp:posOffset>
            </wp:positionV>
            <wp:extent cx="52705" cy="538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05" cy="538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299960" cy="3727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7274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p>
      <w:pPr>
        <w:spacing w:after="0" w:line="34" w:lineRule="exact"/>
        <w:rPr>
          <w:sz w:val="24"/>
          <w:szCs w:val="24"/>
          <w:color w:val="auto"/>
        </w:rPr>
      </w:pPr>
    </w:p>
    <w:tbl>
      <w:tblPr>
        <w:tblLayout w:type="fixed"/>
        <w:tblInd w:w="8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7"/>
                <w:szCs w:val="17"/>
                <w:color w:val="auto"/>
                <w:vertAlign w:val="superscript"/>
              </w:rPr>
              <w:t>*</w:t>
            </w:r>
          </w:p>
        </w:tc>
        <w:tc>
          <w:tcPr>
            <w:tcW w:w="11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80" w:type="dxa"/>
            <w:vAlign w:val="bottom"/>
            <w:vMerge w:val="restart"/>
          </w:tcPr>
          <w:p>
            <w:pPr>
              <w:spacing w:after="0"/>
              <w:rPr>
                <w:rFonts w:ascii="Arial" w:cs="Arial" w:eastAsia="Arial" w:hAnsi="Arial"/>
                <w:sz w:val="17"/>
                <w:szCs w:val="17"/>
                <w:color w:val="0000EE"/>
                <w:w w:val="88"/>
              </w:rPr>
            </w:pPr>
            <w:hyperlink r:id="rId11">
              <w:r>
                <w:rPr>
                  <w:rFonts w:ascii="Arial" w:cs="Arial" w:eastAsia="Arial" w:hAnsi="Arial"/>
                  <w:sz w:val="17"/>
                  <w:szCs w:val="17"/>
                  <w:color w:val="0000EE"/>
                  <w:w w:val="88"/>
                </w:rPr>
                <w:t>Johnson Gerald</w:t>
              </w:r>
            </w:hyperlink>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00" w:type="dxa"/>
            <w:vAlign w:val="bottom"/>
          </w:tcPr>
          <w:p>
            <w:pPr>
              <w:ind w:left="140"/>
              <w:spacing w:after="0" w:line="101" w:lineRule="exact"/>
              <w:rPr>
                <w:sz w:val="20"/>
                <w:szCs w:val="20"/>
                <w:color w:val="auto"/>
              </w:rPr>
            </w:pPr>
            <w:r>
              <w:rPr>
                <w:rFonts w:ascii="Arial" w:cs="Arial" w:eastAsia="Arial" w:hAnsi="Arial"/>
                <w:sz w:val="11"/>
                <w:szCs w:val="11"/>
                <w:color w:val="auto"/>
                <w:w w:val="95"/>
              </w:rPr>
              <w:t>Statement (Month/Day/Year)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Borders>
              <w:bottom w:val="single" w:sz="8" w:color="0000EE"/>
            </w:tcBorders>
            <w:vMerge w:val="continue"/>
          </w:tcPr>
          <w:p>
            <w:pPr>
              <w:spacing w:after="0"/>
              <w:rPr>
                <w:sz w:val="10"/>
                <w:szCs w:val="10"/>
                <w:color w:val="auto"/>
              </w:rPr>
            </w:pPr>
          </w:p>
        </w:tc>
        <w:tc>
          <w:tcPr>
            <w:tcW w:w="1040" w:type="dxa"/>
            <w:vAlign w:val="bottom"/>
          </w:tcPr>
          <w:p>
            <w:pPr>
              <w:spacing w:after="0"/>
              <w:rPr>
                <w:sz w:val="10"/>
                <w:szCs w:val="10"/>
                <w:color w:val="auto"/>
              </w:rPr>
            </w:pPr>
          </w:p>
        </w:tc>
        <w:tc>
          <w:tcPr>
            <w:tcW w:w="2640" w:type="dxa"/>
            <w:vAlign w:val="bottom"/>
            <w:gridSpan w:val="2"/>
            <w:vMerge w:val="restart"/>
          </w:tcPr>
          <w:p>
            <w:pPr>
              <w:ind w:left="1280"/>
              <w:spacing w:after="0"/>
              <w:rPr>
                <w:sz w:val="20"/>
                <w:szCs w:val="20"/>
                <w:color w:val="auto"/>
              </w:rPr>
            </w:pPr>
            <w:r>
              <w:rPr>
                <w:rFonts w:ascii="Arial" w:cs="Arial" w:eastAsia="Arial" w:hAnsi="Arial"/>
                <w:sz w:val="14"/>
                <w:szCs w:val="14"/>
                <w:color w:val="0000FF"/>
              </w:rPr>
              <w:t>04/01/2019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1"/>
                <w:szCs w:val="11"/>
                <w:color w:val="auto"/>
              </w:rPr>
              <w:t>(Last)</w:t>
            </w:r>
          </w:p>
        </w:tc>
        <w:tc>
          <w:tcPr>
            <w:tcW w:w="1040" w:type="dxa"/>
            <w:vAlign w:val="bottom"/>
          </w:tcPr>
          <w:p>
            <w:pPr>
              <w:ind w:left="20"/>
              <w:spacing w:after="0"/>
              <w:rPr>
                <w:sz w:val="20"/>
                <w:szCs w:val="20"/>
                <w:color w:val="auto"/>
              </w:rPr>
            </w:pPr>
            <w:r>
              <w:rPr>
                <w:rFonts w:ascii="Arial" w:cs="Arial" w:eastAsia="Arial" w:hAnsi="Arial"/>
                <w:sz w:val="11"/>
                <w:szCs w:val="11"/>
                <w:color w:val="auto"/>
              </w:rPr>
              <w:t>(First)</w:t>
            </w:r>
          </w:p>
        </w:tc>
        <w:tc>
          <w:tcPr>
            <w:tcW w:w="2640" w:type="dxa"/>
            <w:vAlign w:val="bottom"/>
            <w:gridSpan w:val="2"/>
          </w:tcPr>
          <w:p>
            <w:pPr>
              <w:ind w:left="80"/>
              <w:spacing w:after="0"/>
              <w:rPr>
                <w:sz w:val="20"/>
                <w:szCs w:val="20"/>
                <w:color w:val="auto"/>
              </w:rPr>
            </w:pPr>
            <w:r>
              <w:rPr>
                <w:rFonts w:ascii="Arial" w:cs="Arial" w:eastAsia="Arial" w:hAnsi="Arial"/>
                <w:sz w:val="11"/>
                <w:szCs w:val="11"/>
                <w:color w:val="auto"/>
              </w:rPr>
              <w:t>(Middle)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0000FF"/>
              </w:rPr>
              <w:t>300 RENAISSANCE CENTER</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0000FF"/>
              </w:rPr>
              <w:t>M/C: 482-C23-A68</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100" w:type="dxa"/>
            <w:vAlign w:val="bottom"/>
            <w:gridSpan w:val="2"/>
          </w:tcPr>
          <w:p>
            <w:pPr>
              <w:spacing w:after="0"/>
              <w:rPr>
                <w:sz w:val="20"/>
                <w:szCs w:val="20"/>
                <w:color w:val="auto"/>
              </w:rPr>
            </w:pPr>
            <w:r>
              <w:rPr>
                <w:rFonts w:ascii="Arial" w:cs="Arial" w:eastAsia="Arial" w:hAnsi="Arial"/>
                <w:sz w:val="11"/>
                <w:szCs w:val="11"/>
                <w:color w:val="auto"/>
              </w:rPr>
              <w:t>(Street)</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color w:val="0000FF"/>
              </w:rPr>
              <w:t>DETROIT</w:t>
            </w:r>
          </w:p>
        </w:tc>
        <w:tc>
          <w:tcPr>
            <w:tcW w:w="1040" w:type="dxa"/>
            <w:vAlign w:val="bottom"/>
          </w:tcPr>
          <w:p>
            <w:pPr>
              <w:ind w:left="20"/>
              <w:spacing w:after="0"/>
              <w:rPr>
                <w:sz w:val="20"/>
                <w:szCs w:val="20"/>
                <w:color w:val="auto"/>
              </w:rPr>
            </w:pPr>
            <w:r>
              <w:rPr>
                <w:rFonts w:ascii="Arial" w:cs="Arial" w:eastAsia="Arial" w:hAnsi="Arial"/>
                <w:sz w:val="14"/>
                <w:szCs w:val="14"/>
                <w:color w:val="0000FF"/>
              </w:rPr>
              <w:t>MI</w:t>
            </w:r>
          </w:p>
        </w:tc>
        <w:tc>
          <w:tcPr>
            <w:tcW w:w="1140" w:type="dxa"/>
            <w:vAlign w:val="bottom"/>
          </w:tcPr>
          <w:p>
            <w:pPr>
              <w:ind w:left="80"/>
              <w:spacing w:after="0"/>
              <w:rPr>
                <w:sz w:val="20"/>
                <w:szCs w:val="20"/>
                <w:color w:val="auto"/>
              </w:rPr>
            </w:pPr>
            <w:r>
              <w:rPr>
                <w:rFonts w:ascii="Arial" w:cs="Arial" w:eastAsia="Arial" w:hAnsi="Arial"/>
                <w:sz w:val="14"/>
                <w:szCs w:val="14"/>
                <w:color w:val="0000FF"/>
              </w:rPr>
              <w:t>48265</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2"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General Motors Co</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GM</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360" w:type="dxa"/>
            <w:vAlign w:val="bottom"/>
            <w:gridSpan w:val="3"/>
          </w:tcPr>
          <w:p>
            <w:pPr>
              <w:spacing w:after="0"/>
              <w:rPr>
                <w:sz w:val="20"/>
                <w:szCs w:val="20"/>
                <w:color w:val="auto"/>
              </w:rPr>
            </w:pPr>
            <w:r>
              <w:rPr>
                <w:rFonts w:ascii="Arial" w:cs="Arial" w:eastAsia="Arial" w:hAnsi="Arial"/>
                <w:sz w:val="11"/>
                <w:szCs w:val="11"/>
                <w:color w:val="auto"/>
              </w:rPr>
              <w:t>4. Relationship of Reporting Person(s) to Issuer</w:t>
            </w:r>
          </w:p>
        </w:tc>
        <w:tc>
          <w:tcPr>
            <w:tcW w:w="160" w:type="dxa"/>
            <w:vAlign w:val="bottom"/>
          </w:tcPr>
          <w:p>
            <w:pPr>
              <w:jc w:val="right"/>
              <w:spacing w:after="0"/>
              <w:rPr>
                <w:sz w:val="20"/>
                <w:szCs w:val="20"/>
                <w:color w:val="auto"/>
              </w:rPr>
            </w:pPr>
            <w:r>
              <w:rPr>
                <w:rFonts w:ascii="Arial" w:cs="Arial" w:eastAsia="Arial" w:hAnsi="Arial"/>
                <w:sz w:val="11"/>
                <w:szCs w:val="11"/>
                <w:color w:val="auto"/>
              </w:rPr>
              <w:t>5.</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0" w:type="dxa"/>
            <w:vAlign w:val="bottom"/>
          </w:tcPr>
          <w:p>
            <w:pPr>
              <w:spacing w:after="0"/>
              <w:rPr>
                <w:sz w:val="1"/>
                <w:szCs w:val="1"/>
                <w:color w:val="auto"/>
              </w:rPr>
            </w:pPr>
          </w:p>
        </w:tc>
      </w:tr>
      <w:tr>
        <w:trPr>
          <w:trHeight w:val="130"/>
        </w:trPr>
        <w:tc>
          <w:tcPr>
            <w:tcW w:w="1740" w:type="dxa"/>
            <w:vAlign w:val="bottom"/>
            <w:gridSpan w:val="2"/>
          </w:tcPr>
          <w:p>
            <w:pPr>
              <w:spacing w:after="0"/>
              <w:rPr>
                <w:sz w:val="20"/>
                <w:szCs w:val="20"/>
                <w:color w:val="auto"/>
              </w:rPr>
            </w:pPr>
            <w:r>
              <w:rPr>
                <w:rFonts w:ascii="Arial" w:cs="Arial" w:eastAsia="Arial" w:hAnsi="Arial"/>
                <w:sz w:val="11"/>
                <w:szCs w:val="11"/>
                <w:color w:val="auto"/>
              </w:rPr>
              <w:t>(Check all applicable)</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1320" w:type="dxa"/>
            <w:vAlign w:val="bottom"/>
          </w:tcPr>
          <w:p>
            <w:pPr>
              <w:ind w:left="120"/>
              <w:spacing w:after="0" w:line="99" w:lineRule="exact"/>
              <w:rPr>
                <w:sz w:val="20"/>
                <w:szCs w:val="20"/>
                <w:color w:val="auto"/>
              </w:rPr>
            </w:pPr>
            <w:r>
              <w:rPr>
                <w:rFonts w:ascii="Arial" w:cs="Arial" w:eastAsia="Arial" w:hAnsi="Arial"/>
                <w:sz w:val="11"/>
                <w:szCs w:val="11"/>
                <w:color w:val="auto"/>
              </w:rPr>
              <w:t>Director</w:t>
            </w:r>
          </w:p>
        </w:tc>
        <w:tc>
          <w:tcPr>
            <w:tcW w:w="1620" w:type="dxa"/>
            <w:vAlign w:val="bottom"/>
          </w:tcPr>
          <w:p>
            <w:pPr>
              <w:ind w:left="440"/>
              <w:spacing w:after="0" w:line="99" w:lineRule="exact"/>
              <w:rPr>
                <w:sz w:val="20"/>
                <w:szCs w:val="20"/>
                <w:color w:val="auto"/>
              </w:rPr>
            </w:pPr>
            <w:r>
              <w:rPr>
                <w:rFonts w:ascii="Arial" w:cs="Arial" w:eastAsia="Arial" w:hAnsi="Arial"/>
                <w:sz w:val="11"/>
                <w:szCs w:val="11"/>
                <w:color w:val="auto"/>
              </w:rPr>
              <w:t>10% Owner</w:t>
            </w: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20" w:type="dxa"/>
            <w:vAlign w:val="bottom"/>
            <w:vMerge w:val="restart"/>
          </w:tcPr>
          <w:p>
            <w:pPr>
              <w:ind w:left="200"/>
              <w:spacing w:after="0"/>
              <w:rPr>
                <w:sz w:val="20"/>
                <w:szCs w:val="20"/>
                <w:color w:val="auto"/>
              </w:rPr>
            </w:pPr>
            <w:r>
              <w:rPr>
                <w:rFonts w:ascii="Arial" w:cs="Arial" w:eastAsia="Arial" w:hAnsi="Arial"/>
                <w:sz w:val="14"/>
                <w:szCs w:val="14"/>
                <w:color w:val="0000FF"/>
              </w:rPr>
              <w:t>X</w:t>
            </w:r>
          </w:p>
        </w:tc>
        <w:tc>
          <w:tcPr>
            <w:tcW w:w="1320" w:type="dxa"/>
            <w:vAlign w:val="bottom"/>
          </w:tcPr>
          <w:p>
            <w:pPr>
              <w:ind w:left="120"/>
              <w:spacing w:after="0"/>
              <w:rPr>
                <w:sz w:val="20"/>
                <w:szCs w:val="20"/>
                <w:color w:val="auto"/>
              </w:rPr>
            </w:pPr>
            <w:r>
              <w:rPr>
                <w:rFonts w:ascii="Arial" w:cs="Arial" w:eastAsia="Arial" w:hAnsi="Arial"/>
                <w:sz w:val="11"/>
                <w:szCs w:val="11"/>
                <w:color w:val="auto"/>
              </w:rPr>
              <w:t>Officer (give title</w:t>
            </w:r>
          </w:p>
        </w:tc>
        <w:tc>
          <w:tcPr>
            <w:tcW w:w="1620" w:type="dxa"/>
            <w:vAlign w:val="bottom"/>
            <w:vMerge w:val="restart"/>
          </w:tcPr>
          <w:p>
            <w:pPr>
              <w:ind w:left="440"/>
              <w:spacing w:after="0"/>
              <w:rPr>
                <w:sz w:val="20"/>
                <w:szCs w:val="20"/>
                <w:color w:val="auto"/>
              </w:rPr>
            </w:pPr>
            <w:r>
              <w:rPr>
                <w:rFonts w:ascii="Arial" w:cs="Arial" w:eastAsia="Arial" w:hAnsi="Arial"/>
                <w:sz w:val="11"/>
                <w:szCs w:val="11"/>
                <w:color w:val="auto"/>
              </w:rPr>
              <w:t>Other (specify below)</w:t>
            </w:r>
          </w:p>
        </w:tc>
        <w:tc>
          <w:tcPr>
            <w:tcW w:w="160" w:type="dxa"/>
            <w:vAlign w:val="bottom"/>
          </w:tcPr>
          <w:p>
            <w:pPr>
              <w:jc w:val="right"/>
              <w:spacing w:after="0"/>
              <w:rPr>
                <w:sz w:val="20"/>
                <w:szCs w:val="20"/>
                <w:color w:val="auto"/>
              </w:rPr>
            </w:pPr>
            <w:r>
              <w:rPr>
                <w:rFonts w:ascii="Arial" w:cs="Arial" w:eastAsia="Arial" w:hAnsi="Arial"/>
                <w:sz w:val="11"/>
                <w:szCs w:val="11"/>
                <w:color w:val="auto"/>
              </w:rPr>
              <w:t>6.</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Individual or Joint/Group Filing (Check Applicable Line)</w:t>
            </w:r>
          </w:p>
        </w:tc>
        <w:tc>
          <w:tcPr>
            <w:tcW w:w="0" w:type="dxa"/>
            <w:vAlign w:val="bottom"/>
          </w:tcPr>
          <w:p>
            <w:pPr>
              <w:spacing w:after="0"/>
              <w:rPr>
                <w:sz w:val="1"/>
                <w:szCs w:val="1"/>
                <w:color w:val="auto"/>
              </w:rPr>
            </w:pPr>
          </w:p>
        </w:tc>
      </w:tr>
      <w:tr>
        <w:trPr>
          <w:trHeight w:val="86"/>
        </w:trPr>
        <w:tc>
          <w:tcPr>
            <w:tcW w:w="420" w:type="dxa"/>
            <w:vAlign w:val="bottom"/>
            <w:vMerge w:val="continue"/>
          </w:tcPr>
          <w:p>
            <w:pPr>
              <w:spacing w:after="0"/>
              <w:rPr>
                <w:sz w:val="7"/>
                <w:szCs w:val="7"/>
                <w:color w:val="auto"/>
              </w:rPr>
            </w:pPr>
          </w:p>
        </w:tc>
        <w:tc>
          <w:tcPr>
            <w:tcW w:w="1320" w:type="dxa"/>
            <w:vAlign w:val="bottom"/>
            <w:vMerge w:val="restart"/>
          </w:tcPr>
          <w:p>
            <w:pPr>
              <w:ind w:left="120"/>
              <w:spacing w:after="0"/>
              <w:rPr>
                <w:sz w:val="20"/>
                <w:szCs w:val="20"/>
                <w:color w:val="auto"/>
              </w:rPr>
            </w:pPr>
            <w:r>
              <w:rPr>
                <w:rFonts w:ascii="Arial" w:cs="Arial" w:eastAsia="Arial" w:hAnsi="Arial"/>
                <w:sz w:val="11"/>
                <w:szCs w:val="11"/>
                <w:color w:val="auto"/>
              </w:rPr>
              <w:t>below)</w:t>
            </w:r>
          </w:p>
        </w:tc>
        <w:tc>
          <w:tcPr>
            <w:tcW w:w="1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4"/>
                <w:szCs w:val="14"/>
                <w:color w:val="0000FF"/>
              </w:rPr>
              <w:t>X</w:t>
            </w:r>
          </w:p>
        </w:tc>
        <w:tc>
          <w:tcPr>
            <w:tcW w:w="2460" w:type="dxa"/>
            <w:vAlign w:val="bottom"/>
            <w:vMerge w:val="restart"/>
          </w:tcPr>
          <w:p>
            <w:pPr>
              <w:ind w:left="1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940" w:type="dxa"/>
        <w:tblCellMar>
          <w:top w:w="0" w:type="dxa"/>
          <w:left w:w="0" w:type="dxa"/>
          <w:bottom w:w="0" w:type="dxa"/>
          <w:right w:w="0" w:type="dxa"/>
        </w:tblCellMar>
      </w:tblPr>
      <w:tr>
        <w:trPr>
          <w:trHeight w:val="168"/>
        </w:trPr>
        <w:tc>
          <w:tcPr>
            <w:tcW w:w="2180" w:type="dxa"/>
            <w:vAlign w:val="bottom"/>
          </w:tcPr>
          <w:p>
            <w:pPr>
              <w:spacing w:after="0"/>
              <w:rPr>
                <w:sz w:val="20"/>
                <w:szCs w:val="20"/>
                <w:color w:val="auto"/>
              </w:rPr>
            </w:pPr>
            <w:r>
              <w:rPr>
                <w:rFonts w:ascii="Arial" w:cs="Arial" w:eastAsia="Arial" w:hAnsi="Arial"/>
                <w:sz w:val="14"/>
                <w:szCs w:val="14"/>
                <w:color w:val="0000FF"/>
              </w:rPr>
              <w:t>Executive Vice President</w:t>
            </w:r>
          </w:p>
        </w:tc>
        <w:tc>
          <w:tcPr>
            <w:tcW w:w="3000" w:type="dxa"/>
            <w:vAlign w:val="bottom"/>
            <w:vMerge w:val="restart"/>
          </w:tcPr>
          <w:p>
            <w:pPr>
              <w:ind w:left="760"/>
              <w:spacing w:after="0"/>
              <w:rPr>
                <w:sz w:val="20"/>
                <w:szCs w:val="20"/>
                <w:color w:val="auto"/>
              </w:rPr>
            </w:pPr>
            <w:r>
              <w:rPr>
                <w:rFonts w:ascii="Arial" w:cs="Arial" w:eastAsia="Arial" w:hAnsi="Arial"/>
                <w:sz w:val="11"/>
                <w:szCs w:val="11"/>
                <w:color w:val="auto"/>
                <w:w w:val="97"/>
              </w:rPr>
              <w:t>Form filed by More than One Reporting Person</w:t>
            </w:r>
          </w:p>
        </w:tc>
        <w:tc>
          <w:tcPr>
            <w:tcW w:w="0" w:type="dxa"/>
            <w:vAlign w:val="bottom"/>
          </w:tcPr>
          <w:p>
            <w:pPr>
              <w:spacing w:after="0"/>
              <w:rPr>
                <w:sz w:val="1"/>
                <w:szCs w:val="1"/>
                <w:color w:val="auto"/>
              </w:rPr>
            </w:pPr>
          </w:p>
        </w:tc>
      </w:tr>
      <w:tr>
        <w:trPr>
          <w:trHeight w:val="32"/>
        </w:trPr>
        <w:tc>
          <w:tcPr>
            <w:tcW w:w="21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2" w:lineRule="exact"/>
        <w:rPr>
          <w:sz w:val="24"/>
          <w:szCs w:val="24"/>
          <w:color w:val="auto"/>
        </w:rPr>
      </w:pPr>
    </w:p>
    <w:p>
      <w:pPr>
        <w:sectPr>
          <w:pgSz w:w="11900" w:h="16838" w:orient="portrait"/>
          <w:cols w:equalWidth="0" w:num="2">
            <w:col w:w="4860" w:space="360"/>
            <w:col w:w="6240"/>
          </w:cols>
          <w:pgMar w:left="220" w:top="209" w:right="219" w:bottom="1440" w:gutter="0" w:footer="0" w:header="0"/>
          <w:type w:val="continuous"/>
        </w:sectPr>
      </w:pPr>
    </w:p>
    <w:p>
      <w:pPr>
        <w:spacing w:after="0" w:line="59" w:lineRule="exact"/>
        <w:rPr>
          <w:sz w:val="24"/>
          <w:szCs w:val="24"/>
          <w:color w:val="auto"/>
        </w:rPr>
      </w:pPr>
    </w:p>
    <w:p>
      <w:pPr>
        <w:ind w:left="100"/>
        <w:spacing w:after="0"/>
        <w:tabs>
          <w:tab w:leader="none" w:pos="1180" w:val="left"/>
          <w:tab w:leader="none" w:pos="22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326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820" w:type="dxa"/>
            <w:vAlign w:val="bottom"/>
          </w:tcPr>
          <w:p>
            <w:pPr>
              <w:ind w:left="1820"/>
              <w:spacing w:after="0"/>
              <w:rPr>
                <w:sz w:val="20"/>
                <w:szCs w:val="20"/>
                <w:color w:val="auto"/>
              </w:rPr>
            </w:pPr>
            <w:r>
              <w:rPr>
                <w:rFonts w:ascii="Arial" w:cs="Arial" w:eastAsia="Arial" w:hAnsi="Arial"/>
                <w:sz w:val="11"/>
                <w:szCs w:val="11"/>
                <w:b w:val="1"/>
                <w:bCs w:val="1"/>
                <w:color w:val="auto"/>
              </w:rPr>
              <w:t>2. Amount of Securities Beneficially</w:t>
            </w: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3. Ownership Form:</w:t>
            </w:r>
          </w:p>
        </w:tc>
        <w:tc>
          <w:tcPr>
            <w:tcW w:w="3020" w:type="dxa"/>
            <w:vAlign w:val="bottom"/>
          </w:tcPr>
          <w:p>
            <w:pPr>
              <w:ind w:left="100"/>
              <w:spacing w:after="0"/>
              <w:rPr>
                <w:sz w:val="20"/>
                <w:szCs w:val="20"/>
                <w:color w:val="auto"/>
              </w:rPr>
            </w:pPr>
            <w:r>
              <w:rPr>
                <w:rFonts w:ascii="Arial" w:cs="Arial" w:eastAsia="Arial" w:hAnsi="Arial"/>
                <w:sz w:val="11"/>
                <w:szCs w:val="11"/>
                <w:b w:val="1"/>
                <w:bCs w:val="1"/>
                <w:color w:val="auto"/>
              </w:rPr>
              <w:t>4. Nature of Indirect Beneficial Ownership (Instr. 5)</w:t>
            </w:r>
          </w:p>
        </w:tc>
      </w:tr>
      <w:tr>
        <w:trPr>
          <w:trHeight w:val="119"/>
        </w:trPr>
        <w:tc>
          <w:tcPr>
            <w:tcW w:w="3260" w:type="dxa"/>
            <w:vAlign w:val="bottom"/>
          </w:tcPr>
          <w:p>
            <w:pPr>
              <w:spacing w:after="0"/>
              <w:rPr>
                <w:sz w:val="10"/>
                <w:szCs w:val="10"/>
                <w:color w:val="auto"/>
              </w:rPr>
            </w:pPr>
          </w:p>
        </w:tc>
        <w:tc>
          <w:tcPr>
            <w:tcW w:w="3820" w:type="dxa"/>
            <w:vAlign w:val="bottom"/>
          </w:tcPr>
          <w:p>
            <w:pPr>
              <w:ind w:left="1820"/>
              <w:spacing w:after="0" w:line="119" w:lineRule="exact"/>
              <w:rPr>
                <w:sz w:val="20"/>
                <w:szCs w:val="20"/>
                <w:color w:val="auto"/>
              </w:rPr>
            </w:pPr>
            <w:r>
              <w:rPr>
                <w:rFonts w:ascii="Arial" w:cs="Arial" w:eastAsia="Arial" w:hAnsi="Arial"/>
                <w:sz w:val="11"/>
                <w:szCs w:val="11"/>
                <w:b w:val="1"/>
                <w:bCs w:val="1"/>
                <w:color w:val="auto"/>
              </w:rPr>
              <w:t>Owned (Instr. 4)</w:t>
            </w:r>
          </w:p>
        </w:tc>
        <w:tc>
          <w:tcPr>
            <w:tcW w:w="13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Direct (D) or Indirect</w:t>
            </w:r>
          </w:p>
        </w:tc>
        <w:tc>
          <w:tcPr>
            <w:tcW w:w="3020" w:type="dxa"/>
            <w:vAlign w:val="bottom"/>
          </w:tcPr>
          <w:p>
            <w:pPr>
              <w:spacing w:after="0"/>
              <w:rPr>
                <w:sz w:val="10"/>
                <w:szCs w:val="10"/>
                <w:color w:val="auto"/>
              </w:rPr>
            </w:pPr>
          </w:p>
        </w:tc>
      </w:tr>
      <w:tr>
        <w:trPr>
          <w:trHeight w:val="142"/>
        </w:trPr>
        <w:tc>
          <w:tcPr>
            <w:tcW w:w="3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(I) (Instr. 5)</w:t>
            </w:r>
          </w:p>
        </w:tc>
        <w:tc>
          <w:tcPr>
            <w:tcW w:w="3020" w:type="dxa"/>
            <w:vAlign w:val="bottom"/>
          </w:tcPr>
          <w:p>
            <w:pPr>
              <w:spacing w:after="0"/>
              <w:rPr>
                <w:sz w:val="12"/>
                <w:szCs w:val="12"/>
                <w:color w:val="auto"/>
              </w:rPr>
            </w:pPr>
          </w:p>
        </w:tc>
      </w:tr>
      <w:tr>
        <w:trPr>
          <w:trHeight w:val="34"/>
        </w:trPr>
        <w:tc>
          <w:tcPr>
            <w:tcW w:w="3260" w:type="dxa"/>
            <w:vAlign w:val="bottom"/>
            <w:tcBorders>
              <w:bottom w:val="single" w:sz="8" w:color="2C2C2C"/>
            </w:tcBorders>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60" w:type="dxa"/>
            <w:vAlign w:val="bottom"/>
          </w:tcPr>
          <w:p>
            <w:pPr>
              <w:ind w:left="60"/>
              <w:spacing w:after="0"/>
              <w:rPr>
                <w:sz w:val="20"/>
                <w:szCs w:val="20"/>
                <w:color w:val="auto"/>
              </w:rPr>
            </w:pPr>
            <w:r>
              <w:rPr>
                <w:rFonts w:ascii="Arial" w:cs="Arial" w:eastAsia="Arial" w:hAnsi="Arial"/>
                <w:sz w:val="14"/>
                <w:szCs w:val="14"/>
                <w:color w:val="0000FF"/>
              </w:rPr>
              <w:t>Common Stock</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tcPr>
          <w:p>
            <w:pPr>
              <w:ind w:left="740"/>
              <w:spacing w:after="0"/>
              <w:rPr>
                <w:sz w:val="20"/>
                <w:szCs w:val="20"/>
                <w:color w:val="auto"/>
              </w:rPr>
            </w:pPr>
            <w:r>
              <w:rPr>
                <w:rFonts w:ascii="Arial" w:cs="Arial" w:eastAsia="Arial" w:hAnsi="Arial"/>
                <w:sz w:val="14"/>
                <w:szCs w:val="14"/>
                <w:color w:val="0000FF"/>
              </w:rPr>
              <w:t>28,550</w:t>
            </w:r>
          </w:p>
        </w:tc>
        <w:tc>
          <w:tcPr>
            <w:tcW w:w="660" w:type="dxa"/>
            <w:vAlign w:val="bottom"/>
          </w:tcPr>
          <w:p>
            <w:pPr>
              <w:ind w:left="38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5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808080"/>
            </w:tcBorders>
          </w:tcPr>
          <w:p>
            <w:pPr>
              <w:spacing w:after="0"/>
              <w:rPr>
                <w:sz w:val="15"/>
                <w:szCs w:val="15"/>
                <w:color w:val="auto"/>
              </w:rPr>
            </w:pPr>
          </w:p>
        </w:tc>
        <w:tc>
          <w:tcPr>
            <w:tcW w:w="306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3560" w:type="dxa"/>
            <w:vAlign w:val="bottom"/>
            <w:tcBorders>
              <w:top w:val="single" w:sz="8" w:color="2C2C2C"/>
            </w:tcBorders>
            <w:gridSpan w:val="3"/>
          </w:tcPr>
          <w:p>
            <w:pPr>
              <w:ind w:left="220"/>
              <w:spacing w:after="0"/>
              <w:rPr>
                <w:sz w:val="20"/>
                <w:szCs w:val="20"/>
                <w:color w:val="auto"/>
              </w:rPr>
            </w:pPr>
            <w:r>
              <w:rPr>
                <w:rFonts w:ascii="Arial" w:cs="Arial" w:eastAsia="Arial" w:hAnsi="Arial"/>
                <w:sz w:val="14"/>
                <w:szCs w:val="14"/>
                <w:b w:val="1"/>
                <w:bCs w:val="1"/>
                <w:color w:val="auto"/>
              </w:rPr>
              <w:t>Table II - Derivative Securities Beneficially Owned</w:t>
            </w:r>
          </w:p>
        </w:tc>
        <w:tc>
          <w:tcPr>
            <w:tcW w:w="66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900" w:type="dxa"/>
            <w:vAlign w:val="bottom"/>
            <w:tcBorders>
              <w:top w:val="single" w:sz="8" w:color="2C2C2C"/>
            </w:tcBorders>
          </w:tcPr>
          <w:p>
            <w:pPr>
              <w:spacing w:after="0"/>
              <w:rPr>
                <w:sz w:val="15"/>
                <w:szCs w:val="15"/>
                <w:color w:val="auto"/>
              </w:rPr>
            </w:pPr>
          </w:p>
        </w:tc>
        <w:tc>
          <w:tcPr>
            <w:tcW w:w="172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0" w:type="dxa"/>
            <w:vAlign w:val="bottom"/>
            <w:gridSpan w:val="5"/>
          </w:tcPr>
          <w:p>
            <w:pPr>
              <w:ind w:left="72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78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5. Ownership</w:t>
            </w:r>
          </w:p>
        </w:tc>
        <w:tc>
          <w:tcPr>
            <w:tcW w:w="1720" w:type="dxa"/>
            <w:vAlign w:val="bottom"/>
          </w:tcPr>
          <w:p>
            <w:pPr>
              <w:ind w:left="100"/>
              <w:spacing w:after="0"/>
              <w:rPr>
                <w:sz w:val="20"/>
                <w:szCs w:val="20"/>
                <w:color w:val="auto"/>
              </w:rPr>
            </w:pPr>
            <w:r>
              <w:rPr>
                <w:rFonts w:ascii="Arial" w:cs="Arial" w:eastAsia="Arial" w:hAnsi="Arial"/>
                <w:sz w:val="11"/>
                <w:szCs w:val="11"/>
                <w:b w:val="1"/>
                <w:bCs w:val="1"/>
                <w:color w:val="auto"/>
              </w:rPr>
              <w:t>6. Nature of Indirect Beneficial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22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 4)</w:t>
            </w:r>
          </w:p>
        </w:tc>
        <w:tc>
          <w:tcPr>
            <w:tcW w:w="66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 Direct</w:t>
            </w:r>
          </w:p>
        </w:tc>
        <w:tc>
          <w:tcPr>
            <w:tcW w:w="17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Ownership (Instr. 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 or Indirect</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900" w:type="dxa"/>
            <w:vAlign w:val="bottom"/>
            <w:vMerge w:val="restart"/>
          </w:tcPr>
          <w:p>
            <w:pPr>
              <w:ind w:left="100"/>
              <w:spacing w:after="0" w:line="119" w:lineRule="exact"/>
              <w:rPr>
                <w:sz w:val="20"/>
                <w:szCs w:val="20"/>
                <w:color w:val="auto"/>
              </w:rPr>
            </w:pPr>
            <w:r>
              <w:rPr>
                <w:rFonts w:ascii="Arial" w:cs="Arial" w:eastAsia="Arial" w:hAnsi="Arial"/>
                <w:sz w:val="11"/>
                <w:szCs w:val="11"/>
                <w:b w:val="1"/>
                <w:bCs w:val="1"/>
                <w:color w:val="auto"/>
              </w:rPr>
              <w:t>(I) (Instr. 5)</w:t>
            </w: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Amount or</w:t>
            </w:r>
          </w:p>
        </w:tc>
        <w:tc>
          <w:tcPr>
            <w:tcW w:w="7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Expiration</w:t>
            </w:r>
          </w:p>
        </w:tc>
        <w:tc>
          <w:tcPr>
            <w:tcW w:w="22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220" w:type="dxa"/>
            <w:vAlign w:val="bottom"/>
            <w:vMerge w:val="continue"/>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0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(1)</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07/28/2025</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22,776</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1"/>
              </w:rPr>
              <w:t>31.32</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(2)</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(2)</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06/07/2027</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31,627</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1"/>
              </w:rPr>
              <w:t>34.34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(3)</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(3)</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02/11/2028</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19,022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5"/>
              </w:rPr>
              <w:t>41.4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(4)</w:t>
            </w:r>
          </w:p>
        </w:tc>
        <w:tc>
          <w:tcPr>
            <w:tcW w:w="1480" w:type="dxa"/>
            <w:vAlign w:val="bottom"/>
            <w:tcBorders>
              <w:bottom w:val="single" w:sz="8" w:color="2C2C2C"/>
            </w:tcBorders>
            <w:gridSpan w:val="2"/>
          </w:tcPr>
          <w:p>
            <w:pPr>
              <w:jc w:val="right"/>
              <w:ind w:right="243"/>
              <w:spacing w:after="0"/>
              <w:rPr>
                <w:sz w:val="20"/>
                <w:szCs w:val="20"/>
                <w:color w:val="auto"/>
              </w:rPr>
            </w:pPr>
            <w:r>
              <w:rPr>
                <w:rFonts w:ascii="Arial" w:cs="Arial" w:eastAsia="Arial" w:hAnsi="Arial"/>
                <w:sz w:val="9"/>
                <w:szCs w:val="9"/>
                <w:color w:val="008000"/>
              </w:rPr>
              <w:t>(4)</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02/13/2029</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21,000</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9"/>
              </w:rPr>
              <w:t>39</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Explanation of Responses: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right="60" w:hanging="1"/>
        <w:spacing w:after="0" w:line="291" w:lineRule="auto"/>
        <w:tabs>
          <w:tab w:leader="none" w:pos="14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July 28, 2015, (the "Grant Date") under the Company's 2014 Long-Term Incentive Plan (the "DSV Options"). The DSV Options will vest on February 15, 2020, provided that the Company meets or exceeds the median total shareholder return of the 14 original equipment manufacturers (other than GM) on the Dow Jones Automobiles and Parts Titans 30 Index on the Grant Date for the performance period from July 28, 2015, through December 31, 2019.</w:t>
      </w:r>
    </w:p>
    <w:p>
      <w:pPr>
        <w:spacing w:after="0" w:line="1" w:lineRule="exact"/>
        <w:rPr>
          <w:rFonts w:ascii="Arial" w:cs="Arial" w:eastAsia="Arial" w:hAnsi="Arial"/>
          <w:sz w:val="10"/>
          <w:szCs w:val="10"/>
          <w:color w:val="008000"/>
        </w:rPr>
      </w:pPr>
    </w:p>
    <w:p>
      <w:pPr>
        <w:ind w:left="140" w:hanging="101"/>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June 7, 2017, under the Company's 2017 Long-Term Incentive Plan (the "2017 LTIP"). Two-thirds of the 31,627 Stock Options granted have vested; the remaining one-third will vest on February 14, 2020.</w:t>
      </w:r>
    </w:p>
    <w:p>
      <w:pPr>
        <w:spacing w:after="0" w:line="46" w:lineRule="exact"/>
        <w:rPr>
          <w:rFonts w:ascii="Arial" w:cs="Arial" w:eastAsia="Arial" w:hAnsi="Arial"/>
          <w:sz w:val="10"/>
          <w:szCs w:val="10"/>
          <w:color w:val="008000"/>
        </w:rPr>
      </w:pPr>
    </w:p>
    <w:p>
      <w:pPr>
        <w:ind w:left="140" w:hanging="101"/>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13, 2018, under the Company's 2017 LTIP. One-third of the 19,022 Stock Options granted have vested; one-third will vest on February 13, 2020; and one-third will vest on February 13, 2021.</w:t>
      </w:r>
    </w:p>
    <w:p>
      <w:pPr>
        <w:spacing w:after="0" w:line="46" w:lineRule="exact"/>
        <w:rPr>
          <w:rFonts w:ascii="Arial" w:cs="Arial" w:eastAsia="Arial" w:hAnsi="Arial"/>
          <w:sz w:val="10"/>
          <w:szCs w:val="10"/>
          <w:color w:val="008000"/>
        </w:rPr>
      </w:pPr>
    </w:p>
    <w:p>
      <w:pPr>
        <w:ind w:left="140" w:hanging="101"/>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These Stock Options were granted on February 13, 2019, under the Company's 2017 LTIP. One-third of the 21,000 Stock Options granted will vest on February 13, 2020; one-third will vest on February 13, 2021; and one-third will vest on February 13, 2022.</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Remarks:</w:t>
      </w:r>
    </w:p>
    <w:p>
      <w:pPr>
        <w:ind w:left="6880"/>
        <w:spacing w:after="0" w:line="222" w:lineRule="auto"/>
        <w:rPr>
          <w:sz w:val="20"/>
          <w:szCs w:val="20"/>
          <w:color w:val="auto"/>
        </w:rPr>
      </w:pPr>
      <w:r>
        <w:rPr>
          <w:rFonts w:ascii="Arial" w:cs="Arial" w:eastAsia="Arial" w:hAnsi="Arial"/>
          <w:sz w:val="14"/>
          <w:szCs w:val="14"/>
          <w:color w:val="0000FF"/>
        </w:rPr>
        <w:t xml:space="preserve">/s/ Tia Y. Turk, Attorney-in-Fact for Mr. </w:t>
      </w:r>
      <w:r>
        <w:rPr>
          <w:rFonts w:ascii="Arial" w:cs="Arial" w:eastAsia="Arial" w:hAnsi="Arial"/>
          <w:sz w:val="28"/>
          <w:szCs w:val="28"/>
          <w:color w:val="0000FF"/>
          <w:vertAlign w:val="subscript"/>
        </w:rPr>
        <w:t>04/03/2019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4370070</wp:posOffset>
            </wp:positionH>
            <wp:positionV relativeFrom="paragraph">
              <wp:posOffset>-22225</wp:posOffset>
            </wp:positionV>
            <wp:extent cx="14274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2748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0000FF"/>
        </w:rPr>
        <w:t>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4370070</wp:posOffset>
            </wp:positionH>
            <wp:positionV relativeFrom="paragraph">
              <wp:posOffset>-15240</wp:posOffset>
            </wp:positionV>
            <wp:extent cx="2914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1465" cy="698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-70485</wp:posOffset>
            </wp:positionV>
            <wp:extent cx="4051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30" w:lineRule="exact"/>
        <w:rPr>
          <w:sz w:val="24"/>
          <w:szCs w:val="24"/>
          <w:color w:val="auto"/>
        </w:rPr>
      </w:pPr>
    </w:p>
    <w:p>
      <w:pPr>
        <w:ind w:left="6880"/>
        <w:spacing w:after="0"/>
        <w:tabs>
          <w:tab w:leader="none" w:pos="916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35" w:lineRule="exact"/>
        <w:rPr>
          <w:sz w:val="24"/>
          <w:szCs w:val="24"/>
          <w:color w:val="auto"/>
        </w:rPr>
      </w:pPr>
    </w:p>
    <w:p>
      <w:pPr>
        <w:jc w:val="both"/>
        <w:ind w:left="40" w:right="5200" w:hanging="1"/>
        <w:spacing w:after="0" w:line="335" w:lineRule="auto"/>
        <w:tabs>
          <w:tab w:leader="none" w:pos="154"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60"/>
          </w:cols>
          <w:pgMar w:left="220" w:top="209" w:right="21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72226"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2019-12-24T07:18:43Z</dcterms:created>
  <dcterms:modified xsi:type="dcterms:W3CDTF">2019-12-24T07:18:43Z</dcterms:modified>
</cp:coreProperties>
</file>