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DC 20549-1004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___________________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___________________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Date of Report (Date of earliest event reported) June 6, 2013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___________________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GENERAL MOTORS COMPANY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1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180" w:type="dxa"/>
            <w:vAlign w:val="bottom"/>
            <w:vMerge w:val="restart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001-34960</w:t>
            </w:r>
          </w:p>
        </w:tc>
        <w:tc>
          <w:tcPr>
            <w:tcW w:w="408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DELAWARE</w:t>
            </w:r>
          </w:p>
        </w:tc>
        <w:tc>
          <w:tcPr>
            <w:tcW w:w="2020" w:type="dxa"/>
            <w:vAlign w:val="bottom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27-0756180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1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(State or other jurisdiction of</w:t>
            </w:r>
          </w:p>
        </w:tc>
        <w:tc>
          <w:tcPr>
            <w:tcW w:w="2020" w:type="dxa"/>
            <w:vAlign w:val="bottom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(I.R.S. Employer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(Commission File Number)</w:t>
            </w:r>
          </w:p>
        </w:tc>
        <w:tc>
          <w:tcPr>
            <w:tcW w:w="408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incorporation)</w:t>
            </w:r>
          </w:p>
        </w:tc>
        <w:tc>
          <w:tcPr>
            <w:tcW w:w="2020" w:type="dxa"/>
            <w:vAlign w:val="bottom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Identification No.)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5"/>
        </w:trPr>
        <w:tc>
          <w:tcPr>
            <w:tcW w:w="6260" w:type="dxa"/>
            <w:vAlign w:val="bottom"/>
            <w:gridSpan w:val="2"/>
          </w:tcPr>
          <w:p>
            <w:pPr>
              <w:jc w:val="center"/>
              <w:ind w:right="2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300 Renaissance Center, Detroit, Michigan</w:t>
            </w:r>
          </w:p>
        </w:tc>
        <w:tc>
          <w:tcPr>
            <w:tcW w:w="2020" w:type="dxa"/>
            <w:vAlign w:val="bottom"/>
          </w:tcPr>
          <w:p>
            <w:pPr>
              <w:jc w:val="right"/>
              <w:ind w:right="9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5"/>
              </w:rPr>
              <w:t>48265-3000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260" w:type="dxa"/>
            <w:vAlign w:val="bottom"/>
            <w:gridSpan w:val="2"/>
          </w:tcPr>
          <w:p>
            <w:pPr>
              <w:jc w:val="center"/>
              <w:ind w:right="2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2020" w:type="dxa"/>
            <w:vAlign w:val="bottom"/>
          </w:tcPr>
          <w:p>
            <w:pPr>
              <w:jc w:val="center"/>
              <w:ind w:right="9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(Zip Code)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8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(</w:t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313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 xml:space="preserve">) </w:t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556-5000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(Registrant's telephone number, including area code)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 Applicable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4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___________________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company under any of the following provisions: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1080" w:hanging="653"/>
        <w:spacing w:after="0"/>
        <w:tabs>
          <w:tab w:leader="none" w:pos="10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Written communications pursuant to Rule 425 under the Securities Act (17 CFR 230.425)</w:t>
      </w:r>
    </w:p>
    <w:p>
      <w:pPr>
        <w:spacing w:after="0" w:line="35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1080" w:hanging="653"/>
        <w:spacing w:after="0"/>
        <w:tabs>
          <w:tab w:leader="none" w:pos="10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pursuant to Rule 14a-12 under the Exchange Act (17-CFR 240.14a-12)</w:t>
      </w:r>
    </w:p>
    <w:p>
      <w:pPr>
        <w:spacing w:after="0" w:line="35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1080" w:hanging="653"/>
        <w:spacing w:after="0"/>
        <w:tabs>
          <w:tab w:leader="none" w:pos="10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Pre-commencement communications pursuant to Rule 14d-2(b) under the Exchange Act (17 CFR 240.14d-2(b))</w:t>
      </w:r>
    </w:p>
    <w:p>
      <w:pPr>
        <w:spacing w:after="0" w:line="35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1080" w:hanging="653"/>
        <w:spacing w:after="0"/>
        <w:tabs>
          <w:tab w:leader="none" w:pos="10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Pre-commencement communications pursuant to Rule 13e-4(c) under the Exchange Act (17 CFR 240.13e-4(c))</w:t>
      </w:r>
    </w:p>
    <w:p>
      <w:pPr>
        <w:sectPr>
          <w:pgSz w:w="11900" w:h="16838" w:orient="portrait"/>
          <w:cols w:equalWidth="0" w:num="1">
            <w:col w:w="11280"/>
          </w:cols>
          <w:pgMar w:left="240" w:top="684" w:right="379" w:bottom="1440" w:gutter="0" w:footer="0" w:header="0"/>
        </w:sectPr>
      </w:pPr>
    </w:p>
    <w:bookmarkStart w:id="1" w:name="page2"/>
    <w:bookmarkEnd w:id="1"/>
    <w:p>
      <w:pPr>
        <w:jc w:val="right"/>
        <w:ind w:right="3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TABLE OF CONTENTS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5.07 SUBMISSION OF MATTERS TO A VOTE OF SECURITY HOLDERS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ectPr>
          <w:pgSz w:w="11900" w:h="16838" w:orient="portrait"/>
          <w:cols w:equalWidth="0" w:num="1">
            <w:col w:w="10219"/>
          </w:cols>
          <w:pgMar w:left="240" w:top="580" w:right="1440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Item 5.07 Submission of Matters to a Vote of Security Holders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right="48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The annual meeting of the stockholders of General Motors Company (“GM”) was held on June 6, 2013. The final votes on the matters submitted to the stockholders were as follows: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Item No. 1-Nomination and Election of Directors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47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28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Broker</w:t>
            </w:r>
          </w:p>
        </w:tc>
      </w:tr>
      <w:tr>
        <w:trPr>
          <w:trHeight w:val="248"/>
        </w:trPr>
        <w:tc>
          <w:tcPr>
            <w:tcW w:w="2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Nominee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Against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Abstain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Non-Votes</w:t>
            </w:r>
          </w:p>
        </w:tc>
      </w:tr>
      <w:tr>
        <w:trPr>
          <w:trHeight w:val="27"/>
        </w:trPr>
        <w:tc>
          <w:tcPr>
            <w:tcW w:w="2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Daniel F. Akerson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1,104,584,893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18,288,398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4,632,873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74,693,614</w:t>
            </w:r>
          </w:p>
        </w:tc>
      </w:tr>
      <w:tr>
        <w:trPr>
          <w:trHeight w:val="27"/>
        </w:trPr>
        <w:tc>
          <w:tcPr>
            <w:tcW w:w="2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David Bonderman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843,297,819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281,639,007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2,569,338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74,693,614</w:t>
            </w:r>
          </w:p>
        </w:tc>
      </w:tr>
      <w:tr>
        <w:trPr>
          <w:trHeight w:val="27"/>
        </w:trPr>
        <w:tc>
          <w:tcPr>
            <w:tcW w:w="2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Erroll B. Davis, Jr.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1,124,074,895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981,108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2,450,161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74,693,614</w:t>
            </w:r>
          </w:p>
        </w:tc>
      </w:tr>
      <w:tr>
        <w:trPr>
          <w:trHeight w:val="27"/>
        </w:trPr>
        <w:tc>
          <w:tcPr>
            <w:tcW w:w="2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Stephen J. Girsky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1,122,305,827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2,773,902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2,426,435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74,693,614</w:t>
            </w:r>
          </w:p>
        </w:tc>
      </w:tr>
      <w:tr>
        <w:trPr>
          <w:trHeight w:val="27"/>
        </w:trPr>
        <w:tc>
          <w:tcPr>
            <w:tcW w:w="2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E. Neville Isdell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1,124,297,044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756,460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2,452,660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74,693,614</w:t>
            </w:r>
          </w:p>
        </w:tc>
      </w:tr>
      <w:tr>
        <w:trPr>
          <w:trHeight w:val="27"/>
        </w:trPr>
        <w:tc>
          <w:tcPr>
            <w:tcW w:w="2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Robert D. Krebs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1,124,305,228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755,917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2,445,019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74,693,614</w:t>
            </w:r>
          </w:p>
        </w:tc>
      </w:tr>
      <w:tr>
        <w:trPr>
          <w:trHeight w:val="27"/>
        </w:trPr>
        <w:tc>
          <w:tcPr>
            <w:tcW w:w="2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Kathryn V. Marinello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1,124,249,013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833,142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2,424,009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74,693,614</w:t>
            </w:r>
          </w:p>
        </w:tc>
      </w:tr>
      <w:tr>
        <w:trPr>
          <w:trHeight w:val="27"/>
        </w:trPr>
        <w:tc>
          <w:tcPr>
            <w:tcW w:w="2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Michael G. Mullen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1,123,671,142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1,389,506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2,445,516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74,693,614</w:t>
            </w:r>
          </w:p>
        </w:tc>
      </w:tr>
      <w:tr>
        <w:trPr>
          <w:trHeight w:val="27"/>
        </w:trPr>
        <w:tc>
          <w:tcPr>
            <w:tcW w:w="2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James J. Mulva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1,123,734,310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1,326,303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2,445,551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74,693,614</w:t>
            </w:r>
          </w:p>
        </w:tc>
      </w:tr>
      <w:tr>
        <w:trPr>
          <w:trHeight w:val="27"/>
        </w:trPr>
        <w:tc>
          <w:tcPr>
            <w:tcW w:w="2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Patricia F. Russo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1,059,039,963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66,040,408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2,425,793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74,693,614</w:t>
            </w:r>
          </w:p>
        </w:tc>
      </w:tr>
      <w:tr>
        <w:trPr>
          <w:trHeight w:val="27"/>
        </w:trPr>
        <w:tc>
          <w:tcPr>
            <w:tcW w:w="2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Thomas M. Schoewe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1,124,290,122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738,070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2,477,972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74,693,614</w:t>
            </w:r>
          </w:p>
        </w:tc>
      </w:tr>
      <w:tr>
        <w:trPr>
          <w:trHeight w:val="27"/>
        </w:trPr>
        <w:tc>
          <w:tcPr>
            <w:tcW w:w="2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Theodore M. Solso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1,124,319,575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743,030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2,443,559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74,693,614</w:t>
            </w:r>
          </w:p>
        </w:tc>
      </w:tr>
      <w:tr>
        <w:trPr>
          <w:trHeight w:val="27"/>
        </w:trPr>
        <w:tc>
          <w:tcPr>
            <w:tcW w:w="2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Carol M. Stephenson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1,120,272,707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4,798,157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2,435,300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74,693,614</w:t>
            </w:r>
          </w:p>
        </w:tc>
      </w:tr>
      <w:tr>
        <w:trPr>
          <w:trHeight w:val="27"/>
        </w:trPr>
        <w:tc>
          <w:tcPr>
            <w:tcW w:w="2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Cynthia A. Telles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1,107,645,688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17,398,733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2,461,743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74,693,614</w:t>
            </w:r>
          </w:p>
        </w:tc>
      </w:tr>
      <w:tr>
        <w:trPr>
          <w:trHeight w:val="27"/>
        </w:trPr>
        <w:tc>
          <w:tcPr>
            <w:tcW w:w="2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Dean Fitzpatrick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402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1,127,505,762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—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74,693,212</w:t>
            </w:r>
          </w:p>
        </w:tc>
      </w:tr>
      <w:tr>
        <w:trPr>
          <w:trHeight w:val="27"/>
        </w:trPr>
        <w:tc>
          <w:tcPr>
            <w:tcW w:w="2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John Lauve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402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1,127,505,762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—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74,693,212</w:t>
            </w:r>
          </w:p>
        </w:tc>
      </w:tr>
      <w:tr>
        <w:trPr>
          <w:trHeight w:val="27"/>
        </w:trPr>
        <w:tc>
          <w:tcPr>
            <w:tcW w:w="2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Item No. 2-Ratification of the Selection of Deloitte &amp; Touche LLP as GM's Independent Registered Public Accounting Firm for the Year 2013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7" w:lineRule="exact"/>
        <w:rPr>
          <w:sz w:val="20"/>
          <w:szCs w:val="20"/>
          <w:color w:val="auto"/>
        </w:rPr>
      </w:pPr>
    </w:p>
    <w:tbl>
      <w:tblPr>
        <w:tblLayout w:type="fixed"/>
        <w:tblInd w:w="47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26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right"/>
              <w:ind w:right="1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</w:t>
            </w:r>
          </w:p>
        </w:tc>
        <w:tc>
          <w:tcPr>
            <w:tcW w:w="2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9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Against</w:t>
            </w:r>
          </w:p>
        </w:tc>
        <w:tc>
          <w:tcPr>
            <w:tcW w:w="2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9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Abstain</w:t>
            </w:r>
          </w:p>
        </w:tc>
        <w:tc>
          <w:tcPr>
            <w:tcW w:w="2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Broker Non-Votes</w:t>
            </w:r>
          </w:p>
        </w:tc>
      </w:tr>
      <w:tr>
        <w:trPr>
          <w:trHeight w:val="27"/>
        </w:trPr>
        <w:tc>
          <w:tcPr>
            <w:tcW w:w="26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6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1,183,927,103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14,151,287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4,121,388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2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—</w:t>
            </w:r>
          </w:p>
        </w:tc>
      </w:tr>
      <w:tr>
        <w:trPr>
          <w:trHeight w:val="27"/>
        </w:trPr>
        <w:tc>
          <w:tcPr>
            <w:tcW w:w="26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Item No. 3-Advisory Vote to Approve Compensation Paid to GM's Named Executive Officers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tbl>
      <w:tblPr>
        <w:tblLayout w:type="fixed"/>
        <w:tblInd w:w="47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26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right"/>
              <w:ind w:right="1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</w:t>
            </w:r>
          </w:p>
        </w:tc>
        <w:tc>
          <w:tcPr>
            <w:tcW w:w="26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9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Against</w:t>
            </w:r>
          </w:p>
        </w:tc>
        <w:tc>
          <w:tcPr>
            <w:tcW w:w="26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9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Abstain</w:t>
            </w:r>
          </w:p>
        </w:tc>
        <w:tc>
          <w:tcPr>
            <w:tcW w:w="2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Broker Non-Votes</w:t>
            </w:r>
          </w:p>
        </w:tc>
      </w:tr>
      <w:tr>
        <w:trPr>
          <w:trHeight w:val="27"/>
        </w:trPr>
        <w:tc>
          <w:tcPr>
            <w:tcW w:w="26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6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1,106,815,847</w:t>
            </w:r>
          </w:p>
        </w:tc>
        <w:tc>
          <w:tcPr>
            <w:tcW w:w="26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14,580,553</w:t>
            </w: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6,109,764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74,693,614</w:t>
            </w:r>
          </w:p>
        </w:tc>
      </w:tr>
      <w:tr>
        <w:trPr>
          <w:trHeight w:val="27"/>
        </w:trPr>
        <w:tc>
          <w:tcPr>
            <w:tcW w:w="26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Item No. 4-Stockholder Vote Regarding Independent Board Chairman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tbl>
      <w:tblPr>
        <w:tblLayout w:type="fixed"/>
        <w:tblInd w:w="47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26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right"/>
              <w:ind w:right="1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</w:t>
            </w:r>
          </w:p>
        </w:tc>
        <w:tc>
          <w:tcPr>
            <w:tcW w:w="26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9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Against</w:t>
            </w:r>
          </w:p>
        </w:tc>
        <w:tc>
          <w:tcPr>
            <w:tcW w:w="26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9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Abstain</w:t>
            </w:r>
          </w:p>
        </w:tc>
        <w:tc>
          <w:tcPr>
            <w:tcW w:w="2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Broker Non-Votes</w:t>
            </w:r>
          </w:p>
        </w:tc>
      </w:tr>
      <w:tr>
        <w:trPr>
          <w:trHeight w:val="27"/>
        </w:trPr>
        <w:tc>
          <w:tcPr>
            <w:tcW w:w="26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6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401,269,550</w:t>
            </w:r>
          </w:p>
        </w:tc>
        <w:tc>
          <w:tcPr>
            <w:tcW w:w="26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711,041,346</w:t>
            </w: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15,195,268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74,693,614</w:t>
            </w:r>
          </w:p>
        </w:tc>
      </w:tr>
      <w:tr>
        <w:trPr>
          <w:trHeight w:val="27"/>
        </w:trPr>
        <w:tc>
          <w:tcPr>
            <w:tcW w:w="26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585" w:right="239" w:bottom="144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Item No. 5-Stockholder Proposal Regarding Executive Stock Retention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tbl>
      <w:tblPr>
        <w:tblLayout w:type="fixed"/>
        <w:tblInd w:w="47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26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right"/>
              <w:ind w:right="1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</w:t>
            </w:r>
          </w:p>
        </w:tc>
        <w:tc>
          <w:tcPr>
            <w:tcW w:w="26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9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Against</w:t>
            </w:r>
          </w:p>
        </w:tc>
        <w:tc>
          <w:tcPr>
            <w:tcW w:w="26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9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Abstain</w:t>
            </w:r>
          </w:p>
        </w:tc>
        <w:tc>
          <w:tcPr>
            <w:tcW w:w="2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Broker Non-Votes</w:t>
            </w:r>
          </w:p>
        </w:tc>
      </w:tr>
      <w:tr>
        <w:trPr>
          <w:trHeight w:val="27"/>
        </w:trPr>
        <w:tc>
          <w:tcPr>
            <w:tcW w:w="26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6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216,486,643</w:t>
            </w:r>
          </w:p>
        </w:tc>
        <w:tc>
          <w:tcPr>
            <w:tcW w:w="26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900,136,565</w:t>
            </w: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10,882,956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74,693,614</w:t>
            </w:r>
          </w:p>
        </w:tc>
      </w:tr>
      <w:tr>
        <w:trPr>
          <w:trHeight w:val="27"/>
        </w:trPr>
        <w:tc>
          <w:tcPr>
            <w:tcW w:w="26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80"/>
          </w:cols>
          <w:pgMar w:left="240" w:top="1233" w:right="679" w:bottom="1440" w:gutter="0" w:footer="0" w:header="0"/>
        </w:sectPr>
      </w:pPr>
    </w:p>
    <w:bookmarkStart w:id="4" w:name="page5"/>
    <w:bookmarkEnd w:id="4"/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GENERAL MOTORS COMPANY</w:t>
            </w:r>
          </w:p>
        </w:tc>
      </w:tr>
      <w:tr>
        <w:trPr>
          <w:trHeight w:val="237"/>
        </w:trPr>
        <w:tc>
          <w:tcPr>
            <w:tcW w:w="2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(Registrant)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702"/>
        </w:trPr>
        <w:tc>
          <w:tcPr>
            <w:tcW w:w="2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THOMAS S. TIMKO</w:t>
            </w:r>
          </w:p>
        </w:tc>
      </w:tr>
      <w:tr>
        <w:trPr>
          <w:trHeight w:val="27"/>
        </w:trPr>
        <w:tc>
          <w:tcPr>
            <w:tcW w:w="2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22"/>
        </w:trPr>
        <w:tc>
          <w:tcPr>
            <w:tcW w:w="2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June 11, 2013</w:t>
            </w:r>
          </w:p>
        </w:tc>
        <w:tc>
          <w:tcPr>
            <w:tcW w:w="1660" w:type="dxa"/>
            <w:vAlign w:val="bottom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Thomas S. Timko</w:t>
            </w:r>
          </w:p>
        </w:tc>
      </w:tr>
      <w:tr>
        <w:trPr>
          <w:trHeight w:val="230"/>
        </w:trPr>
        <w:tc>
          <w:tcPr>
            <w:tcW w:w="2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Vice President, Controller and Chief Accounting Officer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280"/>
      </w:cols>
      <w:pgMar w:left="240" w:top="58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2019-12-07T20:14:04Z</dcterms:created>
  <dcterms:modified xsi:type="dcterms:W3CDTF">2019-12-07T20:14:04Z</dcterms:modified>
</cp:coreProperties>
</file>