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333-215924</w:t>
      </w:r>
    </w:p>
    <w:p>
      <w:pPr>
        <w:spacing w:after="0" w:line="135" w:lineRule="exact"/>
        <w:rPr>
          <w:sz w:val="24"/>
          <w:szCs w:val="24"/>
          <w:color w:val="auto"/>
        </w:rPr>
      </w:pPr>
    </w:p>
    <w:p>
      <w:pPr>
        <w:ind w:left="20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we are not soliciting offers to buy these securities, in any state or jurisdiction where the offer or sale is not permitted.</w:t>
      </w:r>
    </w:p>
    <w:p>
      <w:pPr>
        <w:spacing w:after="0" w:line="11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FF4338"/>
        </w:rPr>
        <w:t>SUBJECT TO COMPLETION, DATED SEPTEMBER 5, 2018</w:t>
      </w:r>
    </w:p>
    <w:p>
      <w:pPr>
        <w:spacing w:after="0" w:line="7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6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(To Prospectus dated February 7, 2017)</w:t>
      </w:r>
    </w:p>
    <w:p>
      <w:pPr>
        <w:spacing w:after="0" w:line="3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56515</wp:posOffset>
            </wp:positionV>
            <wp:extent cx="45281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4100" w:hanging="688"/>
        <w:spacing w:after="0"/>
        <w:tabs>
          <w:tab w:leader="none" w:pos="410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Floating Rate Senior Notes due 2021</w:t>
      </w:r>
    </w:p>
    <w:p>
      <w:pPr>
        <w:spacing w:after="0" w:line="43" w:lineRule="exact"/>
        <w:rPr>
          <w:rFonts w:ascii="Times New Roman" w:cs="Times New Roman" w:eastAsia="Times New Roman" w:hAnsi="Times New Roman"/>
          <w:sz w:val="25"/>
          <w:szCs w:val="25"/>
          <w:b w:val="1"/>
          <w:bCs w:val="1"/>
          <w:color w:val="auto"/>
        </w:rPr>
      </w:pPr>
    </w:p>
    <w:p>
      <w:pPr>
        <w:ind w:left="4020"/>
        <w:spacing w:after="0"/>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2028</w:t>
      </w:r>
    </w:p>
    <w:p>
      <w:pPr>
        <w:spacing w:after="0" w:line="9" w:lineRule="exact"/>
        <w:rPr>
          <w:rFonts w:ascii="Times New Roman" w:cs="Times New Roman" w:eastAsia="Times New Roman" w:hAnsi="Times New Roman"/>
          <w:sz w:val="25"/>
          <w:szCs w:val="25"/>
          <w:b w:val="1"/>
          <w:bCs w:val="1"/>
          <w:color w:val="auto"/>
        </w:rPr>
      </w:pPr>
    </w:p>
    <w:p>
      <w:pPr>
        <w:ind w:left="4020"/>
        <w:spacing w:after="0"/>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123190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3" w:lineRule="exact"/>
        <w:rPr>
          <w:sz w:val="24"/>
          <w:szCs w:val="24"/>
          <w:color w:val="auto"/>
        </w:rPr>
      </w:pPr>
    </w:p>
    <w:p>
      <w:pPr>
        <w:ind w:left="640"/>
        <w:spacing w:after="0"/>
        <w:tabs>
          <w:tab w:leader="none" w:pos="3780" w:val="left"/>
        </w:tabs>
        <w:rPr>
          <w:sz w:val="20"/>
          <w:szCs w:val="20"/>
          <w:color w:val="auto"/>
        </w:rPr>
      </w:pPr>
      <w:r>
        <w:rPr>
          <w:rFonts w:ascii="Times New Roman" w:cs="Times New Roman" w:eastAsia="Times New Roman" w:hAnsi="Times New Roman"/>
          <w:sz w:val="18"/>
          <w:szCs w:val="18"/>
          <w:color w:val="auto"/>
        </w:rPr>
        <w:t>General Motors Company is offering $</w:t>
      </w:r>
      <w:r>
        <w:rPr>
          <w:sz w:val="20"/>
          <w:szCs w:val="20"/>
          <w:color w:val="auto"/>
        </w:rPr>
        <w:tab/>
      </w:r>
      <w:r>
        <w:rPr>
          <w:rFonts w:ascii="Times New Roman" w:cs="Times New Roman" w:eastAsia="Times New Roman" w:hAnsi="Times New Roman"/>
          <w:sz w:val="18"/>
          <w:szCs w:val="18"/>
          <w:color w:val="auto"/>
        </w:rPr>
        <w:t>in aggregate principal amount of Floating Rate Senior Notes due 2021 (the “Floating Rate Notes”),</w:t>
      </w:r>
    </w:p>
    <w:p>
      <w:pPr>
        <w:spacing w:after="0" w:line="27" w:lineRule="exact"/>
        <w:rPr>
          <w:sz w:val="24"/>
          <w:szCs w:val="24"/>
          <w:color w:val="auto"/>
        </w:rPr>
      </w:pPr>
    </w:p>
    <w:p>
      <w:pPr>
        <w:ind w:left="200" w:right="120"/>
        <w:spacing w:after="0" w:line="261" w:lineRule="auto"/>
        <w:rPr>
          <w:sz w:val="20"/>
          <w:szCs w:val="20"/>
          <w:color w:val="auto"/>
        </w:rPr>
      </w:pPr>
      <w:r>
        <w:rPr>
          <w:rFonts w:ascii="Times New Roman" w:cs="Times New Roman" w:eastAsia="Times New Roman" w:hAnsi="Times New Roman"/>
          <w:sz w:val="18"/>
          <w:szCs w:val="18"/>
          <w:color w:val="auto"/>
        </w:rPr>
        <w:t>$ in aggregate principal amount of % Senior Notes due 2028 (the “2028 Notes”) and $ in aggregate principal amount of % Senior Notes due 2049 (the “2049 Notes” and, together with the Floating Rate Notes and the 2028 Notes, the “Notes”).</w:t>
      </w:r>
    </w:p>
    <w:p>
      <w:pPr>
        <w:spacing w:after="0" w:line="18" w:lineRule="exact"/>
        <w:rPr>
          <w:sz w:val="24"/>
          <w:szCs w:val="24"/>
          <w:color w:val="auto"/>
        </w:rPr>
      </w:pPr>
    </w:p>
    <w:p>
      <w:pPr>
        <w:ind w:left="640"/>
        <w:spacing w:after="0"/>
        <w:tabs>
          <w:tab w:leader="none" w:pos="4240" w:val="left"/>
          <w:tab w:leader="none" w:pos="7700" w:val="left"/>
        </w:tabs>
        <w:rPr>
          <w:sz w:val="20"/>
          <w:szCs w:val="20"/>
          <w:color w:val="auto"/>
        </w:rPr>
      </w:pPr>
      <w:r>
        <w:rPr>
          <w:rFonts w:ascii="Times New Roman" w:cs="Times New Roman" w:eastAsia="Times New Roman" w:hAnsi="Times New Roman"/>
          <w:sz w:val="18"/>
          <w:szCs w:val="18"/>
          <w:color w:val="auto"/>
        </w:rPr>
        <w:t>The Floating Rate Notes will mature on</w:t>
      </w:r>
      <w:r>
        <w:rPr>
          <w:sz w:val="20"/>
          <w:szCs w:val="20"/>
          <w:color w:val="auto"/>
        </w:rPr>
        <w:tab/>
      </w:r>
      <w:r>
        <w:rPr>
          <w:rFonts w:ascii="Times New Roman" w:cs="Times New Roman" w:eastAsia="Times New Roman" w:hAnsi="Times New Roman"/>
          <w:sz w:val="18"/>
          <w:szCs w:val="18"/>
          <w:color w:val="auto"/>
        </w:rPr>
        <w:t>, 2021, the 2028 Notes will mature on</w:t>
      </w:r>
      <w:r>
        <w:rPr>
          <w:sz w:val="20"/>
          <w:szCs w:val="20"/>
          <w:color w:val="auto"/>
        </w:rPr>
        <w:tab/>
      </w:r>
      <w:r>
        <w:rPr>
          <w:rFonts w:ascii="Times New Roman" w:cs="Times New Roman" w:eastAsia="Times New Roman" w:hAnsi="Times New Roman"/>
          <w:sz w:val="17"/>
          <w:szCs w:val="17"/>
          <w:color w:val="auto"/>
        </w:rPr>
        <w:t>, 2028 and the 2049 Notes will mature on</w:t>
      </w:r>
    </w:p>
    <w:p>
      <w:pPr>
        <w:spacing w:after="0" w:line="27" w:lineRule="exact"/>
        <w:rPr>
          <w:sz w:val="24"/>
          <w:szCs w:val="24"/>
          <w:color w:val="auto"/>
        </w:rPr>
      </w:pPr>
    </w:p>
    <w:p>
      <w:pPr>
        <w:ind w:left="920"/>
        <w:spacing w:after="0"/>
        <w:tabs>
          <w:tab w:leader="none" w:pos="6780" w:val="left"/>
        </w:tabs>
        <w:rPr>
          <w:sz w:val="20"/>
          <w:szCs w:val="20"/>
          <w:color w:val="auto"/>
        </w:rPr>
      </w:pPr>
      <w:r>
        <w:rPr>
          <w:rFonts w:ascii="Times New Roman" w:cs="Times New Roman" w:eastAsia="Times New Roman" w:hAnsi="Times New Roman"/>
          <w:sz w:val="18"/>
          <w:szCs w:val="18"/>
          <w:color w:val="auto"/>
        </w:rPr>
        <w:t>, 2049. Interest on the 2028 Notes and the 2049 Notes will accrue from</w:t>
      </w:r>
      <w:r>
        <w:rPr>
          <w:sz w:val="20"/>
          <w:szCs w:val="20"/>
          <w:color w:val="auto"/>
        </w:rPr>
        <w:tab/>
      </w:r>
      <w:r>
        <w:rPr>
          <w:rFonts w:ascii="Times New Roman" w:cs="Times New Roman" w:eastAsia="Times New Roman" w:hAnsi="Times New Roman"/>
          <w:sz w:val="18"/>
          <w:szCs w:val="18"/>
          <w:color w:val="auto"/>
        </w:rPr>
        <w:t>, 2018. The Floating Rate Notes will bear interest at a rate,</w:t>
      </w:r>
    </w:p>
    <w:p>
      <w:pPr>
        <w:spacing w:after="0" w:line="9" w:lineRule="exact"/>
        <w:rPr>
          <w:sz w:val="24"/>
          <w:szCs w:val="24"/>
          <w:color w:val="auto"/>
        </w:rPr>
      </w:pPr>
    </w:p>
    <w:p>
      <w:pPr>
        <w:ind w:left="200"/>
        <w:spacing w:after="0"/>
        <w:tabs>
          <w:tab w:leader="none" w:pos="3900" w:val="left"/>
          <w:tab w:leader="none" w:pos="9240" w:val="left"/>
          <w:tab w:leader="none" w:pos="10060" w:val="left"/>
        </w:tabs>
        <w:rPr>
          <w:sz w:val="20"/>
          <w:szCs w:val="20"/>
          <w:color w:val="auto"/>
        </w:rPr>
      </w:pPr>
      <w:r>
        <w:rPr>
          <w:rFonts w:ascii="Times New Roman" w:cs="Times New Roman" w:eastAsia="Times New Roman" w:hAnsi="Times New Roman"/>
          <w:sz w:val="18"/>
          <w:szCs w:val="18"/>
          <w:color w:val="auto"/>
        </w:rPr>
        <w:t>reset quarterly, equal to three-month LIBOR plus</w:t>
        <w:tab/>
        <w:t>%. We will pay interest on the Floating Rate Notes quarterly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4"/>
          <w:szCs w:val="24"/>
          <w:color w:val="auto"/>
        </w:rPr>
      </w:pPr>
    </w:p>
    <w:p>
      <w:pPr>
        <w:ind w:left="200"/>
        <w:spacing w:after="0"/>
        <w:tabs>
          <w:tab w:leader="none" w:pos="1200" w:val="left"/>
          <w:tab w:leader="none" w:pos="4100" w:val="left"/>
          <w:tab w:leader="none" w:pos="9260" w:val="left"/>
          <w:tab w:leader="none" w:pos="1020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 each year, commencing on</w:t>
      </w:r>
      <w:r>
        <w:rPr>
          <w:sz w:val="20"/>
          <w:szCs w:val="20"/>
          <w:color w:val="auto"/>
        </w:rPr>
        <w:tab/>
      </w:r>
      <w:r>
        <w:rPr>
          <w:rFonts w:ascii="Times New Roman" w:cs="Times New Roman" w:eastAsia="Times New Roman" w:hAnsi="Times New Roman"/>
          <w:sz w:val="18"/>
          <w:szCs w:val="18"/>
          <w:color w:val="auto"/>
        </w:rPr>
        <w:t>, 2018. We will pay interest on the 2028 Notes semi-annually</w:t>
      </w:r>
      <w:r>
        <w:rPr>
          <w:sz w:val="20"/>
          <w:szCs w:val="20"/>
          <w:color w:val="auto"/>
        </w:rPr>
        <w:tab/>
      </w: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and of each</w:t>
      </w:r>
    </w:p>
    <w:p>
      <w:pPr>
        <w:spacing w:after="0" w:line="9" w:lineRule="exact"/>
        <w:rPr>
          <w:sz w:val="24"/>
          <w:szCs w:val="24"/>
          <w:color w:val="auto"/>
        </w:rPr>
      </w:pPr>
    </w:p>
    <w:p>
      <w:pPr>
        <w:ind w:left="200"/>
        <w:spacing w:after="0"/>
        <w:tabs>
          <w:tab w:leader="none" w:pos="2500" w:val="left"/>
          <w:tab w:leader="none" w:pos="7940" w:val="left"/>
          <w:tab w:leader="none" w:pos="9000" w:val="left"/>
        </w:tabs>
        <w:rPr>
          <w:sz w:val="20"/>
          <w:szCs w:val="20"/>
          <w:color w:val="auto"/>
        </w:rPr>
      </w:pPr>
      <w:r>
        <w:rPr>
          <w:rFonts w:ascii="Times New Roman" w:cs="Times New Roman" w:eastAsia="Times New Roman" w:hAnsi="Times New Roman"/>
          <w:sz w:val="18"/>
          <w:szCs w:val="18"/>
          <w:color w:val="auto"/>
        </w:rPr>
        <w:t>year, commencing on</w:t>
      </w:r>
      <w:r>
        <w:rPr>
          <w:sz w:val="20"/>
          <w:szCs w:val="20"/>
          <w:color w:val="auto"/>
        </w:rPr>
        <w:tab/>
      </w:r>
      <w:r>
        <w:rPr>
          <w:rFonts w:ascii="Times New Roman" w:cs="Times New Roman" w:eastAsia="Times New Roman" w:hAnsi="Times New Roman"/>
          <w:sz w:val="18"/>
          <w:szCs w:val="18"/>
          <w:color w:val="auto"/>
        </w:rPr>
        <w:t>, 2019. We will pay interest on the 2049 Notes semi-annually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of each year, commencing on</w:t>
      </w:r>
    </w:p>
    <w:p>
      <w:pPr>
        <w:spacing w:after="0" w:line="9" w:lineRule="exact"/>
        <w:rPr>
          <w:sz w:val="24"/>
          <w:szCs w:val="24"/>
          <w:color w:val="auto"/>
        </w:rPr>
      </w:pPr>
    </w:p>
    <w:p>
      <w:pPr>
        <w:ind w:left="200" w:right="160" w:firstLine="724"/>
        <w:spacing w:after="0" w:line="261" w:lineRule="auto"/>
        <w:tabs>
          <w:tab w:leader="none" w:pos="101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The Notes will be our senior unsecured obligations and will rank equally in right of payment with all of our existing and future senior unsecured indebtedness.</w:t>
      </w:r>
    </w:p>
    <w:p>
      <w:pPr>
        <w:spacing w:after="0" w:line="18" w:lineRule="exact"/>
        <w:rPr>
          <w:sz w:val="24"/>
          <w:szCs w:val="24"/>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We may not redeem the Floating Rate Notes prior to maturity. We may, at our option, redeem some or all of the 2028 Notes and the 2049 Notes at any time and from time to time at the applicable redemption prices described under “Description of the Notes—Optional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88900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4"/>
          <w:szCs w:val="24"/>
          <w:color w:val="auto"/>
        </w:rPr>
      </w:pPr>
    </w:p>
    <w:p>
      <w:pPr>
        <w:ind w:left="200" w:right="560" w:firstLine="44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Notes involves risks. See “</w:t>
      </w:r>
      <w:hyperlink w:anchor="page10">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S-6 of this prospectus supplement, in the accompanying prospectus and in our periodic reports filed from time to time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86995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2" w:lineRule="exact"/>
        <w:rPr>
          <w:sz w:val="24"/>
          <w:szCs w:val="24"/>
          <w:color w:val="auto"/>
        </w:rPr>
      </w:pPr>
    </w:p>
    <w:p>
      <w:pPr>
        <w:ind w:left="200" w:right="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97155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5"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 Floating</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 2028</w:t>
            </w:r>
          </w:p>
        </w:tc>
        <w:tc>
          <w:tcPr>
            <w:tcW w:w="200" w:type="dxa"/>
            <w:vAlign w:val="bottom"/>
          </w:tcPr>
          <w:p>
            <w:pPr>
              <w:spacing w:after="0"/>
              <w:rPr>
                <w:sz w:val="13"/>
                <w:szCs w:val="13"/>
                <w:color w:val="auto"/>
              </w:rPr>
            </w:pPr>
          </w:p>
        </w:tc>
        <w:tc>
          <w:tcPr>
            <w:tcW w:w="68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Per 2049</w:t>
            </w:r>
          </w:p>
        </w:tc>
        <w:tc>
          <w:tcPr>
            <w:tcW w:w="200" w:type="dxa"/>
            <w:vAlign w:val="bottom"/>
          </w:tcPr>
          <w:p>
            <w:pPr>
              <w:spacing w:after="0"/>
              <w:rPr>
                <w:sz w:val="13"/>
                <w:szCs w:val="13"/>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Note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to Public(1)</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Plus accrued interest, if any, from and including</w:t>
            </w:r>
          </w:p>
        </w:tc>
        <w:tc>
          <w:tcPr>
            <w:tcW w:w="360" w:type="dxa"/>
            <w:vAlign w:val="bottom"/>
          </w:tcPr>
          <w:p>
            <w:pPr>
              <w:spacing w:after="0"/>
              <w:rPr>
                <w:sz w:val="24"/>
                <w:szCs w:val="24"/>
                <w:color w:val="auto"/>
              </w:rPr>
            </w:pPr>
          </w:p>
        </w:tc>
        <w:tc>
          <w:tcPr>
            <w:tcW w:w="3300" w:type="dxa"/>
            <w:vAlign w:val="bottom"/>
            <w:gridSpan w:val="7"/>
          </w:tcPr>
          <w:p>
            <w:pPr>
              <w:jc w:val="right"/>
              <w:ind w:right="230"/>
              <w:spacing w:after="0"/>
              <w:rPr>
                <w:sz w:val="20"/>
                <w:szCs w:val="20"/>
                <w:color w:val="auto"/>
              </w:rPr>
            </w:pPr>
            <w:r>
              <w:rPr>
                <w:rFonts w:ascii="Times New Roman" w:cs="Times New Roman" w:eastAsia="Times New Roman" w:hAnsi="Times New Roman"/>
                <w:sz w:val="18"/>
                <w:szCs w:val="18"/>
                <w:color w:val="auto"/>
              </w:rPr>
              <w:t>, 2018 to but excluding the delivery date.</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or automated quotation system. Currently there are no markets for the Notes.</w:t>
      </w:r>
    </w:p>
    <w:p>
      <w:pPr>
        <w:spacing w:after="0" w:line="6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and its</w:t>
      </w:r>
    </w:p>
    <w:p>
      <w:pPr>
        <w:spacing w:after="0" w:line="27" w:lineRule="exact"/>
        <w:rPr>
          <w:sz w:val="24"/>
          <w:szCs w:val="24"/>
          <w:color w:val="auto"/>
        </w:rPr>
      </w:pPr>
    </w:p>
    <w:tbl>
      <w:tblPr>
        <w:tblLayout w:type="fixed"/>
        <w:tblInd w:w="200" w:type="dxa"/>
        <w:tblCellMar>
          <w:top w:w="0" w:type="dxa"/>
          <w:left w:w="0" w:type="dxa"/>
          <w:bottom w:w="0" w:type="dxa"/>
          <w:right w:w="0" w:type="dxa"/>
        </w:tblCellMar>
      </w:tblPr>
      <w:tr>
        <w:trPr>
          <w:trHeight w:val="236"/>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participants, including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on or about</w:t>
            </w:r>
          </w:p>
        </w:tc>
        <w:tc>
          <w:tcPr>
            <w:tcW w:w="3020" w:type="dxa"/>
            <w:vAlign w:val="bottom"/>
          </w:tcPr>
          <w:p>
            <w:pPr>
              <w:jc w:val="right"/>
              <w:ind w:right="2047"/>
              <w:spacing w:after="0"/>
              <w:rPr>
                <w:sz w:val="20"/>
                <w:szCs w:val="20"/>
                <w:color w:val="auto"/>
              </w:rPr>
            </w:pPr>
            <w:r>
              <w:rPr>
                <w:rFonts w:ascii="Times New Roman" w:cs="Times New Roman" w:eastAsia="Times New Roman" w:hAnsi="Times New Roman"/>
                <w:sz w:val="18"/>
                <w:szCs w:val="18"/>
                <w:color w:val="auto"/>
              </w:rPr>
              <w:t>, 2018.</w:t>
            </w:r>
          </w:p>
        </w:tc>
      </w:tr>
      <w:tr>
        <w:trPr>
          <w:trHeight w:val="155"/>
        </w:trPr>
        <w:tc>
          <w:tcPr>
            <w:tcW w:w="1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3020" w:type="dxa"/>
            <w:vAlign w:val="bottom"/>
          </w:tcPr>
          <w:p>
            <w:pPr>
              <w:spacing w:after="0"/>
              <w:rPr>
                <w:sz w:val="13"/>
                <w:szCs w:val="13"/>
                <w:color w:val="auto"/>
              </w:rPr>
            </w:pPr>
          </w:p>
        </w:tc>
      </w:tr>
      <w:tr>
        <w:trPr>
          <w:trHeight w:val="264"/>
        </w:trPr>
        <w:tc>
          <w:tcPr>
            <w:tcW w:w="19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3020" w:type="dxa"/>
            <w:vAlign w:val="bottom"/>
          </w:tcPr>
          <w:p>
            <w:pPr>
              <w:spacing w:after="0"/>
              <w:rPr>
                <w:sz w:val="22"/>
                <w:szCs w:val="22"/>
                <w:color w:val="auto"/>
              </w:rPr>
            </w:pPr>
          </w:p>
        </w:tc>
      </w:tr>
      <w:tr>
        <w:trPr>
          <w:trHeight w:val="393"/>
        </w:trPr>
        <w:tc>
          <w:tcPr>
            <w:tcW w:w="1980" w:type="dxa"/>
            <w:vAlign w:val="bottom"/>
          </w:tcPr>
          <w:p>
            <w:pPr>
              <w:spacing w:after="0"/>
              <w:rPr>
                <w:sz w:val="20"/>
                <w:szCs w:val="20"/>
                <w:color w:val="auto"/>
              </w:rPr>
            </w:pPr>
            <w:r>
              <w:rPr>
                <w:rFonts w:ascii="Times New Roman" w:cs="Times New Roman" w:eastAsia="Times New Roman" w:hAnsi="Times New Roman"/>
                <w:sz w:val="27"/>
                <w:szCs w:val="27"/>
                <w:b w:val="1"/>
                <w:bCs w:val="1"/>
                <w:color w:val="auto"/>
              </w:rPr>
              <w:t>Barclays</w:t>
            </w:r>
          </w:p>
        </w:tc>
        <w:tc>
          <w:tcPr>
            <w:tcW w:w="6020" w:type="dxa"/>
            <w:vAlign w:val="bottom"/>
            <w:gridSpan w:val="3"/>
          </w:tcPr>
          <w:p>
            <w:pPr>
              <w:ind w:left="980"/>
              <w:spacing w:after="0"/>
              <w:rPr>
                <w:sz w:val="20"/>
                <w:szCs w:val="20"/>
                <w:color w:val="auto"/>
              </w:rPr>
            </w:pPr>
            <w:r>
              <w:rPr>
                <w:rFonts w:ascii="Times New Roman" w:cs="Times New Roman" w:eastAsia="Times New Roman" w:hAnsi="Times New Roman"/>
                <w:sz w:val="27"/>
                <w:szCs w:val="27"/>
                <w:b w:val="1"/>
                <w:bCs w:val="1"/>
                <w:color w:val="auto"/>
              </w:rPr>
              <w:t>Deutsche Bank Securities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27"/>
                <w:szCs w:val="27"/>
                <w:b w:val="1"/>
                <w:bCs w:val="1"/>
                <w:color w:val="auto"/>
              </w:rPr>
              <w:t>SOCIETE GENERALE</w:t>
            </w:r>
          </w:p>
        </w:tc>
      </w:tr>
      <w:tr>
        <w:trPr>
          <w:trHeight w:val="256"/>
        </w:trPr>
        <w:tc>
          <w:tcPr>
            <w:tcW w:w="1980" w:type="dxa"/>
            <w:vAlign w:val="bottom"/>
          </w:tcPr>
          <w:p>
            <w:pPr>
              <w:spacing w:after="0"/>
              <w:rPr>
                <w:sz w:val="22"/>
                <w:szCs w:val="22"/>
                <w:color w:val="auto"/>
              </w:rPr>
            </w:pPr>
          </w:p>
        </w:tc>
        <w:tc>
          <w:tcPr>
            <w:tcW w:w="6020" w:type="dxa"/>
            <w:vAlign w:val="bottom"/>
            <w:gridSpan w:val="3"/>
          </w:tcPr>
          <w:p>
            <w:pPr>
              <w:jc w:val="center"/>
              <w:ind w:left="927"/>
              <w:spacing w:after="0"/>
              <w:rPr>
                <w:sz w:val="20"/>
                <w:szCs w:val="20"/>
                <w:color w:val="auto"/>
              </w:rPr>
            </w:pPr>
            <w:r>
              <w:rPr>
                <w:rFonts w:ascii="Times New Roman" w:cs="Times New Roman" w:eastAsia="Times New Roman" w:hAnsi="Times New Roman"/>
                <w:sz w:val="18"/>
                <w:szCs w:val="18"/>
                <w:color w:val="auto"/>
              </w:rPr>
              <w:t>The date of this prospectus supplement is September  , 2018.</w:t>
            </w:r>
          </w:p>
        </w:tc>
        <w:tc>
          <w:tcPr>
            <w:tcW w:w="3020" w:type="dxa"/>
            <w:vAlign w:val="bottom"/>
          </w:tcPr>
          <w:p>
            <w:pPr>
              <w:spacing w:after="0"/>
              <w:rPr>
                <w:sz w:val="22"/>
                <w:szCs w:val="22"/>
                <w:color w:val="auto"/>
              </w:rPr>
            </w:pPr>
          </w:p>
        </w:tc>
      </w:tr>
    </w:tbl>
    <w:p>
      <w:pPr>
        <w:sectPr>
          <w:pgSz w:w="11900" w:h="16838" w:orient="portrait"/>
          <w:cols w:equalWidth="0" w:num="1">
            <w:col w:w="11240"/>
          </w:cols>
          <w:pgMar w:left="240" w:top="226" w:right="41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60" w:type="dxa"/>
            <w:vAlign w:val="bottom"/>
            <w:gridSpan w:val="15"/>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ABOUT THIS PROSPECTUS SUPPLEMENT</w:t>
              </w:r>
            </w:hyperlink>
          </w:p>
        </w:tc>
        <w:tc>
          <w:tcPr>
            <w:tcW w:w="512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FORWARD-LOOKING STATEMENTS</w:t>
              </w:r>
            </w:hyperlink>
          </w:p>
        </w:tc>
        <w:tc>
          <w:tcPr>
            <w:tcW w:w="56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PROSPECTUS SUPPLEMENT SUMMARY</w:t>
              </w:r>
            </w:hyperlink>
          </w:p>
        </w:tc>
        <w:tc>
          <w:tcPr>
            <w:tcW w:w="52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73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200" w:type="dxa"/>
            <w:vAlign w:val="bottom"/>
          </w:tcPr>
          <w:p>
            <w:pPr>
              <w:spacing w:after="0"/>
              <w:rPr>
                <w:sz w:val="17"/>
                <w:szCs w:val="17"/>
                <w:color w:val="auto"/>
              </w:rPr>
            </w:pPr>
          </w:p>
        </w:tc>
        <w:tc>
          <w:tcPr>
            <w:tcW w:w="8560" w:type="dxa"/>
            <w:vAlign w:val="bottom"/>
            <w:gridSpan w:val="14"/>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w:t>
            </w:r>
          </w:p>
        </w:tc>
      </w:tr>
      <w:tr>
        <w:trPr>
          <w:trHeight w:val="218"/>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4"/>
        </w:trPr>
        <w:tc>
          <w:tcPr>
            <w:tcW w:w="200" w:type="dxa"/>
            <w:vAlign w:val="bottom"/>
          </w:tcPr>
          <w:p>
            <w:pPr>
              <w:spacing w:after="0"/>
              <w:rPr>
                <w:sz w:val="16"/>
                <w:szCs w:val="16"/>
                <w:color w:val="auto"/>
              </w:rPr>
            </w:pPr>
          </w:p>
        </w:tc>
        <w:tc>
          <w:tcPr>
            <w:tcW w:w="8560" w:type="dxa"/>
            <w:vAlign w:val="bottom"/>
            <w:gridSpan w:val="14"/>
          </w:tcPr>
          <w:p>
            <w:pPr>
              <w:spacing w:after="0" w:line="194"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CONSOLIDATED RATIO OF EARNINGS TO FIXED CHARGES</w:t>
              </w:r>
            </w:hyperlink>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200" w:type="dxa"/>
            <w:vAlign w:val="bottom"/>
          </w:tcPr>
          <w:p>
            <w:pPr>
              <w:spacing w:after="0"/>
              <w:rPr>
                <w:sz w:val="17"/>
                <w:szCs w:val="17"/>
                <w:color w:val="auto"/>
              </w:rPr>
            </w:pPr>
          </w:p>
        </w:tc>
        <w:tc>
          <w:tcPr>
            <w:tcW w:w="49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DESCRIPTION OF THE NOTES</w:t>
              </w:r>
            </w:hyperlink>
          </w:p>
        </w:tc>
        <w:tc>
          <w:tcPr>
            <w:tcW w:w="364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w:t>
            </w:r>
          </w:p>
        </w:tc>
      </w:tr>
      <w:tr>
        <w:trPr>
          <w:trHeight w:val="218"/>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4"/>
        </w:trPr>
        <w:tc>
          <w:tcPr>
            <w:tcW w:w="200" w:type="dxa"/>
            <w:vAlign w:val="bottom"/>
          </w:tcPr>
          <w:p>
            <w:pPr>
              <w:spacing w:after="0"/>
              <w:rPr>
                <w:sz w:val="16"/>
                <w:szCs w:val="16"/>
                <w:color w:val="auto"/>
              </w:rPr>
            </w:pPr>
          </w:p>
        </w:tc>
        <w:tc>
          <w:tcPr>
            <w:tcW w:w="8560" w:type="dxa"/>
            <w:vAlign w:val="bottom"/>
            <w:gridSpan w:val="14"/>
          </w:tcPr>
          <w:p>
            <w:pPr>
              <w:spacing w:after="0" w:line="194"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U.S. FEDERAL TAX CONSIDERATIONS</w:t>
              </w:r>
            </w:hyperlink>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w:t>
            </w:r>
          </w:p>
        </w:tc>
      </w:tr>
      <w:tr>
        <w:trPr>
          <w:trHeight w:val="218"/>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94"/>
        </w:trPr>
        <w:tc>
          <w:tcPr>
            <w:tcW w:w="200" w:type="dxa"/>
            <w:vAlign w:val="bottom"/>
          </w:tcPr>
          <w:p>
            <w:pPr>
              <w:spacing w:after="0"/>
              <w:rPr>
                <w:sz w:val="16"/>
                <w:szCs w:val="16"/>
                <w:color w:val="auto"/>
              </w:rPr>
            </w:pPr>
          </w:p>
        </w:tc>
        <w:tc>
          <w:tcPr>
            <w:tcW w:w="8560" w:type="dxa"/>
            <w:vAlign w:val="bottom"/>
            <w:gridSpan w:val="14"/>
          </w:tcPr>
          <w:p>
            <w:pPr>
              <w:spacing w:after="0" w:line="194"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UNDERWRITING</w:t>
              </w:r>
            </w:hyperlink>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w:t>
            </w:r>
          </w:p>
        </w:tc>
      </w:tr>
      <w:tr>
        <w:trPr>
          <w:trHeight w:val="218"/>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4"/>
        </w:trPr>
        <w:tc>
          <w:tcPr>
            <w:tcW w:w="200" w:type="dxa"/>
            <w:vAlign w:val="bottom"/>
          </w:tcPr>
          <w:p>
            <w:pPr>
              <w:spacing w:after="0"/>
              <w:rPr>
                <w:sz w:val="16"/>
                <w:szCs w:val="16"/>
                <w:color w:val="auto"/>
              </w:rPr>
            </w:pPr>
          </w:p>
        </w:tc>
        <w:tc>
          <w:tcPr>
            <w:tcW w:w="8560" w:type="dxa"/>
            <w:vAlign w:val="bottom"/>
            <w:gridSpan w:val="14"/>
          </w:tcPr>
          <w:p>
            <w:pPr>
              <w:spacing w:after="0" w:line="194"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MATTERS</w:t>
              </w:r>
            </w:hyperlink>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w:t>
            </w:r>
          </w:p>
        </w:tc>
      </w:tr>
      <w:tr>
        <w:trPr>
          <w:trHeight w:val="218"/>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4"/>
        </w:trPr>
        <w:tc>
          <w:tcPr>
            <w:tcW w:w="200" w:type="dxa"/>
            <w:vAlign w:val="bottom"/>
          </w:tcPr>
          <w:p>
            <w:pPr>
              <w:spacing w:after="0"/>
              <w:rPr>
                <w:sz w:val="16"/>
                <w:szCs w:val="16"/>
                <w:color w:val="auto"/>
              </w:rPr>
            </w:pPr>
          </w:p>
        </w:tc>
        <w:tc>
          <w:tcPr>
            <w:tcW w:w="8560" w:type="dxa"/>
            <w:vAlign w:val="bottom"/>
            <w:gridSpan w:val="14"/>
          </w:tcPr>
          <w:p>
            <w:pPr>
              <w:spacing w:after="0" w:line="194"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INCORPORATION OF CERTAIN DOCUMENTS BY REFERENCE</w:t>
              </w:r>
            </w:hyperlink>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w:t>
            </w:r>
          </w:p>
        </w:tc>
      </w:tr>
      <w:tr>
        <w:trPr>
          <w:trHeight w:val="218"/>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5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4"/>
        </w:trPr>
        <w:tc>
          <w:tcPr>
            <w:tcW w:w="200" w:type="dxa"/>
            <w:vAlign w:val="bottom"/>
          </w:tcPr>
          <w:p>
            <w:pPr>
              <w:spacing w:after="0"/>
              <w:rPr>
                <w:sz w:val="16"/>
                <w:szCs w:val="16"/>
                <w:color w:val="auto"/>
              </w:rPr>
            </w:pPr>
          </w:p>
        </w:tc>
        <w:tc>
          <w:tcPr>
            <w:tcW w:w="8560" w:type="dxa"/>
            <w:vAlign w:val="bottom"/>
            <w:gridSpan w:val="14"/>
          </w:tcPr>
          <w:p>
            <w:pPr>
              <w:spacing w:after="0" w:line="194"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WHERE YOU CAN FIND MORE INFORMATION</w:t>
              </w:r>
            </w:hyperlink>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w:t>
            </w:r>
          </w:p>
        </w:tc>
      </w:tr>
      <w:tr>
        <w:trPr>
          <w:trHeight w:val="237"/>
        </w:trPr>
        <w:tc>
          <w:tcPr>
            <w:tcW w:w="20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88"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 this prospectus supplement, unless the context indicates otherwise, references to “we,” “our,” “us,” “ourselves,” the “Company,” “General Motors” or “GM” refer to General Motors Company and, where appropriate, its subsidiaries. However, in the “Prospectus Supplement Summary—The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85"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60"/>
          </w:cols>
          <w:pgMar w:left="24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85"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88"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24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39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cars, trucks, crossovers and</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automobile parts worldwide. We also provide automotive financing services through General Motors Financial Company, Inc. (“GM Financial”).</w:t>
      </w:r>
    </w:p>
    <w:p>
      <w:pPr>
        <w:spacing w:after="0" w:line="3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380" w:firstLine="426"/>
        <w:spacing w:after="0" w:line="256"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automotive segments: GM North America and GM International. GM North America meets the demands of customers in North America with vehicles developed, manufactured and/or marketed under the Buick, Cadillac, Chevrolet and GMC brands. GM International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Jiefang and Wuling brands.</w:t>
      </w:r>
    </w:p>
    <w:p>
      <w:pPr>
        <w:spacing w:after="0" w:line="188" w:lineRule="exact"/>
        <w:rPr>
          <w:sz w:val="20"/>
          <w:szCs w:val="20"/>
          <w:color w:val="auto"/>
        </w:rPr>
      </w:pPr>
    </w:p>
    <w:p>
      <w:pPr>
        <w:ind w:left="380" w:right="60" w:firstLine="426"/>
        <w:spacing w:after="0" w:line="261" w:lineRule="auto"/>
        <w:rPr>
          <w:sz w:val="20"/>
          <w:szCs w:val="20"/>
          <w:color w:val="auto"/>
        </w:rPr>
      </w:pPr>
      <w:r>
        <w:rPr>
          <w:rFonts w:ascii="Times New Roman" w:cs="Times New Roman" w:eastAsia="Times New Roman" w:hAnsi="Times New Roman"/>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121" w:lineRule="exact"/>
        <w:rPr>
          <w:sz w:val="20"/>
          <w:szCs w:val="20"/>
          <w:color w:val="auto"/>
        </w:rPr>
      </w:pPr>
    </w:p>
    <w:p>
      <w:pPr>
        <w:ind w:left="380" w:right="420" w:firstLine="426"/>
        <w:spacing w:after="0" w:line="282" w:lineRule="auto"/>
        <w:rPr>
          <w:sz w:val="20"/>
          <w:szCs w:val="20"/>
          <w:color w:val="auto"/>
        </w:rPr>
      </w:pPr>
      <w:r>
        <w:rPr>
          <w:rFonts w:ascii="Times New Roman" w:cs="Times New Roman" w:eastAsia="Times New Roman" w:hAnsi="Times New Roman"/>
          <w:sz w:val="18"/>
          <w:szCs w:val="18"/>
          <w:color w:val="auto"/>
        </w:rPr>
        <w:t>GM Financial is our global captive automotive finance company and our global provider of automobile finance solutions. GM Financial conducts its business in North America, South America and through a joint venture in China.</w:t>
      </w:r>
    </w:p>
    <w:p>
      <w:pPr>
        <w:spacing w:after="0" w:line="162" w:lineRule="exact"/>
        <w:rPr>
          <w:sz w:val="20"/>
          <w:szCs w:val="20"/>
          <w:color w:val="auto"/>
        </w:rPr>
      </w:pPr>
    </w:p>
    <w:p>
      <w:pPr>
        <w:ind w:left="380" w:right="40" w:firstLine="426"/>
        <w:spacing w:after="0" w:line="261"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Additionally, GM Financial offers commercial products to dealers that include new and used vehicle inventory financing, inventory insurance, and dealer loans, which are loans to finance improvements to dealership facilities, to provide working capital, and to purchase and/or finance dealership real estate. Other commercial products include financing for parts and accessories, dealer fleets and storage centers.</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Autonomous</w:t>
      </w:r>
    </w:p>
    <w:p>
      <w:pPr>
        <w:spacing w:after="0" w:line="121" w:lineRule="exact"/>
        <w:rPr>
          <w:sz w:val="20"/>
          <w:szCs w:val="20"/>
          <w:color w:val="auto"/>
        </w:rPr>
      </w:pPr>
    </w:p>
    <w:p>
      <w:pPr>
        <w:ind w:left="380" w:right="80" w:firstLine="426"/>
        <w:spacing w:after="0" w:line="282" w:lineRule="auto"/>
        <w:rPr>
          <w:sz w:val="20"/>
          <w:szCs w:val="20"/>
          <w:color w:val="auto"/>
        </w:rPr>
      </w:pPr>
      <w:r>
        <w:rPr>
          <w:rFonts w:ascii="Times New Roman" w:cs="Times New Roman" w:eastAsia="Times New Roman" w:hAnsi="Times New Roman"/>
          <w:sz w:val="18"/>
          <w:szCs w:val="18"/>
          <w:color w:val="auto"/>
        </w:rPr>
        <w:t>GM Cruise is our global segment designed to build, grow and invest in our autonomous vehicles business, and includes autonomous vehicle-related engineering and other costs.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40"/>
          </w:cols>
          <w:pgMar w:left="240" w:top="455" w:right="6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1042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1042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8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780"/>
          </w:cols>
          <w:pgMar w:left="240" w:top="455" w:right="8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40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401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80" w:right="60" w:firstLine="426"/>
        <w:spacing w:after="0" w:line="261" w:lineRule="auto"/>
        <w:rPr>
          <w:sz w:val="20"/>
          <w:szCs w:val="20"/>
          <w:color w:val="auto"/>
        </w:rPr>
      </w:pPr>
      <w:r>
        <w:rPr>
          <w:rFonts w:ascii="Times New Roman" w:cs="Times New Roman" w:eastAsia="Times New Roman" w:hAnsi="Times New Roman"/>
          <w:sz w:val="18"/>
          <w:szCs w:val="18"/>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4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General Motors Company</w:t>
            </w:r>
          </w:p>
        </w:tc>
        <w:tc>
          <w:tcPr>
            <w:tcW w:w="2640" w:type="dxa"/>
            <w:vAlign w:val="bottom"/>
          </w:tcPr>
          <w:p>
            <w:pPr>
              <w:spacing w:after="0"/>
              <w:rPr>
                <w:sz w:val="20"/>
                <w:szCs w:val="20"/>
                <w:color w:val="auto"/>
              </w:rPr>
            </w:pPr>
          </w:p>
        </w:tc>
      </w:tr>
      <w:tr>
        <w:trPr>
          <w:trHeight w:val="47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18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in aggregate principal amount of Floating Rate Senior Notes due 2021,</w:t>
            </w:r>
          </w:p>
        </w:tc>
      </w:tr>
      <w:tr>
        <w:trPr>
          <w:trHeight w:val="473"/>
        </w:trPr>
        <w:tc>
          <w:tcPr>
            <w:tcW w:w="2540" w:type="dxa"/>
            <w:vAlign w:val="bottom"/>
          </w:tcPr>
          <w:p>
            <w:pPr>
              <w:spacing w:after="0"/>
              <w:rPr>
                <w:sz w:val="24"/>
                <w:szCs w:val="24"/>
                <w:color w:val="auto"/>
              </w:rPr>
            </w:pPr>
          </w:p>
        </w:tc>
        <w:tc>
          <w:tcPr>
            <w:tcW w:w="18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aggregate principal amount of</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Senior Notes due 2028, and</w:t>
            </w:r>
          </w:p>
        </w:tc>
      </w:tr>
      <w:tr>
        <w:trPr>
          <w:trHeight w:val="459"/>
        </w:trPr>
        <w:tc>
          <w:tcPr>
            <w:tcW w:w="2540" w:type="dxa"/>
            <w:vAlign w:val="bottom"/>
          </w:tcPr>
          <w:p>
            <w:pPr>
              <w:spacing w:after="0"/>
              <w:rPr>
                <w:sz w:val="24"/>
                <w:szCs w:val="24"/>
                <w:color w:val="auto"/>
              </w:rPr>
            </w:pPr>
          </w:p>
        </w:tc>
        <w:tc>
          <w:tcPr>
            <w:tcW w:w="18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aggregate principal amount of</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Senior Notes due 2049.</w:t>
            </w:r>
          </w:p>
        </w:tc>
      </w:tr>
    </w:tbl>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1620" w:type="dxa"/>
            <w:vAlign w:val="bottom"/>
          </w:tcPr>
          <w:p>
            <w:pPr>
              <w:spacing w:after="0"/>
              <w:rPr>
                <w:sz w:val="20"/>
                <w:szCs w:val="20"/>
                <w:color w:val="auto"/>
              </w:rPr>
            </w:pP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2018.</w:t>
            </w: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Dates</w:t>
            </w:r>
          </w:p>
        </w:tc>
        <w:tc>
          <w:tcPr>
            <w:tcW w:w="41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The Floating Rate Notes will mature on</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2021, the 2028 Notes will mature on</w:t>
            </w:r>
          </w:p>
        </w:tc>
      </w:tr>
      <w:tr>
        <w:trPr>
          <w:trHeight w:val="234"/>
        </w:trPr>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2028 and the 2049 Notes will mature on</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2049.</w:t>
            </w:r>
          </w:p>
        </w:tc>
        <w:tc>
          <w:tcPr>
            <w:tcW w:w="1060" w:type="dxa"/>
            <w:vAlign w:val="bottom"/>
          </w:tcPr>
          <w:p>
            <w:pPr>
              <w:spacing w:after="0"/>
              <w:rPr>
                <w:sz w:val="20"/>
                <w:szCs w:val="20"/>
                <w:color w:val="auto"/>
              </w:rPr>
            </w:pPr>
          </w:p>
        </w:tc>
      </w:tr>
      <w:tr>
        <w:trPr>
          <w:trHeight w:val="4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Rates</w:t>
            </w:r>
          </w:p>
        </w:tc>
        <w:tc>
          <w:tcPr>
            <w:tcW w:w="77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Interest on the Floating Rate Notes will accrue at a floating rate, reset quarterly, equal to</w:t>
            </w:r>
          </w:p>
        </w:tc>
      </w:tr>
      <w:tr>
        <w:trPr>
          <w:trHeight w:val="216"/>
        </w:trPr>
        <w:tc>
          <w:tcPr>
            <w:tcW w:w="2860" w:type="dxa"/>
            <w:vAlign w:val="bottom"/>
          </w:tcPr>
          <w:p>
            <w:pPr>
              <w:spacing w:after="0"/>
              <w:rPr>
                <w:sz w:val="18"/>
                <w:szCs w:val="18"/>
                <w:color w:val="auto"/>
              </w:rPr>
            </w:pPr>
          </w:p>
        </w:tc>
        <w:tc>
          <w:tcPr>
            <w:tcW w:w="7780" w:type="dxa"/>
            <w:vAlign w:val="bottom"/>
            <w:gridSpan w:val="6"/>
          </w:tcPr>
          <w:p>
            <w:pPr>
              <w:ind w:left="1180"/>
              <w:spacing w:after="0"/>
              <w:rPr>
                <w:sz w:val="20"/>
                <w:szCs w:val="20"/>
                <w:color w:val="auto"/>
              </w:rPr>
            </w:pPr>
            <w:r>
              <w:rPr>
                <w:rFonts w:ascii="Times New Roman" w:cs="Times New Roman" w:eastAsia="Times New Roman" w:hAnsi="Times New Roman"/>
                <w:sz w:val="18"/>
                <w:szCs w:val="18"/>
                <w:color w:val="auto"/>
              </w:rPr>
              <w:t>three-month LIBOR (as defined in “Description of the Notes—Principal and Interest—</w:t>
            </w:r>
          </w:p>
        </w:tc>
      </w:tr>
      <w:tr>
        <w:trPr>
          <w:trHeight w:val="216"/>
        </w:trPr>
        <w:tc>
          <w:tcPr>
            <w:tcW w:w="2860" w:type="dxa"/>
            <w:vAlign w:val="bottom"/>
          </w:tcPr>
          <w:p>
            <w:pPr>
              <w:spacing w:after="0"/>
              <w:rPr>
                <w:sz w:val="18"/>
                <w:szCs w:val="18"/>
                <w:color w:val="auto"/>
              </w:rPr>
            </w:pPr>
          </w:p>
        </w:tc>
        <w:tc>
          <w:tcPr>
            <w:tcW w:w="33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Floating Rate Notes”) plus</w:t>
            </w:r>
          </w:p>
        </w:tc>
        <w:tc>
          <w:tcPr>
            <w:tcW w:w="4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Interest on the 2028 Notes will accrue at a rate of   % per</w:t>
            </w:r>
          </w:p>
        </w:tc>
      </w:tr>
      <w:tr>
        <w:trPr>
          <w:trHeight w:val="234"/>
        </w:trPr>
        <w:tc>
          <w:tcPr>
            <w:tcW w:w="2860" w:type="dxa"/>
            <w:vAlign w:val="bottom"/>
          </w:tcPr>
          <w:p>
            <w:pPr>
              <w:spacing w:after="0"/>
              <w:rPr>
                <w:sz w:val="20"/>
                <w:szCs w:val="20"/>
                <w:color w:val="auto"/>
              </w:rPr>
            </w:pPr>
          </w:p>
        </w:tc>
        <w:tc>
          <w:tcPr>
            <w:tcW w:w="550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year and interest on the 2049 Notes will accrue at a rate of</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per year.</w:t>
            </w:r>
          </w:p>
        </w:tc>
        <w:tc>
          <w:tcPr>
            <w:tcW w:w="1060" w:type="dxa"/>
            <w:vAlign w:val="bottom"/>
          </w:tcPr>
          <w:p>
            <w:pPr>
              <w:spacing w:after="0"/>
              <w:rPr>
                <w:sz w:val="20"/>
                <w:szCs w:val="20"/>
                <w:color w:val="auto"/>
              </w:rPr>
            </w:pPr>
          </w:p>
        </w:tc>
      </w:tr>
      <w:tr>
        <w:trPr>
          <w:trHeight w:val="44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72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Interest on the Floating Rate Notes will be paid quarterly and in arrears on</w:t>
            </w: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60" w:type="dxa"/>
            <w:vAlign w:val="bottom"/>
          </w:tcPr>
          <w:p>
            <w:pPr>
              <w:spacing w:after="0"/>
              <w:rPr>
                <w:sz w:val="18"/>
                <w:szCs w:val="18"/>
                <w:color w:val="auto"/>
              </w:rPr>
            </w:pPr>
          </w:p>
        </w:tc>
        <w:tc>
          <w:tcPr>
            <w:tcW w:w="16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and</w:t>
            </w:r>
          </w:p>
        </w:tc>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commencing on</w:t>
            </w:r>
          </w:p>
        </w:tc>
        <w:tc>
          <w:tcPr>
            <w:tcW w:w="2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2018, and will accrue from</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6"/>
              </w:rPr>
              <w:t>, 2018.</w:t>
            </w:r>
          </w:p>
        </w:tc>
      </w:tr>
      <w:tr>
        <w:trPr>
          <w:trHeight w:val="216"/>
        </w:trPr>
        <w:tc>
          <w:tcPr>
            <w:tcW w:w="2860" w:type="dxa"/>
            <w:vAlign w:val="bottom"/>
          </w:tcPr>
          <w:p>
            <w:pPr>
              <w:spacing w:after="0"/>
              <w:rPr>
                <w:sz w:val="18"/>
                <w:szCs w:val="18"/>
                <w:color w:val="auto"/>
              </w:rPr>
            </w:pPr>
          </w:p>
        </w:tc>
        <w:tc>
          <w:tcPr>
            <w:tcW w:w="672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Interest on the 2028 Notes will be paid semi-annually and in arrears on</w:t>
            </w: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2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commencing on</w:t>
            </w:r>
          </w:p>
        </w:tc>
        <w:tc>
          <w:tcPr>
            <w:tcW w:w="33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 2019, and will accrue from</w:t>
            </w: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2018.</w:t>
            </w:r>
          </w:p>
        </w:tc>
      </w:tr>
      <w:tr>
        <w:trPr>
          <w:trHeight w:val="216"/>
        </w:trPr>
        <w:tc>
          <w:tcPr>
            <w:tcW w:w="2860" w:type="dxa"/>
            <w:vAlign w:val="bottom"/>
          </w:tcPr>
          <w:p>
            <w:pPr>
              <w:spacing w:after="0"/>
              <w:rPr>
                <w:sz w:val="18"/>
                <w:szCs w:val="18"/>
                <w:color w:val="auto"/>
              </w:rPr>
            </w:pPr>
          </w:p>
        </w:tc>
        <w:tc>
          <w:tcPr>
            <w:tcW w:w="672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Interest on the 2049 Notes will be paid semi-annually and in arrears on</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and</w:t>
            </w:r>
          </w:p>
        </w:tc>
      </w:tr>
      <w:tr>
        <w:trPr>
          <w:trHeight w:val="234"/>
        </w:trPr>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 commencing on</w:t>
            </w:r>
          </w:p>
        </w:tc>
        <w:tc>
          <w:tcPr>
            <w:tcW w:w="820" w:type="dxa"/>
            <w:vAlign w:val="bottom"/>
          </w:tcPr>
          <w:p>
            <w:pPr>
              <w:spacing w:after="0"/>
              <w:rPr>
                <w:sz w:val="20"/>
                <w:szCs w:val="20"/>
                <w:color w:val="auto"/>
              </w:rPr>
            </w:pPr>
          </w:p>
        </w:tc>
        <w:tc>
          <w:tcPr>
            <w:tcW w:w="25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 2019, and will accrue from</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2018.</w:t>
            </w:r>
          </w:p>
        </w:tc>
      </w:tr>
      <w:tr>
        <w:trPr>
          <w:trHeight w:val="45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Ranking of the Notes</w:t>
            </w:r>
          </w:p>
        </w:tc>
        <w:tc>
          <w:tcPr>
            <w:tcW w:w="672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The Notes will be our general unsecured obligations and will be:</w:t>
            </w:r>
          </w:p>
        </w:tc>
        <w:tc>
          <w:tcPr>
            <w:tcW w:w="1060" w:type="dxa"/>
            <w:vAlign w:val="bottom"/>
          </w:tcPr>
          <w:p>
            <w:pPr>
              <w:spacing w:after="0"/>
              <w:rPr>
                <w:sz w:val="24"/>
                <w:szCs w:val="24"/>
                <w:color w:val="auto"/>
              </w:rPr>
            </w:pPr>
          </w:p>
        </w:tc>
      </w:tr>
    </w:tbl>
    <w:p>
      <w:pPr>
        <w:spacing w:after="0" w:line="117" w:lineRule="exact"/>
        <w:rPr>
          <w:sz w:val="20"/>
          <w:szCs w:val="20"/>
          <w:color w:val="auto"/>
        </w:rPr>
      </w:pPr>
    </w:p>
    <w:p>
      <w:pPr>
        <w:ind w:left="4820" w:right="80" w:hanging="148"/>
        <w:spacing w:after="0" w:line="266" w:lineRule="auto"/>
        <w:tabs>
          <w:tab w:leader="none" w:pos="4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to all of our existing and future indebtedness and other obligations that are not, by their terms, expressly subordinated in right of payment to the Notes;</w:t>
      </w:r>
    </w:p>
    <w:p>
      <w:pPr>
        <w:spacing w:after="0" w:line="81" w:lineRule="exact"/>
        <w:rPr>
          <w:rFonts w:ascii="Times New Roman" w:cs="Times New Roman" w:eastAsia="Times New Roman" w:hAnsi="Times New Roman"/>
          <w:sz w:val="18"/>
          <w:szCs w:val="18"/>
          <w:color w:val="auto"/>
        </w:rPr>
      </w:pPr>
    </w:p>
    <w:p>
      <w:pPr>
        <w:ind w:left="4820" w:right="100" w:hanging="148"/>
        <w:spacing w:after="0" w:line="266" w:lineRule="auto"/>
        <w:tabs>
          <w:tab w:leader="none" w:pos="4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existing or future indebtedness and other obligations that are, by their terms, expressly subordinated in right of payment to the Notes;</w:t>
      </w:r>
    </w:p>
    <w:p>
      <w:pPr>
        <w:spacing w:after="0" w:line="81" w:lineRule="exact"/>
        <w:rPr>
          <w:rFonts w:ascii="Times New Roman" w:cs="Times New Roman" w:eastAsia="Times New Roman" w:hAnsi="Times New Roman"/>
          <w:sz w:val="18"/>
          <w:szCs w:val="18"/>
          <w:color w:val="auto"/>
        </w:rPr>
      </w:pPr>
    </w:p>
    <w:p>
      <w:pPr>
        <w:ind w:left="4820" w:right="40" w:hanging="148"/>
        <w:spacing w:after="0" w:line="266" w:lineRule="auto"/>
        <w:tabs>
          <w:tab w:leader="none" w:pos="4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all of our secured indebtedness and other secured obligations to the extent of the value of the assets securing such secured indebtedness or other secured obligations;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20"/>
          </w:cols>
          <w:pgMar w:left="24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0413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4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structurally subordinated to all indebtedness and other obligations of our subsidiaries.</w:t>
            </w: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We may not redeem the Floating Rate Notes prior to maturity. We may, at our option,</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redeem some or all of the 2028 Notes and the 2049 Notes at any time and from time to time</w:t>
            </w:r>
          </w:p>
        </w:tc>
      </w:tr>
      <w:tr>
        <w:trPr>
          <w:trHeight w:val="234"/>
        </w:trPr>
        <w:tc>
          <w:tcPr>
            <w:tcW w:w="2920" w:type="dxa"/>
            <w:vAlign w:val="bottom"/>
          </w:tcPr>
          <w:p>
            <w:pPr>
              <w:spacing w:after="0"/>
              <w:rPr>
                <w:sz w:val="20"/>
                <w:szCs w:val="20"/>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at redemption prices described under “Description of the Notes—Optional Redemption.”</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Certain Covenants</w:t>
            </w: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Notes will be issued under the Indenture, which will contain covenants that will limit:</w:t>
            </w:r>
          </w:p>
        </w:tc>
      </w:tr>
      <w:tr>
        <w:trPr>
          <w:trHeight w:val="33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ability of GM and certain of its subsidiaries to incur indebtedness secured by</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principal domestic manufacturing properties or by any shares of stock or</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 of certain manufacturing subsidiaries and to enter into certain sale and</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leaseback transactions with respect to certain principal domestic manufacturing</w:t>
            </w:r>
          </w:p>
        </w:tc>
      </w:tr>
      <w:tr>
        <w:trPr>
          <w:trHeight w:val="234"/>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 and</w:t>
            </w:r>
          </w:p>
        </w:tc>
      </w:tr>
      <w:tr>
        <w:trPr>
          <w:trHeight w:val="319"/>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ability of GM to enter into certain mergers or certain conveyances, transfers or</w:t>
            </w:r>
          </w:p>
        </w:tc>
      </w:tr>
      <w:tr>
        <w:trPr>
          <w:trHeight w:val="234"/>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leases of all or substantially all of its properties and assets.</w:t>
            </w:r>
          </w:p>
        </w:tc>
      </w:tr>
      <w:tr>
        <w:trPr>
          <w:trHeight w:val="441"/>
        </w:trPr>
        <w:tc>
          <w:tcPr>
            <w:tcW w:w="2920" w:type="dxa"/>
            <w:vAlign w:val="bottom"/>
          </w:tcPr>
          <w:p>
            <w:pPr>
              <w:spacing w:after="0"/>
              <w:rPr>
                <w:sz w:val="24"/>
                <w:szCs w:val="24"/>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Each of these covenants, however, is subject to significant exceptions. See “Description of</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Notes—Certain Covenants” in this prospectus supplement and “Description of Debt</w:t>
            </w:r>
          </w:p>
        </w:tc>
      </w:tr>
      <w:tr>
        <w:trPr>
          <w:trHeight w:val="234"/>
        </w:trPr>
        <w:tc>
          <w:tcPr>
            <w:tcW w:w="2920" w:type="dxa"/>
            <w:vAlign w:val="bottom"/>
          </w:tcPr>
          <w:p>
            <w:pPr>
              <w:spacing w:after="0"/>
              <w:rPr>
                <w:sz w:val="20"/>
                <w:szCs w:val="20"/>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Securities—Consolidation, Merger or Sale of Assets” in the accompanying prospectus.</w:t>
            </w: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Further Issuances</w:t>
            </w: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Indenture does not limit the amount of Notes that we may issue. We may issue</w:t>
            </w:r>
          </w:p>
        </w:tc>
      </w:tr>
      <w:tr>
        <w:trPr>
          <w:trHeight w:val="214"/>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additional Notes up to an aggregate principal amount as our board of directors may</w:t>
            </w:r>
          </w:p>
        </w:tc>
      </w:tr>
      <w:tr>
        <w:trPr>
          <w:trHeight w:val="218"/>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xml:space="preserve">authorize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additional Notes are not fungible with the</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Notes of a particular series for U.S. federal income tax purposes, the additional Notes will</w:t>
            </w:r>
          </w:p>
        </w:tc>
      </w:tr>
      <w:tr>
        <w:trPr>
          <w:trHeight w:val="234"/>
        </w:trPr>
        <w:tc>
          <w:tcPr>
            <w:tcW w:w="2920" w:type="dxa"/>
            <w:vAlign w:val="bottom"/>
          </w:tcPr>
          <w:p>
            <w:pPr>
              <w:spacing w:after="0"/>
              <w:rPr>
                <w:sz w:val="20"/>
                <w:szCs w:val="20"/>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have a separate CUSIP number.</w:t>
            </w: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 Prior Markets</w:t>
            </w: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Notes will be new securities for which there are currently no existing markets. The</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Notes will not be listed on any securities exchange. Although the underwriters have</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advised us that they currently intend to make a market in the Notes of each series, they are</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not obligated to do so and may discontinue any market-making activities at any time</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without notice. Accordingly, we cannot assure you as to the liquidity of, or the trading</w:t>
            </w:r>
          </w:p>
        </w:tc>
      </w:tr>
      <w:tr>
        <w:trPr>
          <w:trHeight w:val="234"/>
        </w:trPr>
        <w:tc>
          <w:tcPr>
            <w:tcW w:w="2920" w:type="dxa"/>
            <w:vAlign w:val="bottom"/>
          </w:tcPr>
          <w:p>
            <w:pPr>
              <w:spacing w:after="0"/>
              <w:rPr>
                <w:sz w:val="20"/>
                <w:szCs w:val="20"/>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markets for, the Notes.</w:t>
            </w:r>
          </w:p>
        </w:tc>
      </w:tr>
      <w:tr>
        <w:trPr>
          <w:trHeight w:val="44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Form and Denomination</w:t>
            </w: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Notes will be issued in fully registered form and will be represented by global notes</w:t>
            </w:r>
          </w:p>
        </w:tc>
      </w:tr>
      <w:tr>
        <w:trPr>
          <w:trHeight w:val="216"/>
        </w:trPr>
        <w:tc>
          <w:tcPr>
            <w:tcW w:w="2920" w:type="dxa"/>
            <w:vAlign w:val="bottom"/>
          </w:tcPr>
          <w:p>
            <w:pPr>
              <w:spacing w:after="0"/>
              <w:rPr>
                <w:sz w:val="18"/>
                <w:szCs w:val="18"/>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without interest coupons. The global notes will be deposited with a custodian for and</w:t>
            </w:r>
          </w:p>
        </w:tc>
      </w:tr>
      <w:tr>
        <w:trPr>
          <w:trHeight w:val="234"/>
        </w:trPr>
        <w:tc>
          <w:tcPr>
            <w:tcW w:w="2920" w:type="dxa"/>
            <w:vAlign w:val="bottom"/>
          </w:tcPr>
          <w:p>
            <w:pPr>
              <w:spacing w:after="0"/>
              <w:rPr>
                <w:sz w:val="20"/>
                <w:szCs w:val="20"/>
                <w:color w:val="auto"/>
              </w:rPr>
            </w:pPr>
          </w:p>
        </w:tc>
        <w:tc>
          <w:tcPr>
            <w:tcW w:w="7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registered in the name of a nominee of The Depository Trust Company (“DTC”) in New</w:t>
            </w:r>
          </w:p>
        </w:tc>
      </w:tr>
    </w:tbl>
    <w:p>
      <w:pPr>
        <w:ind w:left="4420" w:right="40"/>
        <w:spacing w:after="0" w:line="253" w:lineRule="auto"/>
        <w:rPr>
          <w:sz w:val="20"/>
          <w:szCs w:val="20"/>
          <w:color w:val="auto"/>
        </w:rPr>
      </w:pPr>
      <w:r>
        <w:rPr>
          <w:rFonts w:ascii="Times New Roman" w:cs="Times New Roman" w:eastAsia="Times New Roman" w:hAnsi="Times New Roman"/>
          <w:sz w:val="18"/>
          <w:szCs w:val="18"/>
          <w:color w:val="auto"/>
        </w:rPr>
        <w:t>York, New York. Investors may elect to hold interests in the global notes through DTC and its direct or indirect participants as described under “Description of Debt Securities— Book-Entry; Delivery and Form; Global Securities” in the accompanying prospectus. The Notes will be issued only in minimum denominations of $2,000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20"/>
          </w:cols>
          <w:pgMar w:left="24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390"/>
        </w:trPr>
        <w:tc>
          <w:tcPr>
            <w:tcW w:w="28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8180" w:type="dxa"/>
            <w:vAlign w:val="bottom"/>
            <w:tcBorders>
              <w:top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 2018, which will be the third business day following the date of pricing of the</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Notes (such settlement cycle being referred to herein as “T+3”). Under Rule 15c6-1 of the</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Exchange Act, trades in the secondary market generally are required to settle in two</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business days, unless the parties to any such trade expressly agree otherwise. Accordingly,</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purchasers who wish to trade the Notes on the date of pricing or the next succeeding</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business day will be required, by virtue of the fact that the Notes initially will settle in T+3,</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to specify an alternate settlement cycle at the time of any such trade to prevent a failed</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settlement. Purchasers of the Notes who wish to trade those Notes on the date of pricing</w:t>
            </w:r>
          </w:p>
        </w:tc>
      </w:tr>
      <w:tr>
        <w:trPr>
          <w:trHeight w:val="234"/>
        </w:trPr>
        <w:tc>
          <w:tcPr>
            <w:tcW w:w="286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should consult their own advisor.</w:t>
            </w:r>
          </w:p>
        </w:tc>
      </w:tr>
      <w:tr>
        <w:trPr>
          <w:trHeight w:val="459"/>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The Bank of New York Mellon (the “Trustee”).</w:t>
            </w:r>
          </w:p>
        </w:tc>
      </w:tr>
      <w:tr>
        <w:trPr>
          <w:trHeight w:val="473"/>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Calculation Agent</w:t>
            </w: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54"/>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including the repayment of $1.5 billion aggregate principal amount outstanding of our</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3.500% senior notes due October 2, 2018, to pre-fund certain mandatory contributions for</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our U.K. and Canada pension plans due in 2019 through 2021, and for other general</w:t>
            </w:r>
          </w:p>
        </w:tc>
      </w:tr>
      <w:tr>
        <w:trPr>
          <w:trHeight w:val="234"/>
        </w:trPr>
        <w:tc>
          <w:tcPr>
            <w:tcW w:w="286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corporate purposes. See “Use of Proceeds.”</w:t>
            </w:r>
          </w:p>
        </w:tc>
      </w:tr>
      <w:tr>
        <w:trPr>
          <w:trHeight w:val="459"/>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454"/>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in the</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accompanying prospectus and in our periodic reports filed from time to time with the SEC</w:t>
            </w:r>
          </w:p>
        </w:tc>
      </w:tr>
      <w:tr>
        <w:trPr>
          <w:trHeight w:val="216"/>
        </w:trPr>
        <w:tc>
          <w:tcPr>
            <w:tcW w:w="286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for a discussion of risks you should carefully consider before deciding to invest in the</w:t>
            </w:r>
          </w:p>
        </w:tc>
      </w:tr>
      <w:tr>
        <w:trPr>
          <w:trHeight w:val="234"/>
        </w:trPr>
        <w:tc>
          <w:tcPr>
            <w:tcW w:w="286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Notes.</w:t>
            </w:r>
          </w:p>
        </w:tc>
      </w:tr>
      <w:tr>
        <w:trPr>
          <w:trHeight w:val="382"/>
        </w:trPr>
        <w:tc>
          <w:tcPr>
            <w:tcW w:w="286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2300"/>
              <w:spacing w:after="0"/>
              <w:rPr>
                <w:sz w:val="20"/>
                <w:szCs w:val="20"/>
                <w:color w:val="auto"/>
              </w:rPr>
            </w:pPr>
            <w:r>
              <w:rPr>
                <w:rFonts w:ascii="Times New Roman" w:cs="Times New Roman" w:eastAsia="Times New Roman" w:hAnsi="Times New Roman"/>
                <w:sz w:val="14"/>
                <w:szCs w:val="14"/>
                <w:color w:val="auto"/>
              </w:rPr>
              <w:t>* * * * * * *</w:t>
            </w:r>
          </w:p>
        </w:tc>
      </w:tr>
      <w:tr>
        <w:trPr>
          <w:trHeight w:val="223"/>
        </w:trPr>
        <w:tc>
          <w:tcPr>
            <w:tcW w:w="2860" w:type="dxa"/>
            <w:vAlign w:val="bottom"/>
            <w:tcBorders>
              <w:left w:val="single" w:sz="8" w:color="auto"/>
              <w:bottom w:val="single" w:sz="8" w:color="auto"/>
            </w:tcBorders>
          </w:tcPr>
          <w:p>
            <w:pPr>
              <w:spacing w:after="0"/>
              <w:rPr>
                <w:sz w:val="19"/>
                <w:szCs w:val="19"/>
                <w:color w:val="auto"/>
              </w:rPr>
            </w:pPr>
          </w:p>
        </w:tc>
        <w:tc>
          <w:tcPr>
            <w:tcW w:w="8180" w:type="dxa"/>
            <w:vAlign w:val="bottom"/>
            <w:tcBorders>
              <w:bottom w:val="single" w:sz="8" w:color="auto"/>
              <w:right w:val="single" w:sz="8" w:color="auto"/>
            </w:tcBorders>
          </w:tcPr>
          <w:p>
            <w:pPr>
              <w:spacing w:after="0"/>
              <w:rPr>
                <w:sz w:val="19"/>
                <w:szCs w:val="19"/>
                <w:color w:val="auto"/>
              </w:rPr>
            </w:pPr>
          </w:p>
        </w:tc>
      </w:tr>
      <w:tr>
        <w:trPr>
          <w:trHeight w:val="604"/>
        </w:trPr>
        <w:tc>
          <w:tcPr>
            <w:tcW w:w="2860" w:type="dxa"/>
            <w:vAlign w:val="bottom"/>
          </w:tcPr>
          <w:p>
            <w:pPr>
              <w:spacing w:after="0"/>
              <w:rPr>
                <w:sz w:val="24"/>
                <w:szCs w:val="24"/>
                <w:color w:val="auto"/>
              </w:rPr>
            </w:pPr>
          </w:p>
        </w:tc>
        <w:tc>
          <w:tcPr>
            <w:tcW w:w="81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240" w:top="455" w:right="4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2017, as updated by our subsequent filings under the Exchange Act that are incorporated by reference herein, including our Quarterly Reports on Form 10-Q and our Current Reports on Form 8-K and any amendments thereof, before investing in the Notes.</w:t>
      </w:r>
    </w:p>
    <w:p>
      <w:pPr>
        <w:spacing w:after="0" w:line="28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21" w:lineRule="exact"/>
        <w:rPr>
          <w:sz w:val="20"/>
          <w:szCs w:val="20"/>
          <w:color w:val="auto"/>
        </w:rPr>
      </w:pPr>
    </w:p>
    <w:p>
      <w:pPr>
        <w:ind w:left="200" w:right="20" w:firstLine="441"/>
        <w:spacing w:after="0" w:line="252" w:lineRule="auto"/>
        <w:rPr>
          <w:sz w:val="20"/>
          <w:szCs w:val="20"/>
          <w:color w:val="auto"/>
        </w:rPr>
      </w:pPr>
      <w:r>
        <w:rPr>
          <w:rFonts w:ascii="Times New Roman" w:cs="Times New Roman" w:eastAsia="Times New Roman" w:hAnsi="Times New Roman"/>
          <w:sz w:val="18"/>
          <w:szCs w:val="18"/>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June 30, 2018, we had total consolidated liabilities of approximately $180.0 billion (including consolidated indebtedness of approximately $98.3 billion), of which $11.9 billion constitutes indebtedness of General Motors Company (parent company only) under our existing 3.500% senior notes due 2018, floating rate senior notes due 2020, 4.875% senior notes due 2023, 4.000% senior notes due 2025, 4.200% senior notes due 2027, 5.000% senior notes due 2035, 6.600% senior notes due 2036, 5.150% senior notes due 2038, 6.250% senior notes due 2043, 5.200% senior notes due 2045, 6.750% senior notes due 2046 and 5.400% senior notes due 2048 and substantially all of the remainder of which are liabilities of our subsidiaries.</w:t>
      </w:r>
    </w:p>
    <w:p>
      <w:pPr>
        <w:spacing w:after="0" w:line="303" w:lineRule="exact"/>
        <w:rPr>
          <w:sz w:val="20"/>
          <w:szCs w:val="20"/>
          <w:color w:val="auto"/>
        </w:rPr>
      </w:pPr>
    </w:p>
    <w:p>
      <w:pPr>
        <w:ind w:left="200" w:right="22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67"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Notes and our $40.9 billion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6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Indenture will not:</w:t>
      </w:r>
    </w:p>
    <w:p>
      <w:pPr>
        <w:spacing w:after="0" w:line="131" w:lineRule="exact"/>
        <w:rPr>
          <w:sz w:val="20"/>
          <w:szCs w:val="20"/>
          <w:color w:val="auto"/>
        </w:rPr>
      </w:pPr>
    </w:p>
    <w:p>
      <w:pPr>
        <w:ind w:left="1060" w:right="80" w:hanging="316"/>
        <w:spacing w:after="0" w:line="313" w:lineRule="auto"/>
        <w:tabs>
          <w:tab w:leader="none" w:pos="10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43" w:lineRule="exact"/>
        <w:rPr>
          <w:rFonts w:ascii="Times New Roman" w:cs="Times New Roman" w:eastAsia="Times New Roman" w:hAnsi="Times New Roman"/>
          <w:sz w:val="17"/>
          <w:szCs w:val="17"/>
          <w:color w:val="auto"/>
        </w:rPr>
      </w:pPr>
    </w:p>
    <w:p>
      <w:pPr>
        <w:ind w:left="1060" w:right="220" w:hanging="31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67"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Notes to the extent of the value of the assets securing the indebtedness;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Notes (other than certain secured indebtedness);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130" w:lineRule="exact"/>
        <w:rPr>
          <w:rFonts w:ascii="Times New Roman" w:cs="Times New Roman" w:eastAsia="Times New Roman" w:hAnsi="Times New Roman"/>
          <w:sz w:val="18"/>
          <w:szCs w:val="18"/>
          <w:color w:val="auto"/>
        </w:rPr>
      </w:pPr>
    </w:p>
    <w:p>
      <w:pPr>
        <w:ind w:left="1060" w:right="960" w:hanging="316"/>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pay dividends or make other payments in respect of our equity securities or our other indebtedness;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Notes in the event of a change in control transaction.</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Although the Notes are referred to as “senior notes,” the Notes will be unsecured and will be effectively subordinated to any of our secured</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9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or any of our subsidiaries defaults on obligations to pay indebtedness, we may not be able to make payments on the Notes.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our $2.0 billion revolving credit facility, our $4.0 billion revolving credit facility and our $10.5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00"/>
          </w:cols>
          <w:pgMar w:left="24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82" w:lineRule="auto"/>
        <w:rPr>
          <w:sz w:val="20"/>
          <w:szCs w:val="20"/>
          <w:color w:val="auto"/>
        </w:rPr>
      </w:pPr>
      <w:r>
        <w:rPr>
          <w:rFonts w:ascii="Times New Roman" w:cs="Times New Roman" w:eastAsia="Times New Roman" w:hAnsi="Times New Roman"/>
          <w:sz w:val="18"/>
          <w:szCs w:val="18"/>
          <w:color w:val="auto"/>
        </w:rPr>
        <w:t>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There are currently no markets for the Notes, and we cannot assure you that active trading markets for the Notes will develop.</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or continue,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 discontinue such market-making at any time without notice. If no active trading markets develop or continue, you may be unable to resell the Notes at their fair value or at any price.</w:t>
      </w: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Even if trading markets do develop, changes in our credit ratings or the debt markets could adversely affect the market prices of the Notes.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 among others:</w:t>
      </w:r>
    </w:p>
    <w:p>
      <w:pPr>
        <w:spacing w:after="0" w:line="131" w:lineRule="exact"/>
        <w:rPr>
          <w:sz w:val="20"/>
          <w:szCs w:val="20"/>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Notes, assigned by rating agencies;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76"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266" w:lineRule="exact"/>
        <w:rPr>
          <w:sz w:val="20"/>
          <w:szCs w:val="20"/>
          <w:color w:val="auto"/>
        </w:rPr>
      </w:pPr>
    </w:p>
    <w:p>
      <w:pPr>
        <w:ind w:left="200" w:right="5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Floating Rate Notes is set only once per period based on the three-month LIBOR on the interest determination date, which rate may fluctuate substantially.</w:t>
      </w:r>
    </w:p>
    <w:p>
      <w:pPr>
        <w:spacing w:after="0" w:line="5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In the past, the level of the three-month LIBOR has experienced significant fluctuations. You should note that historical levels, fluctuations and trends of the three-month LIBOR are not necessarily indicative of future levels. Any historical upward or downward trend in the three-month LIBOR is not an indication that the three-month LIBOR is more or less likely to increase or decrease at any time during a floating rate interest period, and you should not take the historical levels of the three-month LIBOR as an indication of its future performance. You should further note that although the actual three-month LIBOR on an interest payment date or at other times during an interest period may be higher than the three-month LIBOR on the applicable interest determination date, you will not benefit from the three-month LIBOR at any time other than on the interest determination date for such interest period. As a result, changes in the three-month LIBOR may not result in a comparable change in the market value of the Floating Rate Notes.</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80"/>
          </w:cols>
          <w:pgMar w:left="24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6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relating to the LIBOR calculation process and potential phasing out of LIBOR after 2021 may adversely affect the value of the Floating Rate Notes.</w:t>
      </w:r>
    </w:p>
    <w:p>
      <w:pPr>
        <w:spacing w:after="0" w:line="5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the daily U.S. dollar London Interbank Offered Rate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rates after 2021. The U.K. Financial Conduct Authority has indicated that it expects that the current panel banks will voluntarily sustain LIBOR until the end of 2021, but they may cease to do so sooner. At this time, it is not possible to predict the effect of any such changes, any establishment of alternative reference rates or any other reforms to LIBOR that may be enacted in the United Kingdom or elsewhere. Uncertainty as to the nature of such potential changes, alternative reference rates or other reforms may adversely affect the trading market for LIBOR-based securities, including the Floating Rate Notes.</w:t>
      </w:r>
    </w:p>
    <w:p>
      <w:pPr>
        <w:spacing w:after="0" w:line="189" w:lineRule="exact"/>
        <w:rPr>
          <w:sz w:val="20"/>
          <w:szCs w:val="20"/>
          <w:color w:val="auto"/>
        </w:rPr>
      </w:pPr>
    </w:p>
    <w:p>
      <w:pPr>
        <w:ind w:left="200" w:firstLine="441"/>
        <w:spacing w:after="0" w:line="273" w:lineRule="auto"/>
        <w:rPr>
          <w:sz w:val="20"/>
          <w:szCs w:val="20"/>
          <w:color w:val="auto"/>
        </w:rPr>
      </w:pPr>
      <w:r>
        <w:rPr>
          <w:rFonts w:ascii="Times New Roman" w:cs="Times New Roman" w:eastAsia="Times New Roman" w:hAnsi="Times New Roman"/>
          <w:sz w:val="17"/>
          <w:szCs w:val="17"/>
          <w:color w:val="auto"/>
        </w:rPr>
        <w:t>If a published three-month LIBOR rate is unavailable at any time after the issue date of the Floating Rate Notes, the rate of interest on the Floating Rate Notes will be determined pursuant to the fallback provisions described in “Description of the Notes—Principal and Interest—Floating Rate Notes.” The application of these provisions may result in lower interest payments than would have been made if three-month LIBOR were available in its current form. The fallback provisions may also be subject to factors that make three-month LIBOR impossible or impracticable to determine. If a published three-month LIBOR is unavailable and an alternative reference rate has not been determined pursuant to the fallback provisions, the rate of interest on the Floating Rate Notes for an interest determination date will be the same as on the immediately preceding interest determination date, and such rate of interest could remain the rate of interest on the Floating Rate Notes for the remaining life of the Floating Rate Notes.</w:t>
      </w:r>
    </w:p>
    <w:p>
      <w:pPr>
        <w:spacing w:after="0" w:line="1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24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expect to receive total net proceeds of approximately $ billion from the issuance of the Notes, after underwriter discounts and payment of our other offering expenses. We intend to use the net proceeds from this offering for general corporate purposes, including the repayment of $1.5 billion aggregate principal amount outstanding of our 3.500% senior notes due October 2, 2018, to pre-fund certain mandatory contributions for our U.K. and Canada pension plans due in 2019 through 2021, and for other general corporate purposes.</w:t>
      </w:r>
    </w:p>
    <w:p>
      <w:pPr>
        <w:spacing w:after="0" w:line="180"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Until we use the net proceeds from this offering, we intend to invest the funds in short-term investments, including marketable securities. Our management will have broad discretion in the application of the net proceeds, and the purposes for which the net proceeds are used may change from those described above.</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80"/>
          </w:cols>
          <w:pgMar w:left="24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RATIO OF EARNINGS TO FIXED CHARGES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consolidated ratio of our earnings to fixed charges for each of the periods indicated.</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320" w:type="dxa"/>
            <w:vAlign w:val="bottom"/>
          </w:tcPr>
          <w:p>
            <w:pPr>
              <w:spacing w:after="0"/>
              <w:rPr>
                <w:sz w:val="8"/>
                <w:szCs w:val="8"/>
                <w:color w:val="auto"/>
              </w:rPr>
            </w:pPr>
          </w:p>
        </w:tc>
        <w:tc>
          <w:tcPr>
            <w:tcW w:w="12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5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2"/>
            <w:vMerge w:val="continue"/>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14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3"/>
                <w:szCs w:val="3"/>
                <w:color w:val="auto"/>
              </w:rPr>
            </w:pPr>
          </w:p>
        </w:tc>
        <w:tc>
          <w:tcPr>
            <w:tcW w:w="12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340" w:type="dxa"/>
            <w:vAlign w:val="bottom"/>
            <w:gridSpan w:val="3"/>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3"/>
                <w:szCs w:val="3"/>
                <w:color w:val="auto"/>
              </w:rPr>
            </w:pPr>
          </w:p>
        </w:tc>
        <w:tc>
          <w:tcPr>
            <w:tcW w:w="176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3"/>
                <w:szCs w:val="3"/>
                <w:color w:val="auto"/>
              </w:rPr>
            </w:pPr>
          </w:p>
        </w:tc>
        <w:tc>
          <w:tcPr>
            <w:tcW w:w="166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line="20" w:lineRule="exact"/>
              <w:rPr>
                <w:sz w:val="1"/>
                <w:szCs w:val="1"/>
                <w:color w:val="auto"/>
              </w:rPr>
            </w:pPr>
          </w:p>
        </w:tc>
      </w:tr>
      <w:tr>
        <w:trPr>
          <w:trHeight w:val="193"/>
        </w:trPr>
        <w:tc>
          <w:tcPr>
            <w:tcW w:w="3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gridSpan w:val="2"/>
            <w:shd w:val="clear" w:color="auto" w:fill="CCEEFF"/>
          </w:tcPr>
          <w:p>
            <w:pPr>
              <w:jc w:val="center"/>
              <w:ind w:left="210"/>
              <w:spacing w:after="0" w:line="203" w:lineRule="exact"/>
              <w:rPr>
                <w:sz w:val="20"/>
                <w:szCs w:val="20"/>
                <w:color w:val="auto"/>
              </w:rPr>
            </w:pPr>
            <w:r>
              <w:rPr>
                <w:rFonts w:ascii="Times New Roman" w:cs="Times New Roman" w:eastAsia="Times New Roman" w:hAnsi="Times New Roman"/>
                <w:sz w:val="18"/>
                <w:szCs w:val="18"/>
                <w:color w:val="auto"/>
                <w:w w:val="97"/>
              </w:rPr>
              <w:t>3.5</w:t>
            </w:r>
          </w:p>
        </w:tc>
        <w:tc>
          <w:tcPr>
            <w:tcW w:w="5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79"/>
              <w:spacing w:after="0" w:line="203" w:lineRule="exact"/>
              <w:rPr>
                <w:sz w:val="20"/>
                <w:szCs w:val="20"/>
                <w:color w:val="auto"/>
              </w:rPr>
            </w:pPr>
            <w:r>
              <w:rPr>
                <w:rFonts w:ascii="Times New Roman" w:cs="Times New Roman" w:eastAsia="Times New Roman" w:hAnsi="Times New Roman"/>
                <w:sz w:val="18"/>
                <w:szCs w:val="18"/>
                <w:color w:val="auto"/>
              </w:rPr>
              <w:t>5.29</w:t>
            </w: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659"/>
              <w:spacing w:after="0" w:line="203" w:lineRule="exact"/>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659"/>
              <w:spacing w:after="0" w:line="203" w:lineRule="exact"/>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599"/>
              <w:spacing w:after="0" w:line="203" w:lineRule="exact"/>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S-11</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right="800" w:firstLine="441"/>
        <w:spacing w:after="0" w:line="261" w:lineRule="auto"/>
        <w:rPr>
          <w:sz w:val="20"/>
          <w:szCs w:val="20"/>
          <w:color w:val="auto"/>
        </w:rPr>
      </w:pPr>
      <w:r>
        <w:rPr>
          <w:rFonts w:ascii="Times New Roman" w:cs="Times New Roman" w:eastAsia="Times New Roman" w:hAnsi="Times New Roman"/>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fifth</w:t>
      </w:r>
    </w:p>
    <w:p>
      <w:pPr>
        <w:jc w:val="both"/>
        <w:ind w:left="200" w:right="40"/>
        <w:spacing w:after="0" w:line="255" w:lineRule="auto"/>
        <w:rPr>
          <w:sz w:val="20"/>
          <w:szCs w:val="20"/>
          <w:color w:val="auto"/>
        </w:rPr>
      </w:pPr>
      <w:r>
        <w:rPr>
          <w:rFonts w:ascii="Times New Roman" w:cs="Times New Roman" w:eastAsia="Times New Roman" w:hAnsi="Times New Roman"/>
          <w:sz w:val="18"/>
          <w:szCs w:val="18"/>
          <w:color w:val="auto"/>
        </w:rPr>
        <w:t>supplemental indenture (the “Supplemental Indenture”) to be dated on or about , 2018 between us and the Trustee. The Base Indenture and the Supplemental Indenture, as amended and supplemented, are together referred to herein as the “Indenture.” The Indenture and the Notes are governed by, and construed in accordance with, the laws of the State of New York, United States.</w:t>
      </w:r>
    </w:p>
    <w:p>
      <w:pPr>
        <w:spacing w:after="0" w:line="186"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88"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GM and will rank equally with all other unsecured and unsubordinated indebtedness of GM (other than obligations preferred by mandatory provisions of law).</w:t>
      </w:r>
    </w:p>
    <w:p>
      <w:pPr>
        <w:sectPr>
          <w:pgSz w:w="11900" w:h="16838" w:orient="portrait"/>
          <w:cols w:equalWidth="0" w:num="1">
            <w:col w:w="11220"/>
          </w:cols>
          <w:pgMar w:left="240" w:top="455" w:right="439" w:bottom="1440" w:gutter="0" w:footer="0" w:header="0"/>
        </w:sectPr>
      </w:pP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Floating Rate Notes will mature 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2021.</w:t>
      </w:r>
    </w:p>
    <w:p>
      <w:pPr>
        <w:spacing w:after="0" w:line="200" w:lineRule="exact"/>
        <w:rPr>
          <w:sz w:val="20"/>
          <w:szCs w:val="20"/>
          <w:color w:val="auto"/>
        </w:rPr>
      </w:pPr>
    </w:p>
    <w:p>
      <w:pPr>
        <w:sectPr>
          <w:pgSz w:w="11900" w:h="16838" w:orient="portrait"/>
          <w:cols w:equalWidth="0" w:num="2">
            <w:col w:w="3540" w:space="720"/>
            <w:col w:w="6960"/>
          </w:cols>
          <w:pgMar w:left="240" w:top="455" w:right="439" w:bottom="1440" w:gutter="0" w:footer="0" w:header="0"/>
          <w:type w:val="continuous"/>
        </w:sectPr>
      </w:pPr>
    </w:p>
    <w:p>
      <w:pPr>
        <w:spacing w:after="0" w:line="25" w:lineRule="exact"/>
        <w:rPr>
          <w:sz w:val="20"/>
          <w:szCs w:val="20"/>
          <w:color w:val="auto"/>
        </w:rPr>
      </w:pPr>
    </w:p>
    <w:p>
      <w:pPr>
        <w:ind w:left="640"/>
        <w:spacing w:after="0"/>
        <w:tabs>
          <w:tab w:leader="none" w:pos="3640" w:val="left"/>
        </w:tabs>
        <w:rPr>
          <w:sz w:val="20"/>
          <w:szCs w:val="20"/>
          <w:color w:val="auto"/>
        </w:rPr>
      </w:pPr>
      <w:r>
        <w:rPr>
          <w:rFonts w:ascii="Times New Roman" w:cs="Times New Roman" w:eastAsia="Times New Roman" w:hAnsi="Times New Roman"/>
          <w:sz w:val="18"/>
          <w:szCs w:val="18"/>
          <w:color w:val="auto"/>
        </w:rPr>
        <w:t>The 2028 Notes will mature on</w:t>
      </w:r>
      <w:r>
        <w:rPr>
          <w:sz w:val="20"/>
          <w:szCs w:val="20"/>
          <w:color w:val="auto"/>
        </w:rPr>
        <w:tab/>
      </w:r>
      <w:r>
        <w:rPr>
          <w:rFonts w:ascii="Times New Roman" w:cs="Times New Roman" w:eastAsia="Times New Roman" w:hAnsi="Times New Roman"/>
          <w:sz w:val="17"/>
          <w:szCs w:val="17"/>
          <w:color w:val="auto"/>
        </w:rPr>
        <w:t>, 2028 and the 2049 Notes will mature 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2049; in each case unless we redeem such Notes</w:t>
      </w:r>
    </w:p>
    <w:p>
      <w:pPr>
        <w:spacing w:after="0" w:line="27" w:lineRule="exact"/>
        <w:rPr>
          <w:sz w:val="20"/>
          <w:szCs w:val="20"/>
          <w:color w:val="auto"/>
        </w:rPr>
      </w:pPr>
    </w:p>
    <w:p>
      <w:pPr>
        <w:sectPr>
          <w:pgSz w:w="11900" w:h="16838" w:orient="portrait"/>
          <w:cols w:equalWidth="0" w:num="2">
            <w:col w:w="6680" w:space="720"/>
            <w:col w:w="382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color w:val="auto"/>
        </w:rPr>
        <w:t>prior to their respective maturity dates, as described below under “—Optional Redemption.”</w:t>
      </w:r>
    </w:p>
    <w:p>
      <w:pPr>
        <w:spacing w:after="0" w:line="207"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Notes will be issued in book-entry form only through the facilities of DTC, including its participants,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See “Description of Debt Securities—Book-Entry; Delivery and Form; Global Securities” in the accompanying prospectus.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21" w:lineRule="exact"/>
        <w:rPr>
          <w:sz w:val="20"/>
          <w:szCs w:val="20"/>
          <w:color w:val="auto"/>
        </w:rPr>
      </w:pPr>
    </w:p>
    <w:p>
      <w:pPr>
        <w:ind w:left="200" w:right="860" w:firstLine="441"/>
        <w:spacing w:after="0" w:line="282" w:lineRule="auto"/>
        <w:rPr>
          <w:sz w:val="20"/>
          <w:szCs w:val="20"/>
          <w:color w:val="auto"/>
        </w:rPr>
      </w:pPr>
      <w:r>
        <w:rPr>
          <w:rFonts w:ascii="Times New Roman" w:cs="Times New Roman" w:eastAsia="Times New Roman" w:hAnsi="Times New Roman"/>
          <w:sz w:val="18"/>
          <w:szCs w:val="18"/>
          <w:color w:val="auto"/>
        </w:rPr>
        <w:t>The Floating Rate Notes will initially be limited to $ aggregate principal amount, the 2028 Notes will initially be limited to $ aggregate principal amount and the 2049 Notes offered hereby will initially be limited to $ aggregate principal amount.</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Floating Rate Notes</w:t>
      </w:r>
    </w:p>
    <w:p>
      <w:pPr>
        <w:spacing w:after="0" w:line="121" w:lineRule="exact"/>
        <w:rPr>
          <w:sz w:val="20"/>
          <w:szCs w:val="20"/>
          <w:color w:val="auto"/>
        </w:rPr>
      </w:pPr>
    </w:p>
    <w:p>
      <w:pPr>
        <w:ind w:left="640"/>
        <w:spacing w:after="0"/>
        <w:tabs>
          <w:tab w:leader="none" w:pos="9540" w:val="left"/>
        </w:tabs>
        <w:rPr>
          <w:sz w:val="20"/>
          <w:szCs w:val="20"/>
          <w:color w:val="auto"/>
        </w:rPr>
      </w:pPr>
      <w:r>
        <w:rPr>
          <w:rFonts w:ascii="Times New Roman" w:cs="Times New Roman" w:eastAsia="Times New Roman" w:hAnsi="Times New Roman"/>
          <w:sz w:val="18"/>
          <w:szCs w:val="18"/>
          <w:color w:val="auto"/>
        </w:rPr>
        <w:t>The Floating Rate Notes will bear interest at a floating rate per annum, reset quarterly, equal to three-month LIBOR plus</w:t>
      </w:r>
      <w:r>
        <w:rPr>
          <w:sz w:val="20"/>
          <w:szCs w:val="20"/>
          <w:color w:val="auto"/>
        </w:rPr>
        <w:tab/>
      </w:r>
      <w:r>
        <w:rPr>
          <w:rFonts w:ascii="Times New Roman" w:cs="Times New Roman" w:eastAsia="Times New Roman" w:hAnsi="Times New Roman"/>
          <w:sz w:val="17"/>
          <w:szCs w:val="17"/>
          <w:color w:val="auto"/>
        </w:rPr>
        <w:t>%. Interest on the</w:t>
      </w:r>
    </w:p>
    <w:p>
      <w:pPr>
        <w:spacing w:after="0" w:line="27" w:lineRule="exact"/>
        <w:rPr>
          <w:sz w:val="20"/>
          <w:szCs w:val="20"/>
          <w:color w:val="auto"/>
        </w:rPr>
      </w:pPr>
    </w:p>
    <w:p>
      <w:pPr>
        <w:ind w:left="200" w:right="240"/>
        <w:spacing w:after="0" w:line="250" w:lineRule="auto"/>
        <w:rPr>
          <w:sz w:val="20"/>
          <w:szCs w:val="20"/>
          <w:color w:val="auto"/>
        </w:rPr>
      </w:pPr>
      <w:r>
        <w:rPr>
          <w:rFonts w:ascii="Times New Roman" w:cs="Times New Roman" w:eastAsia="Times New Roman" w:hAnsi="Times New Roman"/>
          <w:sz w:val="18"/>
          <w:szCs w:val="18"/>
          <w:color w:val="auto"/>
        </w:rPr>
        <w:t>Floating Rate Notes will be payable quarterly in arrears on , , and of each year, with the first payment to be made on , 2018 (each a “</w:t>
      </w:r>
      <w:r>
        <w:rPr>
          <w:rFonts w:ascii="Times New Roman" w:cs="Times New Roman" w:eastAsia="Times New Roman" w:hAnsi="Times New Roman"/>
          <w:sz w:val="18"/>
          <w:szCs w:val="18"/>
          <w:i w:val="1"/>
          <w:iCs w:val="1"/>
          <w:color w:val="auto"/>
        </w:rPr>
        <w:t>Floating Rate Notes interest payment date</w:t>
      </w:r>
      <w:r>
        <w:rPr>
          <w:rFonts w:ascii="Times New Roman" w:cs="Times New Roman" w:eastAsia="Times New Roman" w:hAnsi="Times New Roman"/>
          <w:sz w:val="18"/>
          <w:szCs w:val="18"/>
          <w:color w:val="auto"/>
        </w:rPr>
        <w:t>”), to the person in whose name the Floating Rate Notes are registered at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close of business on the date that is 15 calendar days prior to each Floating Rate Notes interest payment date. Interest on the Floating Rate Notes will</w:t>
      </w:r>
    </w:p>
    <w:p>
      <w:pPr>
        <w:spacing w:after="0" w:line="9" w:lineRule="exact"/>
        <w:rPr>
          <w:sz w:val="20"/>
          <w:szCs w:val="20"/>
          <w:color w:val="auto"/>
        </w:rPr>
      </w:pPr>
    </w:p>
    <w:p>
      <w:pPr>
        <w:ind w:left="200" w:right="60"/>
        <w:spacing w:after="0" w:line="254" w:lineRule="auto"/>
        <w:rPr>
          <w:sz w:val="20"/>
          <w:szCs w:val="20"/>
          <w:color w:val="auto"/>
        </w:rPr>
      </w:pPr>
      <w:r>
        <w:rPr>
          <w:rFonts w:ascii="Times New Roman" w:cs="Times New Roman" w:eastAsia="Times New Roman" w:hAnsi="Times New Roman"/>
          <w:sz w:val="18"/>
          <w:szCs w:val="18"/>
          <w:color w:val="auto"/>
        </w:rPr>
        <w:t>accrue from and including , 2018 or from and including the most recent Floating Rate Notes interest payment date to which interest has been paid or duly provided for. If any Floating Rate Notes interest payment date, other than the maturity date, would otherwise be a day that is not a Business Day, the Floating Rate Notes interest payment date will be postponed to the immediately succeeding day that is a Business Day, except that if that Business Day is in the immediately succeeding calendar month, the</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240" w:top="455" w:right="4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Floating Rate Notes interest payment date shall be the immediately preceding Business Day. If the maturity date of the Floating Rate Notes falls on a day that is not a Business Day, the payment of principal and interest will be made on the next succeeding Business Day, and no interest on such payment will accrue for the period from and after the maturity date.</w:t>
      </w:r>
    </w:p>
    <w:p>
      <w:pPr>
        <w:sectPr>
          <w:pgSz w:w="11900" w:h="16838" w:orient="portrait"/>
          <w:cols w:equalWidth="0" w:num="1">
            <w:col w:w="11220"/>
          </w:cols>
          <w:pgMar w:left="240" w:top="455" w:right="439" w:bottom="1440" w:gutter="0" w:footer="0" w:header="0"/>
        </w:sectPr>
      </w:pPr>
    </w:p>
    <w:p>
      <w:pPr>
        <w:spacing w:after="0" w:line="176" w:lineRule="exact"/>
        <w:rPr>
          <w:sz w:val="20"/>
          <w:szCs w:val="20"/>
          <w:color w:val="auto"/>
        </w:rPr>
      </w:pPr>
    </w:p>
    <w:p>
      <w:pPr>
        <w:ind w:left="640"/>
        <w:spacing w:after="0"/>
        <w:tabs>
          <w:tab w:leader="none" w:pos="6380" w:val="left"/>
          <w:tab w:leader="none" w:pos="7180" w:val="left"/>
          <w:tab w:leader="none" w:pos="8040" w:val="left"/>
          <w:tab w:leader="none" w:pos="9060" w:val="left"/>
        </w:tabs>
        <w:rPr>
          <w:sz w:val="20"/>
          <w:szCs w:val="20"/>
          <w:color w:val="auto"/>
        </w:rPr>
      </w:pPr>
      <w:r>
        <w:rPr>
          <w:rFonts w:ascii="Times New Roman" w:cs="Times New Roman" w:eastAsia="Times New Roman" w:hAnsi="Times New Roman"/>
          <w:sz w:val="18"/>
          <w:szCs w:val="18"/>
          <w:color w:val="auto"/>
        </w:rPr>
        <w:t>The interest rate on the Floating Rate Notes will be reset quarterly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commencing 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2018 (each an “</w:t>
      </w:r>
      <w:r>
        <w:rPr>
          <w:rFonts w:ascii="Times New Roman" w:cs="Times New Roman" w:eastAsia="Times New Roman" w:hAnsi="Times New Roman"/>
          <w:sz w:val="18"/>
          <w:szCs w:val="18"/>
          <w:i w:val="1"/>
          <w:iCs w:val="1"/>
          <w:color w:val="auto"/>
        </w:rPr>
        <w:t>interest reset date</w:t>
      </w:r>
      <w:r>
        <w:rPr>
          <w:rFonts w:ascii="Times New Roman" w:cs="Times New Roman" w:eastAsia="Times New Roman" w:hAnsi="Times New Roman"/>
          <w:sz w:val="18"/>
          <w:szCs w:val="18"/>
          <w:color w:val="auto"/>
        </w:rPr>
        <w:t>”); provided that if any interest reset date would otherwise be a day that is not a Business Day, the interest reset date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will be postponed to the immediately succeeding day that is a Business Day, except that if that Business Day is in the immediately succeeding calendar</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month, the interest reset date shall be the immediately preceding Business Day.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889" w:lineRule="exact"/>
        <w:rPr>
          <w:sz w:val="20"/>
          <w:szCs w:val="20"/>
          <w:color w:val="auto"/>
        </w:rPr>
      </w:pPr>
    </w:p>
    <w:p>
      <w:pPr>
        <w:sectPr>
          <w:pgSz w:w="11900" w:h="16838" w:orient="portrait"/>
          <w:cols w:equalWidth="0" w:num="2">
            <w:col w:w="11080" w:space="20"/>
            <w:col w:w="120"/>
          </w:cols>
          <w:pgMar w:left="240" w:top="455" w:right="439" w:bottom="1440" w:gutter="0" w:footer="0" w:header="0"/>
          <w:type w:val="continuous"/>
        </w:sectPr>
      </w:pPr>
    </w:p>
    <w:p>
      <w:pPr>
        <w:spacing w:after="0" w:line="5" w:lineRule="exact"/>
        <w:rPr>
          <w:sz w:val="20"/>
          <w:szCs w:val="20"/>
          <w:color w:val="auto"/>
        </w:rPr>
      </w:pPr>
    </w:p>
    <w:p>
      <w:pPr>
        <w:ind w:left="640"/>
        <w:spacing w:after="0"/>
        <w:tabs>
          <w:tab w:leader="none" w:pos="8520" w:val="left"/>
        </w:tabs>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initial interest reset period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initial interest period</w:t>
      </w:r>
      <w:r>
        <w:rPr>
          <w:rFonts w:ascii="Times New Roman" w:cs="Times New Roman" w:eastAsia="Times New Roman" w:hAnsi="Times New Roman"/>
          <w:sz w:val="18"/>
          <w:szCs w:val="18"/>
          <w:color w:val="auto"/>
        </w:rPr>
        <w:t>”) means the period from and including</w:t>
      </w:r>
      <w:r>
        <w:rPr>
          <w:sz w:val="20"/>
          <w:szCs w:val="20"/>
          <w:color w:val="auto"/>
        </w:rPr>
        <w:tab/>
      </w:r>
      <w:r>
        <w:rPr>
          <w:rFonts w:ascii="Times New Roman" w:cs="Times New Roman" w:eastAsia="Times New Roman" w:hAnsi="Times New Roman"/>
          <w:sz w:val="18"/>
          <w:szCs w:val="18"/>
          <w:color w:val="auto"/>
        </w:rPr>
        <w:t>, 2018 to but excluding the first</w:t>
      </w:r>
    </w:p>
    <w:p>
      <w:pPr>
        <w:sectPr>
          <w:pgSz w:w="11900" w:h="16838" w:orient="portrait"/>
          <w:cols w:equalWidth="0" w:num="1">
            <w:col w:w="11220"/>
          </w:cols>
          <w:pgMar w:left="240" w:top="455" w:right="439" w:bottom="1440" w:gutter="0" w:footer="0" w:header="0"/>
          <w:type w:val="continuous"/>
        </w:sectPr>
      </w:pPr>
    </w:p>
    <w:p>
      <w:pPr>
        <w:spacing w:after="0" w:line="29" w:lineRule="exact"/>
        <w:rPr>
          <w:sz w:val="20"/>
          <w:szCs w:val="20"/>
          <w:color w:val="auto"/>
        </w:rPr>
      </w:pPr>
    </w:p>
    <w:p>
      <w:pPr>
        <w:ind w:left="200" w:right="80"/>
        <w:spacing w:after="0" w:line="254" w:lineRule="auto"/>
        <w:rPr>
          <w:sz w:val="20"/>
          <w:szCs w:val="20"/>
          <w:color w:val="auto"/>
        </w:rPr>
      </w:pPr>
      <w:r>
        <w:rPr>
          <w:rFonts w:ascii="Times New Roman" w:cs="Times New Roman" w:eastAsia="Times New Roman" w:hAnsi="Times New Roman"/>
          <w:sz w:val="18"/>
          <w:szCs w:val="18"/>
          <w:color w:val="auto"/>
        </w:rPr>
        <w:t>interest reset date. Thereafter, each “</w:t>
      </w:r>
      <w:r>
        <w:rPr>
          <w:rFonts w:ascii="Times New Roman" w:cs="Times New Roman" w:eastAsia="Times New Roman" w:hAnsi="Times New Roman"/>
          <w:sz w:val="18"/>
          <w:szCs w:val="18"/>
          <w:i w:val="1"/>
          <w:iCs w:val="1"/>
          <w:color w:val="auto"/>
        </w:rPr>
        <w:t>interest reset period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interest period</w:t>
      </w:r>
      <w:r>
        <w:rPr>
          <w:rFonts w:ascii="Times New Roman" w:cs="Times New Roman" w:eastAsia="Times New Roman" w:hAnsi="Times New Roman"/>
          <w:sz w:val="18"/>
          <w:szCs w:val="18"/>
          <w:color w:val="auto"/>
        </w:rPr>
        <w:t>”) means the period from and including an interest reset date to but excluding the immediately succeeding interest reset date; provided that the final interest reset period for the Floating Rate Notes will be the period from and including the interest reset date immediately preceding the maturity date of the Floating Rate Notes to but excluding the maturity date. Interest on the Floating Rate Notes will be computed on the basis of the actual number of days elapsed over a 360-day year.</w:t>
      </w:r>
    </w:p>
    <w:p>
      <w:pPr>
        <w:spacing w:after="0" w:line="186"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The interest rate for the initial interest reset period means the three-month LIBOR, as determined on , 2018, plus %. Thereafter, the interest rate for any interest period will be the three-month LIBOR, as determined as of the applicable interest determination date (as defined below), plus %. The interest rate will be reset quarterly on each interest reset date.</w:t>
      </w:r>
    </w:p>
    <w:p>
      <w:pPr>
        <w:spacing w:after="0" w:line="176" w:lineRule="exact"/>
        <w:rPr>
          <w:sz w:val="20"/>
          <w:szCs w:val="20"/>
          <w:color w:val="auto"/>
        </w:rPr>
      </w:pPr>
    </w:p>
    <w:p>
      <w:pPr>
        <w:ind w:left="640"/>
        <w:spacing w:after="0"/>
        <w:tabs>
          <w:tab w:leader="none" w:pos="8520" w:val="left"/>
        </w:tabs>
        <w:rPr>
          <w:sz w:val="20"/>
          <w:szCs w:val="20"/>
          <w:color w:val="auto"/>
        </w:rPr>
      </w:pPr>
      <w:r>
        <w:rPr>
          <w:rFonts w:ascii="Times New Roman" w:cs="Times New Roman" w:eastAsia="Times New Roman" w:hAnsi="Times New Roman"/>
          <w:sz w:val="18"/>
          <w:szCs w:val="18"/>
          <w:color w:val="auto"/>
        </w:rPr>
        <w:t>The interest rate applicable to each interest period commencing on the related interest reset date, or</w:t>
      </w:r>
      <w:r>
        <w:rPr>
          <w:sz w:val="20"/>
          <w:szCs w:val="20"/>
          <w:color w:val="auto"/>
        </w:rPr>
        <w:tab/>
      </w:r>
      <w:r>
        <w:rPr>
          <w:rFonts w:ascii="Times New Roman" w:cs="Times New Roman" w:eastAsia="Times New Roman" w:hAnsi="Times New Roman"/>
          <w:sz w:val="17"/>
          <w:szCs w:val="17"/>
          <w:color w:val="auto"/>
        </w:rPr>
        <w:t>, 2018 in the case of the initial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period, will be the rate determined as of the applicable interest determination date. The “</w:t>
      </w:r>
      <w:r>
        <w:rPr>
          <w:rFonts w:ascii="Times New Roman" w:cs="Times New Roman" w:eastAsia="Times New Roman" w:hAnsi="Times New Roman"/>
          <w:sz w:val="18"/>
          <w:szCs w:val="18"/>
          <w:i w:val="1"/>
          <w:iCs w:val="1"/>
          <w:color w:val="auto"/>
        </w:rPr>
        <w:t>interest determination date</w:t>
      </w:r>
      <w:r>
        <w:rPr>
          <w:rFonts w:ascii="Times New Roman" w:cs="Times New Roman" w:eastAsia="Times New Roman" w:hAnsi="Times New Roman"/>
          <w:sz w:val="18"/>
          <w:szCs w:val="18"/>
          <w:color w:val="auto"/>
        </w:rPr>
        <w:t>” means (i) in the case of the</w:t>
      </w:r>
    </w:p>
    <w:p>
      <w:pPr>
        <w:spacing w:after="0" w:line="9"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initial interest period, the second London business day immediately preceding , 2018, and (ii) in the case of each interest period after the initial interest period, the second London business day immediately preceding the applicable interest reset date. A “</w:t>
      </w:r>
      <w:r>
        <w:rPr>
          <w:rFonts w:ascii="Times New Roman" w:cs="Times New Roman" w:eastAsia="Times New Roman" w:hAnsi="Times New Roman"/>
          <w:sz w:val="18"/>
          <w:szCs w:val="18"/>
          <w:i w:val="1"/>
          <w:iCs w:val="1"/>
          <w:color w:val="auto"/>
        </w:rPr>
        <w:t>London business day</w:t>
      </w:r>
      <w:r>
        <w:rPr>
          <w:rFonts w:ascii="Times New Roman" w:cs="Times New Roman" w:eastAsia="Times New Roman" w:hAnsi="Times New Roman"/>
          <w:sz w:val="18"/>
          <w:szCs w:val="18"/>
          <w:color w:val="auto"/>
        </w:rPr>
        <w:t>” means a day on which dealings in deposits in U.S. dollars are transacted in the London interbank market.</w:t>
      </w:r>
    </w:p>
    <w:p>
      <w:pPr>
        <w:spacing w:after="0" w:line="184" w:lineRule="exact"/>
        <w:rPr>
          <w:sz w:val="20"/>
          <w:szCs w:val="20"/>
          <w:color w:val="auto"/>
        </w:rPr>
      </w:pPr>
    </w:p>
    <w:p>
      <w:pPr>
        <w:ind w:left="200" w:right="100" w:firstLine="441"/>
        <w:spacing w:after="0" w:line="267" w:lineRule="auto"/>
        <w:rPr>
          <w:sz w:val="20"/>
          <w:szCs w:val="20"/>
          <w:color w:val="auto"/>
        </w:rPr>
      </w:pPr>
      <w:r>
        <w:rPr>
          <w:rFonts w:ascii="Times New Roman" w:cs="Times New Roman" w:eastAsia="Times New Roman" w:hAnsi="Times New Roman"/>
          <w:sz w:val="18"/>
          <w:szCs w:val="18"/>
          <w:color w:val="auto"/>
        </w:rPr>
        <w:t>The Bank of New York Mellon, or its successor appointed by us, will act as the initial calculation agent (the “</w:t>
      </w:r>
      <w:r>
        <w:rPr>
          <w:rFonts w:ascii="Times New Roman" w:cs="Times New Roman" w:eastAsia="Times New Roman" w:hAnsi="Times New Roman"/>
          <w:sz w:val="18"/>
          <w:szCs w:val="18"/>
          <w:i w:val="1"/>
          <w:iCs w:val="1"/>
          <w:color w:val="auto"/>
        </w:rPr>
        <w:t>calculation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Three-month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LIBOR</w:t>
      </w:r>
      <w:r>
        <w:rPr>
          <w:rFonts w:ascii="Times New Roman" w:cs="Times New Roman" w:eastAsia="Times New Roman" w:hAnsi="Times New Roman"/>
          <w:sz w:val="18"/>
          <w:szCs w:val="18"/>
          <w:color w:val="auto"/>
        </w:rPr>
        <w:t>” means, for any interest period, the rate determined by the calculation agent on the applicable interest determination date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provisions:</w:t>
      </w:r>
    </w:p>
    <w:p>
      <w:pPr>
        <w:spacing w:after="0" w:line="81" w:lineRule="exact"/>
        <w:rPr>
          <w:sz w:val="20"/>
          <w:szCs w:val="20"/>
          <w:color w:val="auto"/>
        </w:rPr>
      </w:pPr>
    </w:p>
    <w:p>
      <w:pPr>
        <w:ind w:left="1060" w:right="60" w:hanging="424"/>
        <w:spacing w:after="0" w:line="253"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Three-month LIBOR will be the rate (expressed as a percentage per annum) for deposits in U.S. dollars having a three-month maturity which appears on the Bloomberg BBAM (as defined below) page at approximately 11:00 a.m., London time, on such interest determination date. If on an interest determination date, such rate does not appear on the Bloomberg BBAM (as defined below) page as of 11:00 a.m., London time, or if the Bloomberg BBAM (as defined below) page is not available on such date, the calculation agent will obtain such rate from Reuters LIBOR 01 (as defined below). “</w:t>
      </w:r>
      <w:r>
        <w:rPr>
          <w:rFonts w:ascii="Times New Roman" w:cs="Times New Roman" w:eastAsia="Times New Roman" w:hAnsi="Times New Roman"/>
          <w:sz w:val="18"/>
          <w:szCs w:val="18"/>
          <w:i w:val="1"/>
          <w:iCs w:val="1"/>
          <w:color w:val="auto"/>
        </w:rPr>
        <w:t>Bloomberg BBAM</w:t>
      </w:r>
      <w:r>
        <w:rPr>
          <w:rFonts w:ascii="Times New Roman" w:cs="Times New Roman" w:eastAsia="Times New Roman" w:hAnsi="Times New Roman"/>
          <w:sz w:val="18"/>
          <w:szCs w:val="18"/>
          <w:color w:val="auto"/>
        </w:rPr>
        <w:t>” means the display designated on page BBAM on Bloomberg L.P. (or such other page as may replace such page on that service or any successor service for the purpose of displaying LIBOR for U.S. dollar deposits administered by ICE Benchmark Administration Limited (or any other person assuming the responsibility for the administration of those rates)). “</w:t>
      </w:r>
      <w:r>
        <w:rPr>
          <w:rFonts w:ascii="Times New Roman" w:cs="Times New Roman" w:eastAsia="Times New Roman" w:hAnsi="Times New Roman"/>
          <w:sz w:val="18"/>
          <w:szCs w:val="18"/>
          <w:i w:val="1"/>
          <w:iCs w:val="1"/>
          <w:color w:val="auto"/>
        </w:rPr>
        <w:t>Reuters LIBOR 01</w:t>
      </w:r>
      <w:r>
        <w:rPr>
          <w:rFonts w:ascii="Times New Roman" w:cs="Times New Roman" w:eastAsia="Times New Roman" w:hAnsi="Times New Roman"/>
          <w:sz w:val="18"/>
          <w:szCs w:val="18"/>
          <w:color w:val="auto"/>
        </w:rPr>
        <w:t>” means the display designated on page LIBOR 01 on Reuters 3000 Xtra (or such other page as may replace the LIBOR 01 page on that service or any successor service for the purpose of displaying LIBOR for U.S. dollar deposits of major banks). If no such rate appears on either Reuters LIBOR 01 or Bloomberg BBAM, or if both Reuters LIBOR 01 and Bloomberg BBAM are not available on such date, three-month LIBOR for such interest determination date will be determined in accordance with the provisions of paragraphs (ii) and (iii) below.</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20"/>
          </w:cols>
          <w:pgMar w:left="240" w:top="455" w:right="4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5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interest determination date on which no rate appears on Reuters LIBOR 01 or Bloomberg BBAM as of approximately 11:00 a.m., London time, on such interest determination date, as specified in paragraph (i) above, unless paragraph (iii) below applies, we shall request the principal London offices of each of four major reference banks (which may include affiliates of the underwriters) in the London interbank market selected by us to provide the calculation agent with a quotation of the rate (expressed as a percentage per annum) at which deposits of U.S. dollars having a three-month maturity, commencing on the second London business day immediately following such interest determination date, are offered by it to prime banks in the London interbank market as of approximately 11:00 a.m., London time, on such interest determination date in a principal amount equal to an amount of not less than $1,000,000 that is representative for a single transaction in U.S. dollars in such market at such time. If at least two such quotations are provided, three-month LIBOR for such interest determination date will be the arithmetic mean of such quotations. If fewer than two quotations are provided, three-month LIBOR for such interest determination date will be the arithmetic mean of the rates quoted as of approximately 11:00 a.m., New York City time, on such interest determination date by three major banks (which may include affiliates of the underwriters) selected by us for loans in U.S. dollars to leading European banks having a three-month maturity commencing on the second London business day immediately following such interest determination date and in a principal amount equal to an amount of not less than $1,000,000 that is representative for a single transaction in U.S. dollars in such market at such time; provided, however, that if fewer than three major banks selected as aforesaid by us are quoting such rates as mentioned in this sentence, three-month LIBOR for such interest determination date will be the same as the three-month LIBOR in effect for the immediately preceding interest period (or, if there was no preceding interest period, the three-month LIBOR will be the same as the three-month LIBOR in effect for the initial interest period).</w:t>
      </w:r>
    </w:p>
    <w:p>
      <w:pPr>
        <w:spacing w:after="0" w:line="100" w:lineRule="exact"/>
        <w:rPr>
          <w:rFonts w:ascii="Times New Roman" w:cs="Times New Roman" w:eastAsia="Times New Roman" w:hAnsi="Times New Roman"/>
          <w:sz w:val="18"/>
          <w:szCs w:val="18"/>
          <w:color w:val="auto"/>
        </w:rPr>
      </w:pPr>
    </w:p>
    <w:p>
      <w:pPr>
        <w:ind w:left="1060" w:hanging="424"/>
        <w:spacing w:after="0" w:line="25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(ii) above, if we determine that three-month LIBOR has been permanently discontinued, or the reference to three-month LIBOR becomes illegal, or most other debt obligations similar to the Floating Rate Notes have converted away from three-month LIBOR to a new reference rate, the calculation agent will use, as directed by us, as a substitute for three-month LIBOR and for each future interest determination date, the alternative reference rate (the “Alternative Rate”) selected by the central bank, reserve bank, monetary authority or any similar institution (including any committee or working group thereof) that is consistent with accepted market practice. As part of such substitution, the calculation agent will, as directed by us, make such adjustments (“Adjustments”) to the Alternative Rate and the spread thereon to account for the basis between three-month LIBOR and the Alternative Rate, as well as the business day convention, interest determination dates and related provisions and definitions, in each case that are consistent with accepted market practice for the use of such Alternative Rate for debt obligations such as the Floating Rate Notes. If we determine that there is no clear market consensus as to whether any rate has replaced three-month LIBOR in customary market usage, (a) the calculation agent shall have the right to resign as calculation agent in respect of the Floating Rate Notes and (b) we will appoint, in our sole discretion, a new calculation agent to replace the resigning calculation agent, solely in its role as calculation agent in respect of the Floating Rate Notes, to determine the Alternative Rate and make any Adjustments thereto or to the spread thereon, and the determinations of such new calculation agent will be binding on us, the calculation agent, the trustee and the holders of the Floating Rate Notes; provided, however, that if we determine there is no clear market consensus as to whether any rate has replaced three-month LIBOR in customary market usage, we may appoint in our sole discretion an independent financial advisor (the “</w:t>
      </w:r>
      <w:r>
        <w:rPr>
          <w:rFonts w:ascii="Times New Roman" w:cs="Times New Roman" w:eastAsia="Times New Roman" w:hAnsi="Times New Roman"/>
          <w:sz w:val="18"/>
          <w:szCs w:val="18"/>
          <w:i w:val="1"/>
          <w:iCs w:val="1"/>
          <w:color w:val="auto"/>
        </w:rPr>
        <w:t>IFA</w:t>
      </w:r>
      <w:r>
        <w:rPr>
          <w:rFonts w:ascii="Times New Roman" w:cs="Times New Roman" w:eastAsia="Times New Roman" w:hAnsi="Times New Roman"/>
          <w:sz w:val="18"/>
          <w:szCs w:val="18"/>
          <w:color w:val="auto"/>
        </w:rPr>
        <w:t>”) to determine an appropriate Alternative Rate, and any Adjustments, and the determinations of the IFA will be binding on us, the trustee, the calculation agent, if any, and the holders of the Floating Rate Notes. If, however, the existing calculation agent or any subsequent calculation agent determines that three-month LIBOR has been discontinued, but for any reason an Alternative Rate has not been determined, three-month LIBOR for such interest determination date will be the same as the three-month LIBOR in effect for the immediately preceding interest period (or, if there was no preceding interest period, three-month LIBOR will be the same as the three-month LIBOR in effect for the initial interest period).</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24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Times New Roman" w:cs="Times New Roman" w:eastAsia="Times New Roman" w:hAnsi="Times New Roman"/>
          <w:sz w:val="17"/>
          <w:szCs w:val="17"/>
          <w:color w:val="auto"/>
        </w:rPr>
        <w:t>All percentages resulting from any of the above calculations will be rounded, if necessary, to the nearest one hundred thousandth of a percentage point, with five one-millionths of a percentage point being rounded upwards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1.986865% (or 0.01986865) being rounded to 1.98687% (or</w:t>
      </w:r>
    </w:p>
    <w:p>
      <w:pPr>
        <w:spacing w:after="0" w:line="1" w:lineRule="exact"/>
        <w:rPr>
          <w:sz w:val="20"/>
          <w:szCs w:val="20"/>
          <w:color w:val="auto"/>
        </w:rPr>
      </w:pPr>
    </w:p>
    <w:p>
      <w:pPr>
        <w:jc w:val="both"/>
        <w:ind w:left="200" w:right="300"/>
        <w:spacing w:after="0" w:line="255" w:lineRule="auto"/>
        <w:rPr>
          <w:sz w:val="20"/>
          <w:szCs w:val="20"/>
          <w:color w:val="auto"/>
        </w:rPr>
      </w:pPr>
      <w:r>
        <w:rPr>
          <w:rFonts w:ascii="Times New Roman" w:cs="Times New Roman" w:eastAsia="Times New Roman" w:hAnsi="Times New Roman"/>
          <w:sz w:val="18"/>
          <w:szCs w:val="18"/>
          <w:color w:val="auto"/>
        </w:rPr>
        <w:t>0.0198687)) and all dollar amounts used in or resulting from such calculations will be rounded to the nearest cent (with one-half cent being rounded upwards). Notwithstanding the foregoing, the interest rate on the Floating Rate Notes will in no event be higher than the maximum rate permitted by New York law as the same may be modified by United States law of general application.</w:t>
      </w:r>
    </w:p>
    <w:p>
      <w:pPr>
        <w:spacing w:after="0" w:line="186"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All calculations made by the calculation agent shall, in the absence of manifest error, be conclusive for all purposes and binding on us, the Trustee and the holders of the Floating Rate Notes.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Fixed Rate Notes</w:t>
      </w:r>
    </w:p>
    <w:p>
      <w:pPr>
        <w:spacing w:after="0" w:line="121" w:lineRule="exact"/>
        <w:rPr>
          <w:sz w:val="20"/>
          <w:szCs w:val="20"/>
          <w:color w:val="auto"/>
        </w:rPr>
      </w:pPr>
    </w:p>
    <w:p>
      <w:pPr>
        <w:ind w:left="640"/>
        <w:spacing w:after="0"/>
        <w:tabs>
          <w:tab w:leader="none" w:pos="4020" w:val="left"/>
          <w:tab w:leader="none" w:pos="8700" w:val="left"/>
        </w:tabs>
        <w:rPr>
          <w:sz w:val="20"/>
          <w:szCs w:val="20"/>
          <w:color w:val="auto"/>
        </w:rPr>
      </w:pPr>
      <w:r>
        <w:rPr>
          <w:rFonts w:ascii="Times New Roman" w:cs="Times New Roman" w:eastAsia="Times New Roman" w:hAnsi="Times New Roman"/>
          <w:sz w:val="18"/>
          <w:szCs w:val="18"/>
          <w:color w:val="auto"/>
        </w:rPr>
        <w:t>The 2028 Notes will bear interest at a rate of</w:t>
        <w:tab/>
        <w:t>% per annum and the 2049 Notes will bear interest at a rate of</w:t>
      </w:r>
      <w:r>
        <w:rPr>
          <w:sz w:val="20"/>
          <w:szCs w:val="20"/>
          <w:color w:val="auto"/>
        </w:rPr>
        <w:tab/>
      </w:r>
      <w:r>
        <w:rPr>
          <w:rFonts w:ascii="Times New Roman" w:cs="Times New Roman" w:eastAsia="Times New Roman" w:hAnsi="Times New Roman"/>
          <w:sz w:val="17"/>
          <w:szCs w:val="17"/>
          <w:color w:val="auto"/>
        </w:rPr>
        <w:t>% per annum. The 2028 Notes</w:t>
      </w:r>
    </w:p>
    <w:p>
      <w:pPr>
        <w:spacing w:after="0" w:line="27" w:lineRule="exact"/>
        <w:rPr>
          <w:sz w:val="20"/>
          <w:szCs w:val="20"/>
          <w:color w:val="auto"/>
        </w:rPr>
      </w:pPr>
    </w:p>
    <w:p>
      <w:pPr>
        <w:ind w:left="200"/>
        <w:spacing w:after="0"/>
        <w:tabs>
          <w:tab w:leader="none" w:pos="9840" w:val="left"/>
        </w:tabs>
        <w:rPr>
          <w:sz w:val="20"/>
          <w:szCs w:val="20"/>
          <w:color w:val="auto"/>
        </w:rPr>
      </w:pPr>
      <w:r>
        <w:rPr>
          <w:rFonts w:ascii="Times New Roman" w:cs="Times New Roman" w:eastAsia="Times New Roman" w:hAnsi="Times New Roman"/>
          <w:sz w:val="18"/>
          <w:szCs w:val="18"/>
          <w:color w:val="auto"/>
        </w:rPr>
        <w:t>and the 2049 Notes will accrue interest, calculated on the basis of a 360-day year consisting of twelve 30-day months, from</w:t>
      </w:r>
      <w:r>
        <w:rPr>
          <w:sz w:val="20"/>
          <w:szCs w:val="20"/>
          <w:color w:val="auto"/>
        </w:rPr>
        <w:tab/>
      </w:r>
      <w:r>
        <w:rPr>
          <w:rFonts w:ascii="Times New Roman" w:cs="Times New Roman" w:eastAsia="Times New Roman" w:hAnsi="Times New Roman"/>
          <w:sz w:val="17"/>
          <w:szCs w:val="17"/>
          <w:color w:val="auto"/>
        </w:rPr>
        <w:t>, 2018, or, in each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case, from the most recent interest payment date to which interest has been paid or duly provided for, which will be payable in arrears on</w:t>
      </w:r>
    </w:p>
    <w:p>
      <w:pPr>
        <w:spacing w:after="0" w:line="9" w:lineRule="exact"/>
        <w:rPr>
          <w:sz w:val="20"/>
          <w:szCs w:val="20"/>
          <w:color w:val="auto"/>
        </w:rPr>
      </w:pPr>
    </w:p>
    <w:p>
      <w:pPr>
        <w:ind w:left="200"/>
        <w:spacing w:after="0"/>
        <w:tabs>
          <w:tab w:leader="none" w:pos="1200" w:val="left"/>
          <w:tab w:leader="none" w:pos="5820" w:val="left"/>
          <w:tab w:leader="none" w:pos="708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 each year, in the case of the 2028 Notes, and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of each year, in the case of the 2049 Notes, with the first</w:t>
      </w:r>
    </w:p>
    <w:p>
      <w:pPr>
        <w:spacing w:after="0" w:line="9" w:lineRule="exact"/>
        <w:rPr>
          <w:sz w:val="20"/>
          <w:szCs w:val="20"/>
          <w:color w:val="auto"/>
        </w:rPr>
      </w:pPr>
    </w:p>
    <w:p>
      <w:pPr>
        <w:ind w:left="200"/>
        <w:spacing w:after="0"/>
        <w:tabs>
          <w:tab w:leader="none" w:pos="2620" w:val="left"/>
          <w:tab w:leader="none" w:pos="5760" w:val="left"/>
        </w:tabs>
        <w:rPr>
          <w:sz w:val="20"/>
          <w:szCs w:val="20"/>
          <w:color w:val="auto"/>
        </w:rPr>
      </w:pPr>
      <w:r>
        <w:rPr>
          <w:rFonts w:ascii="Times New Roman" w:cs="Times New Roman" w:eastAsia="Times New Roman" w:hAnsi="Times New Roman"/>
          <w:sz w:val="18"/>
          <w:szCs w:val="18"/>
          <w:color w:val="auto"/>
        </w:rPr>
        <w:t>payment to be made on</w:t>
      </w:r>
      <w:r>
        <w:rPr>
          <w:sz w:val="20"/>
          <w:szCs w:val="20"/>
          <w:color w:val="auto"/>
        </w:rPr>
        <w:tab/>
      </w:r>
      <w:r>
        <w:rPr>
          <w:rFonts w:ascii="Times New Roman" w:cs="Times New Roman" w:eastAsia="Times New Roman" w:hAnsi="Times New Roman"/>
          <w:sz w:val="18"/>
          <w:szCs w:val="18"/>
          <w:color w:val="auto"/>
        </w:rPr>
        <w:t>, 2019 for the 2028 Notes and on</w:t>
      </w:r>
      <w:r>
        <w:rPr>
          <w:sz w:val="20"/>
          <w:szCs w:val="20"/>
          <w:color w:val="auto"/>
        </w:rPr>
        <w:tab/>
      </w:r>
      <w:r>
        <w:rPr>
          <w:rFonts w:ascii="Times New Roman" w:cs="Times New Roman" w:eastAsia="Times New Roman" w:hAnsi="Times New Roman"/>
          <w:sz w:val="18"/>
          <w:szCs w:val="18"/>
          <w:color w:val="auto"/>
        </w:rPr>
        <w:t>, 2019 for the 2049 Notes, to the person in whose name such Notes are</w:t>
      </w:r>
    </w:p>
    <w:p>
      <w:pPr>
        <w:spacing w:after="0" w:line="9" w:lineRule="exact"/>
        <w:rPr>
          <w:sz w:val="20"/>
          <w:szCs w:val="20"/>
          <w:color w:val="auto"/>
        </w:rPr>
      </w:pPr>
    </w:p>
    <w:p>
      <w:pPr>
        <w:ind w:left="200"/>
        <w:spacing w:after="0"/>
        <w:tabs>
          <w:tab w:leader="none" w:pos="3860" w:val="left"/>
          <w:tab w:leader="none" w:pos="4760" w:val="left"/>
          <w:tab w:leader="none" w:pos="10200" w:val="left"/>
        </w:tabs>
        <w:rPr>
          <w:sz w:val="20"/>
          <w:szCs w:val="20"/>
          <w:color w:val="auto"/>
        </w:rPr>
      </w:pPr>
      <w:r>
        <w:rPr>
          <w:rFonts w:ascii="Times New Roman" w:cs="Times New Roman" w:eastAsia="Times New Roman" w:hAnsi="Times New Roman"/>
          <w:sz w:val="18"/>
          <w:szCs w:val="18"/>
          <w:color w:val="auto"/>
        </w:rPr>
        <w:t>registered at the close of business on the</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 as the case may be, in the case of the 2028 Notes, and on the</w:t>
      </w:r>
      <w:r>
        <w:rPr>
          <w:sz w:val="20"/>
          <w:szCs w:val="20"/>
          <w:color w:val="auto"/>
        </w:rPr>
        <w:tab/>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as the case may be, in the case of the 2049 Notes, next preceding the relevant interest payment date.</w:t>
      </w:r>
    </w:p>
    <w:p>
      <w:pPr>
        <w:spacing w:after="0" w:line="207"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date for the 2028 Notes or the 2049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All Notes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Notes will be issued in fully registered form only, in denominations of $2,000 and integral multiples of $1,000 in excess thereof.</w:t>
      </w:r>
    </w:p>
    <w:p>
      <w:pPr>
        <w:spacing w:after="0" w:line="225"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Amounts due on the respective stated maturity date of the Notes (or, in the case of the 2028 Notes and the 2049 Notes,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84"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The term “Business Day” means each Monday, Tuesday, Wednesday, Thursday and Friday (i) that is not a day on which banking institutions are authorized or obligated by law, regulation or executive order to close in the City of New York or the city in which the corporate trust office of the Trustee is located and (ii) that, in the case of (and solely in the case of) the Floating Rate Notes, is also a London business day as defined above under “—Floating Rate Notes”).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The Indenture does not limit the amount of other debt that we may incur. We may, from time to time, without the consent of the holders of the Notes, issue other debt securities under the Base Indenture in addition to</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 xml:space="preserve">the Notes. We may also, from time to time, without the consent of the holders of the Notes, increase the principal amount of the Notes that may be issued under the Indenture and issue additional Notes of any series in the future;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and, in the case of the Floating Rate Notes, may have a different initial interest reset date, initial interest reset period or initial interest determination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may not redeem the Floating Rate Notes prior to maturity.</w:t>
      </w:r>
    </w:p>
    <w:p>
      <w:pPr>
        <w:spacing w:after="0" w:line="225" w:lineRule="exact"/>
        <w:rPr>
          <w:sz w:val="20"/>
          <w:szCs w:val="20"/>
          <w:color w:val="auto"/>
        </w:rPr>
      </w:pPr>
    </w:p>
    <w:p>
      <w:pPr>
        <w:ind w:left="640"/>
        <w:spacing w:after="0"/>
        <w:tabs>
          <w:tab w:leader="none" w:pos="2820" w:val="left"/>
        </w:tabs>
        <w:rPr>
          <w:sz w:val="20"/>
          <w:szCs w:val="20"/>
          <w:color w:val="auto"/>
        </w:rPr>
      </w:pPr>
      <w:r>
        <w:rPr>
          <w:rFonts w:ascii="Times New Roman" w:cs="Times New Roman" w:eastAsia="Times New Roman" w:hAnsi="Times New Roman"/>
          <w:sz w:val="18"/>
          <w:szCs w:val="18"/>
          <w:color w:val="auto"/>
        </w:rPr>
        <w:t>At any time prior to</w:t>
      </w:r>
      <w:r>
        <w:rPr>
          <w:sz w:val="20"/>
          <w:szCs w:val="20"/>
          <w:color w:val="auto"/>
        </w:rPr>
        <w:tab/>
      </w:r>
      <w:r>
        <w:rPr>
          <w:rFonts w:ascii="Times New Roman" w:cs="Times New Roman" w:eastAsia="Times New Roman" w:hAnsi="Times New Roman"/>
          <w:sz w:val="17"/>
          <w:szCs w:val="17"/>
          <w:color w:val="auto"/>
        </w:rPr>
        <w:t>, 2028 (the date that is three months prior to their maturity date), we may, at our option, redeem some or all of the</w:t>
      </w:r>
    </w:p>
    <w:p>
      <w:pPr>
        <w:spacing w:after="0" w:line="27"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2028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2028 Notes to be redeemed; and (ii) as determined by us, the sum of the present values of the remaining scheduled payments of principal and interest on the 2028 Notes to be redeemed (not including any portion of payments of interest accrued as of the applicable redemption date), discounted to the applicable redemption date on a semi-annual basis at a rate equal to the sum of the Treasury Rate plus basis points.</w:t>
      </w:r>
    </w:p>
    <w:p>
      <w:pPr>
        <w:spacing w:after="0" w:line="18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8"/>
          <w:szCs w:val="18"/>
          <w:color w:val="auto"/>
        </w:rPr>
        <w:t>On or after</w:t>
      </w:r>
      <w:r>
        <w:rPr>
          <w:sz w:val="20"/>
          <w:szCs w:val="20"/>
          <w:color w:val="auto"/>
        </w:rPr>
        <w:tab/>
      </w:r>
      <w:r>
        <w:rPr>
          <w:rFonts w:ascii="Times New Roman" w:cs="Times New Roman" w:eastAsia="Times New Roman" w:hAnsi="Times New Roman"/>
          <w:sz w:val="17"/>
          <w:szCs w:val="17"/>
          <w:color w:val="auto"/>
        </w:rPr>
        <w:t>, 2028 (the date that is three months prior to their maturity date) we may, at our option, redeem some or all of the 2028 Notes</w:t>
      </w:r>
    </w:p>
    <w:p>
      <w:pPr>
        <w:spacing w:after="0" w:line="27" w:lineRule="exact"/>
        <w:rPr>
          <w:sz w:val="20"/>
          <w:szCs w:val="20"/>
          <w:color w:val="auto"/>
        </w:rPr>
      </w:pPr>
    </w:p>
    <w:p>
      <w:pPr>
        <w:ind w:left="200" w:right="440"/>
        <w:spacing w:after="0" w:line="261" w:lineRule="auto"/>
        <w:rPr>
          <w:sz w:val="20"/>
          <w:szCs w:val="20"/>
          <w:color w:val="auto"/>
        </w:rPr>
      </w:pPr>
      <w:r>
        <w:rPr>
          <w:rFonts w:ascii="Times New Roman" w:cs="Times New Roman" w:eastAsia="Times New Roman" w:hAnsi="Times New Roman"/>
          <w:sz w:val="18"/>
          <w:szCs w:val="18"/>
          <w:color w:val="auto"/>
        </w:rPr>
        <w:t>at any time and from time to time at a redemption price equal to 100% of the principal amount of the 2028 Notes to be redeemed, plus accrued and unpaid interest thereon to, but not including, the applicable redemption date.</w:t>
      </w:r>
    </w:p>
    <w:p>
      <w:pPr>
        <w:spacing w:after="0" w:line="180"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18"/>
          <w:szCs w:val="18"/>
          <w:color w:val="auto"/>
        </w:rPr>
        <w:t>At any time prior to</w:t>
      </w:r>
      <w:r>
        <w:rPr>
          <w:sz w:val="20"/>
          <w:szCs w:val="20"/>
          <w:color w:val="auto"/>
        </w:rPr>
        <w:tab/>
      </w:r>
      <w:r>
        <w:rPr>
          <w:rFonts w:ascii="Times New Roman" w:cs="Times New Roman" w:eastAsia="Times New Roman" w:hAnsi="Times New Roman"/>
          <w:sz w:val="17"/>
          <w:szCs w:val="17"/>
          <w:color w:val="auto"/>
        </w:rPr>
        <w:t>, 2048 (the date that is six months prior to their maturity date), we may, at our option, redeem some or all of the</w:t>
      </w:r>
    </w:p>
    <w:p>
      <w:pPr>
        <w:spacing w:after="0" w:line="27" w:lineRule="exact"/>
        <w:rPr>
          <w:sz w:val="20"/>
          <w:szCs w:val="20"/>
          <w:color w:val="auto"/>
        </w:rPr>
      </w:pPr>
    </w:p>
    <w:p>
      <w:pPr>
        <w:ind w:left="200"/>
        <w:spacing w:after="0" w:line="250" w:lineRule="auto"/>
        <w:rPr>
          <w:sz w:val="20"/>
          <w:szCs w:val="20"/>
          <w:color w:val="auto"/>
        </w:rPr>
      </w:pPr>
      <w:r>
        <w:rPr>
          <w:rFonts w:ascii="Times New Roman" w:cs="Times New Roman" w:eastAsia="Times New Roman" w:hAnsi="Times New Roman"/>
          <w:sz w:val="18"/>
          <w:szCs w:val="18"/>
          <w:color w:val="auto"/>
        </w:rPr>
        <w:t>2049 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2049 Notes to be redeemed; and (ii) as determined by us, the sum of the present values of the remaining scheduled payments of principal and interest on the 2049 Notes to be redeemed (not including any portion of payments of interest accrued as of the applicable redemption date), discounted to the applicable</w:t>
      </w:r>
    </w:p>
    <w:p>
      <w:pPr>
        <w:spacing w:after="0" w:line="2" w:lineRule="exact"/>
        <w:rPr>
          <w:sz w:val="20"/>
          <w:szCs w:val="20"/>
          <w:color w:val="auto"/>
        </w:rPr>
      </w:pPr>
    </w:p>
    <w:p>
      <w:pPr>
        <w:ind w:left="200"/>
        <w:spacing w:after="0"/>
        <w:tabs>
          <w:tab w:leader="none" w:pos="7180" w:val="left"/>
        </w:tabs>
        <w:rPr>
          <w:sz w:val="20"/>
          <w:szCs w:val="20"/>
          <w:color w:val="auto"/>
        </w:rPr>
      </w:pPr>
      <w:r>
        <w:rPr>
          <w:rFonts w:ascii="Times New Roman" w:cs="Times New Roman" w:eastAsia="Times New Roman" w:hAnsi="Times New Roman"/>
          <w:sz w:val="18"/>
          <w:szCs w:val="18"/>
          <w:color w:val="auto"/>
        </w:rPr>
        <w:t>redemption date on a semi-annual basis at a rate equal to the sum of the Treasury Rate plus</w:t>
      </w:r>
      <w:r>
        <w:rPr>
          <w:sz w:val="20"/>
          <w:szCs w:val="20"/>
          <w:color w:val="auto"/>
        </w:rPr>
        <w:tab/>
      </w:r>
      <w:r>
        <w:rPr>
          <w:rFonts w:ascii="Times New Roman" w:cs="Times New Roman" w:eastAsia="Times New Roman" w:hAnsi="Times New Roman"/>
          <w:sz w:val="18"/>
          <w:szCs w:val="18"/>
          <w:color w:val="auto"/>
        </w:rPr>
        <w:t>basis points.</w:t>
      </w:r>
    </w:p>
    <w:p>
      <w:pPr>
        <w:spacing w:after="0" w:line="207" w:lineRule="exact"/>
        <w:rPr>
          <w:sz w:val="20"/>
          <w:szCs w:val="20"/>
          <w:color w:val="auto"/>
        </w:rPr>
      </w:pPr>
    </w:p>
    <w:p>
      <w:pPr>
        <w:ind w:left="640"/>
        <w:spacing w:after="0"/>
        <w:tabs>
          <w:tab w:leader="none" w:pos="2360" w:val="left"/>
        </w:tabs>
        <w:rPr>
          <w:sz w:val="20"/>
          <w:szCs w:val="20"/>
          <w:color w:val="auto"/>
        </w:rPr>
      </w:pPr>
      <w:r>
        <w:rPr>
          <w:rFonts w:ascii="Times New Roman" w:cs="Times New Roman" w:eastAsia="Times New Roman" w:hAnsi="Times New Roman"/>
          <w:sz w:val="18"/>
          <w:szCs w:val="18"/>
          <w:color w:val="auto"/>
        </w:rPr>
        <w:t>On or after</w:t>
      </w:r>
      <w:r>
        <w:rPr>
          <w:sz w:val="20"/>
          <w:szCs w:val="20"/>
          <w:color w:val="auto"/>
        </w:rPr>
        <w:tab/>
      </w:r>
      <w:r>
        <w:rPr>
          <w:rFonts w:ascii="Times New Roman" w:cs="Times New Roman" w:eastAsia="Times New Roman" w:hAnsi="Times New Roman"/>
          <w:sz w:val="17"/>
          <w:szCs w:val="17"/>
          <w:color w:val="auto"/>
        </w:rPr>
        <w:t>, 2048 (the date that is six months prior to their maturity date) we may, at our option, redeem some or all of the 2049</w:t>
      </w:r>
    </w:p>
    <w:p>
      <w:pPr>
        <w:spacing w:after="0" w:line="27" w:lineRule="exact"/>
        <w:rPr>
          <w:sz w:val="20"/>
          <w:szCs w:val="20"/>
          <w:color w:val="auto"/>
        </w:rPr>
      </w:pPr>
    </w:p>
    <w:p>
      <w:pPr>
        <w:ind w:left="200" w:right="280"/>
        <w:spacing w:after="0" w:line="261" w:lineRule="auto"/>
        <w:rPr>
          <w:sz w:val="20"/>
          <w:szCs w:val="20"/>
          <w:color w:val="auto"/>
        </w:rPr>
      </w:pPr>
      <w:r>
        <w:rPr>
          <w:rFonts w:ascii="Times New Roman" w:cs="Times New Roman" w:eastAsia="Times New Roman" w:hAnsi="Times New Roman"/>
          <w:sz w:val="18"/>
          <w:szCs w:val="18"/>
          <w:color w:val="auto"/>
        </w:rPr>
        <w:t>Notes at any time and from time to time at a redemption price equal to 100% of the principal amount of the 2049 Notes to be redeemed, plus accrued and unpaid interest thereon to, but not including, the applicable redemption date.</w:t>
      </w:r>
    </w:p>
    <w:p>
      <w:pPr>
        <w:spacing w:after="0" w:line="18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6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260" w:firstLine="44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as determined by us,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74" w:lineRule="exact"/>
        <w:rPr>
          <w:sz w:val="20"/>
          <w:szCs w:val="20"/>
          <w:color w:val="auto"/>
        </w:rPr>
      </w:pPr>
    </w:p>
    <w:p>
      <w:pPr>
        <w:ind w:left="200" w:right="18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with respect to the 2028 Notes and the 2049 Notes, (i) each of Barclays Capital Inc., Deutsche Bank Securities Inc. and SG Americas Securities,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80" w:lineRule="exact"/>
        <w:rPr>
          <w:sz w:val="20"/>
          <w:szCs w:val="20"/>
          <w:color w:val="auto"/>
        </w:rPr>
      </w:pPr>
    </w:p>
    <w:p>
      <w:pPr>
        <w:ind w:left="200" w:right="80" w:firstLine="44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Reference Treasury Dealer Quotations</w:t>
      </w:r>
      <w:r>
        <w:rPr>
          <w:rFonts w:ascii="Times New Roman" w:cs="Times New Roman" w:eastAsia="Times New Roman" w:hAnsi="Times New Roman"/>
          <w:sz w:val="17"/>
          <w:szCs w:val="17"/>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56" w:lineRule="exact"/>
        <w:rPr>
          <w:sz w:val="20"/>
          <w:szCs w:val="20"/>
          <w:color w:val="auto"/>
        </w:rPr>
      </w:pPr>
    </w:p>
    <w:p>
      <w:pPr>
        <w:ind w:left="200" w:right="80" w:firstLine="44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We will give notice of any redemption, mailed not less than 30 days nor more than 60 days before the applicable redemption date, to each holder of the 2028 Notes or the 2049 Notes to be redeemed at such holder’s email address or physical address appearing in the security register of such Notes. If we redeem less than all of the series of the 2028 Notes or the 2049 Notes, the Trustee will select the particular Notes of such series to be redeemed by lot, on a pro rata basis or by another method the Trustee deems fair and appropriate.</w:t>
      </w:r>
    </w:p>
    <w:p>
      <w:pPr>
        <w:spacing w:after="0" w:line="180"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Unless we default in the payment of the redemption price, on and after the applicable redemption date, interest will cease to accrue on the 2028 Notes or the 2049 Notes or portions of such Notes called for redemption.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following definitions shall be applicable to the covenants specified below:</w:t>
      </w:r>
    </w:p>
    <w:p>
      <w:pPr>
        <w:spacing w:after="0" w:line="225"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260" w:firstLine="44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xml:space="preserve">” means, on the date of determination, total assets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225"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Manufacturing Subsidiary</w:t>
      </w:r>
      <w:r>
        <w:rPr>
          <w:rFonts w:ascii="Times New Roman" w:cs="Times New Roman" w:eastAsia="Times New Roman" w:hAnsi="Times New Roman"/>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83"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80" w:lineRule="exact"/>
        <w:rPr>
          <w:sz w:val="20"/>
          <w:szCs w:val="20"/>
          <w:color w:val="auto"/>
        </w:rPr>
      </w:pPr>
    </w:p>
    <w:p>
      <w:pPr>
        <w:ind w:left="200" w:right="1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Limitation on Liens. </w:t>
      </w:r>
      <w:r>
        <w:rPr>
          <w:rFonts w:ascii="Times New Roman" w:cs="Times New Roman" w:eastAsia="Times New Roman" w:hAnsi="Times New Roman"/>
          <w:sz w:val="18"/>
          <w:szCs w:val="18"/>
          <w:color w:val="auto"/>
        </w:rPr>
        <w:t>For the benefit of the Notes, we will not, nor will we permit any Manufacturing Subsidiary to, issue or assume any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131" w:lineRule="exact"/>
        <w:rPr>
          <w:sz w:val="20"/>
          <w:szCs w:val="20"/>
          <w:color w:val="auto"/>
        </w:rPr>
      </w:pPr>
    </w:p>
    <w:p>
      <w:pPr>
        <w:ind w:left="1060" w:right="220" w:hanging="424"/>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424"/>
        <w:spacing w:after="0" w:line="261"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130" w:lineRule="exact"/>
        <w:rPr>
          <w:rFonts w:ascii="Times New Roman" w:cs="Times New Roman" w:eastAsia="Times New Roman" w:hAnsi="Times New Roman"/>
          <w:sz w:val="18"/>
          <w:szCs w:val="18"/>
          <w:color w:val="auto"/>
        </w:rPr>
      </w:pPr>
    </w:p>
    <w:p>
      <w:pPr>
        <w:ind w:left="1060" w:right="80" w:hanging="424"/>
        <w:spacing w:after="0" w:line="266"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81" w:lineRule="exact"/>
        <w:rPr>
          <w:rFonts w:ascii="Times New Roman" w:cs="Times New Roman" w:eastAsia="Times New Roman" w:hAnsi="Times New Roman"/>
          <w:sz w:val="18"/>
          <w:szCs w:val="18"/>
          <w:color w:val="auto"/>
        </w:rPr>
      </w:pPr>
    </w:p>
    <w:p>
      <w:pPr>
        <w:ind w:left="1060" w:right="120" w:hanging="424"/>
        <w:spacing w:after="0" w:line="258"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89"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issuance of the Notes; or</w:t>
      </w:r>
    </w:p>
    <w:p>
      <w:pPr>
        <w:spacing w:after="0" w:line="130" w:lineRule="exact"/>
        <w:rPr>
          <w:rFonts w:ascii="Times New Roman" w:cs="Times New Roman" w:eastAsia="Times New Roman" w:hAnsi="Times New Roman"/>
          <w:sz w:val="18"/>
          <w:szCs w:val="18"/>
          <w:color w:val="auto"/>
        </w:rPr>
      </w:pPr>
    </w:p>
    <w:p>
      <w:pPr>
        <w:ind w:left="1060" w:right="120" w:hanging="424"/>
        <w:spacing w:after="0" w:line="258"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2"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Limitation on Sales and Lease-Backs. </w:t>
      </w:r>
      <w:r>
        <w:rPr>
          <w:rFonts w:ascii="Times New Roman" w:cs="Times New Roman" w:eastAsia="Times New Roman" w:hAnsi="Times New Roman"/>
          <w:sz w:val="18"/>
          <w:szCs w:val="18"/>
          <w:color w:val="auto"/>
        </w:rPr>
        <w:t>For the benefit of the Notes, we will not, nor will we permit any Manufacturing Subsidiary to, enter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87" w:lineRule="exact"/>
        <w:rPr>
          <w:sz w:val="20"/>
          <w:szCs w:val="20"/>
          <w:color w:val="auto"/>
        </w:rPr>
      </w:pPr>
    </w:p>
    <w:p>
      <w:pPr>
        <w:ind w:left="1060" w:right="20" w:hanging="424"/>
        <w:spacing w:after="0" w:line="255"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94" w:lineRule="exact"/>
        <w:rPr>
          <w:rFonts w:ascii="Times New Roman" w:cs="Times New Roman" w:eastAsia="Times New Roman" w:hAnsi="Times New Roman"/>
          <w:sz w:val="18"/>
          <w:szCs w:val="18"/>
          <w:color w:val="auto"/>
        </w:rPr>
      </w:pPr>
    </w:p>
    <w:p>
      <w:pPr>
        <w:ind w:left="1060" w:right="140" w:hanging="424"/>
        <w:spacing w:after="0" w:line="261"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24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82" w:lineRule="auto"/>
        <w:rPr>
          <w:sz w:val="20"/>
          <w:szCs w:val="20"/>
          <w:color w:val="auto"/>
        </w:rPr>
      </w:pPr>
      <w:r>
        <w:rPr>
          <w:rFonts w:ascii="Times New Roman" w:cs="Times New Roman" w:eastAsia="Times New Roman" w:hAnsi="Times New Roman"/>
          <w:sz w:val="18"/>
          <w:szCs w:val="18"/>
          <w:color w:val="auto"/>
        </w:rPr>
        <w:t>months after the date of the creation of such Debt, or (ii) the purchase, construction or development by us or a Manufacturing Subsidiary of other comparable property.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 —Satisfaction, Discharge and Covenant Defeasance” in the accompanying prospectus are satisfied.</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 FEDERAL TAX CONSIDERATIONS</w:t>
      </w:r>
    </w:p>
    <w:p>
      <w:pPr>
        <w:spacing w:after="0" w:line="229"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84"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8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76" w:lineRule="exact"/>
        <w:rPr>
          <w:sz w:val="20"/>
          <w:szCs w:val="20"/>
          <w:color w:val="auto"/>
        </w:rPr>
      </w:pPr>
    </w:p>
    <w:p>
      <w:pPr>
        <w:ind w:left="200"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7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88"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The term “Non-U.S. Holder” means a beneficial owner of a Note that is, for U.S. federal income tax purposes, an individual, corporation, estate or trust that is not a U.S. Holder. For purposes of this “Material U.S. Federal Tax Considerations” section only, the term “Holder” means a U.S. Holder or a Non-U.S. Holder (as those terms are defined herein).</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00"/>
          </w:cols>
          <w:pgMar w:left="24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Original Issue Discount</w:t>
      </w:r>
    </w:p>
    <w:p>
      <w:pPr>
        <w:spacing w:after="0" w:line="119"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color w:val="auto"/>
        </w:rPr>
        <w:t xml:space="preserve">The Notes are expected to be issued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OID for U.S. federal income tax purposes. However, if the stated principal amount of any series of Notes exceeds their issue price (as defined above) by at least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 and Disposition of Notes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Subject to the discussion below:</w:t>
      </w:r>
    </w:p>
    <w:p>
      <w:pPr>
        <w:spacing w:after="0" w:line="131" w:lineRule="exact"/>
        <w:rPr>
          <w:sz w:val="20"/>
          <w:szCs w:val="20"/>
          <w:color w:val="auto"/>
        </w:rPr>
      </w:pPr>
    </w:p>
    <w:p>
      <w:pPr>
        <w:ind w:left="1060" w:right="300" w:hanging="42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to a Non-U.S. Holder (which, for purposes of this discussion of Non-U.S. Holders, includes any accrued OID) with respect to a Note generally will not be subject to U.S. federal income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80"/>
          </w:cols>
          <w:pgMar w:left="24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60"/>
        <w:spacing w:after="0" w:line="281" w:lineRule="auto"/>
        <w:rPr>
          <w:sz w:val="20"/>
          <w:szCs w:val="20"/>
          <w:color w:val="auto"/>
        </w:rPr>
      </w:pPr>
      <w:r>
        <w:rPr>
          <w:rFonts w:ascii="Times New Roman" w:cs="Times New Roman" w:eastAsia="Times New Roman" w:hAnsi="Times New Roman"/>
          <w:sz w:val="17"/>
          <w:szCs w:val="17"/>
          <w:color w:val="auto"/>
        </w:rPr>
        <w:t>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70" w:lineRule="exact"/>
        <w:rPr>
          <w:sz w:val="20"/>
          <w:szCs w:val="20"/>
          <w:color w:val="auto"/>
        </w:rPr>
      </w:pPr>
    </w:p>
    <w:p>
      <w:pPr>
        <w:ind w:left="1060" w:right="120" w:hanging="424"/>
        <w:spacing w:after="0" w:line="261"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80"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0" w:lineRule="exact"/>
        <w:rPr>
          <w:sz w:val="20"/>
          <w:szCs w:val="20"/>
          <w:color w:val="auto"/>
        </w:rPr>
      </w:pPr>
    </w:p>
    <w:p>
      <w:pPr>
        <w:ind w:left="200" w:right="280" w:firstLine="441"/>
        <w:spacing w:after="0" w:line="261"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80"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85"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Provisions in the Code commonly referred to as “FATCA” impose withholding of 30% on payments of interest on the Notes and (for dispositions after December 31, 2018)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withheld by filing a U.S. federal income tax return (which may entail a significant administrative burden). Prospective investors should consult their tax advisers regarding the effects of FATCA on their investment in the Notes.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80"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 Federal Estate Tax</w:t>
      </w:r>
    </w:p>
    <w:p>
      <w:pPr>
        <w:spacing w:after="0" w:line="121" w:lineRule="exact"/>
        <w:rPr>
          <w:sz w:val="20"/>
          <w:szCs w:val="20"/>
          <w:color w:val="auto"/>
        </w:rPr>
      </w:pPr>
    </w:p>
    <w:p>
      <w:pPr>
        <w:jc w:val="both"/>
        <w:ind w:left="200" w:right="180" w:firstLine="441"/>
        <w:spacing w:after="0" w:line="272" w:lineRule="auto"/>
        <w:rPr>
          <w:sz w:val="20"/>
          <w:szCs w:val="20"/>
          <w:color w:val="auto"/>
        </w:rPr>
      </w:pPr>
      <w:r>
        <w:rPr>
          <w:rFonts w:ascii="Times New Roman" w:cs="Times New Roman" w:eastAsia="Times New Roman" w:hAnsi="Times New Roman"/>
          <w:sz w:val="17"/>
          <w:szCs w:val="17"/>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w:t>
      </w:r>
    </w:p>
    <w:p>
      <w:pPr>
        <w:spacing w:after="0" w:line="2" w:lineRule="exact"/>
        <w:rPr>
          <w:sz w:val="20"/>
          <w:szCs w:val="20"/>
          <w:color w:val="auto"/>
        </w:rPr>
      </w:pPr>
    </w:p>
    <w:p>
      <w:pPr>
        <w:ind w:left="200" w:right="360" w:firstLine="4"/>
        <w:spacing w:after="0" w:line="261" w:lineRule="auto"/>
        <w:tabs>
          <w:tab w:leader="none" w:pos="4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treated as interest earned on the Note are not effectively connected with the conduct of a trade or business in the United States by such Non-U.S. Holder.</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60"/>
          </w:cols>
          <w:pgMar w:left="240" w:top="455" w:right="4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200" w:right="260" w:firstLine="441"/>
        <w:spacing w:after="0" w:line="289" w:lineRule="auto"/>
        <w:rPr>
          <w:sz w:val="20"/>
          <w:szCs w:val="20"/>
          <w:color w:val="auto"/>
        </w:rPr>
      </w:pPr>
      <w:r>
        <w:rPr>
          <w:rFonts w:ascii="Times New Roman" w:cs="Times New Roman" w:eastAsia="Times New Roman" w:hAnsi="Times New Roman"/>
          <w:sz w:val="17"/>
          <w:szCs w:val="17"/>
          <w:color w:val="auto"/>
        </w:rPr>
        <w:t>Subject to the terms and conditions stated in the underwriting agreement dated the date of this prospectus supplement, each underwriter named below, for whom Barclays Capital Inc., Deutsche Bank Securities Inc. and SG Americas Securities, LLC are acting as representatives, have severally agreed to purchase, and we have agreed to sell to each underwriter, the principal amount of the Notes set forth opposite the underwriter’s name.</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40" w:type="dxa"/>
            <w:vAlign w:val="bottom"/>
          </w:tcPr>
          <w:p>
            <w:pPr>
              <w:spacing w:after="0"/>
              <w:rPr>
                <w:sz w:val="13"/>
                <w:szCs w:val="13"/>
                <w:color w:val="auto"/>
              </w:rPr>
            </w:pP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8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Floating</w:t>
            </w:r>
          </w:p>
        </w:tc>
        <w:tc>
          <w:tcPr>
            <w:tcW w:w="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80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8"/>
              </w:rPr>
              <w:t>Rate Notes</w:t>
            </w:r>
          </w:p>
        </w:tc>
        <w:tc>
          <w:tcPr>
            <w:tcW w:w="640" w:type="dxa"/>
            <w:vAlign w:val="bottom"/>
          </w:tcPr>
          <w:p>
            <w:pPr>
              <w:spacing w:after="0"/>
              <w:rPr>
                <w:sz w:val="15"/>
                <w:szCs w:val="15"/>
                <w:color w:val="auto"/>
              </w:rPr>
            </w:pPr>
          </w:p>
        </w:tc>
        <w:tc>
          <w:tcPr>
            <w:tcW w:w="8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9"/>
              </w:rPr>
              <w:t>of 2028 Notes</w:t>
            </w:r>
          </w:p>
        </w:tc>
        <w:tc>
          <w:tcPr>
            <w:tcW w:w="640" w:type="dxa"/>
            <w:vAlign w:val="bottom"/>
          </w:tcPr>
          <w:p>
            <w:pPr>
              <w:spacing w:after="0"/>
              <w:rPr>
                <w:sz w:val="15"/>
                <w:szCs w:val="15"/>
                <w:color w:val="auto"/>
              </w:rPr>
            </w:pPr>
          </w:p>
        </w:tc>
        <w:tc>
          <w:tcPr>
            <w:tcW w:w="8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of 2049 Notes</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80" w:lineRule="exact"/>
        <w:rPr>
          <w:sz w:val="20"/>
          <w:szCs w:val="20"/>
          <w:color w:val="auto"/>
        </w:rPr>
      </w:pPr>
    </w:p>
    <w:p>
      <w:pPr>
        <w:ind w:left="200" w:right="340" w:firstLine="441"/>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 of the principal</w:t>
      </w:r>
    </w:p>
    <w:p>
      <w:pPr>
        <w:ind w:left="200" w:right="140"/>
        <w:spacing w:after="0" w:line="250" w:lineRule="auto"/>
        <w:rPr>
          <w:sz w:val="20"/>
          <w:szCs w:val="20"/>
          <w:color w:val="auto"/>
        </w:rPr>
      </w:pPr>
      <w:r>
        <w:rPr>
          <w:rFonts w:ascii="Times New Roman" w:cs="Times New Roman" w:eastAsia="Times New Roman" w:hAnsi="Times New Roman"/>
          <w:sz w:val="18"/>
          <w:szCs w:val="18"/>
          <w:color w:val="auto"/>
        </w:rPr>
        <w:t>amount of the Floating Rate Notes, % of the principal amount of the 2028 Notes and % of the principal amount of the 2049 Notes. In addition, the underwriters may allow, and those selected dealers may reallow, a concession of up to % of the principal amount of the Floating Rate Notes, % of</w:t>
      </w:r>
    </w:p>
    <w:p>
      <w:pPr>
        <w:spacing w:after="0" w:line="1" w:lineRule="exact"/>
        <w:rPr>
          <w:sz w:val="20"/>
          <w:szCs w:val="20"/>
          <w:color w:val="auto"/>
        </w:rPr>
      </w:pPr>
    </w:p>
    <w:p>
      <w:pPr>
        <w:ind w:left="200" w:right="180"/>
        <w:spacing w:after="0" w:line="254" w:lineRule="auto"/>
        <w:rPr>
          <w:sz w:val="20"/>
          <w:szCs w:val="20"/>
          <w:color w:val="auto"/>
        </w:rPr>
      </w:pPr>
      <w:r>
        <w:rPr>
          <w:rFonts w:ascii="Times New Roman" w:cs="Times New Roman" w:eastAsia="Times New Roman" w:hAnsi="Times New Roman"/>
          <w:sz w:val="18"/>
          <w:szCs w:val="18"/>
          <w:color w:val="auto"/>
        </w:rPr>
        <w:t>the principal amount of the 2028 Notes and % of the principal amount of the 2049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86"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80"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00"/>
          </w:cols>
          <w:pgMar w:left="24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Floating Rate Note (expressed as a percentage)</w:t>
            </w: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8"/>
                <w:szCs w:val="18"/>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2028 Note (expressed as a percentage)</w:t>
            </w: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8"/>
                <w:szCs w:val="18"/>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2049 Note (expressed as a percentage)</w:t>
            </w:r>
          </w:p>
        </w:tc>
        <w:tc>
          <w:tcPr>
            <w:tcW w:w="10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20"/>
                <w:szCs w:val="20"/>
                <w:color w:val="auto"/>
              </w:rPr>
            </w:pPr>
          </w:p>
        </w:tc>
        <w:tc>
          <w:tcPr>
            <w:tcW w:w="22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r>
      <w:tr>
        <w:trPr>
          <w:trHeight w:val="396"/>
        </w:trPr>
        <w:tc>
          <w:tcPr>
            <w:tcW w:w="107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We estimate that our portion of the total expenses of the offering, exclusive of the underwriter discounts payable by us in the offering and</w:t>
            </w: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reimbursements of certain expenses incurred in connection with the offering, will be $</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7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w:t>
            </w:r>
          </w:p>
        </w:tc>
        <w:tc>
          <w:tcPr>
            <w:tcW w:w="3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 2018, which will be the third business</w:t>
            </w:r>
          </w:p>
        </w:tc>
      </w:tr>
    </w:tbl>
    <w:p>
      <w:pPr>
        <w:ind w:left="200"/>
        <w:spacing w:after="0" w:line="253" w:lineRule="auto"/>
        <w:rPr>
          <w:sz w:val="20"/>
          <w:szCs w:val="20"/>
          <w:color w:val="auto"/>
        </w:rPr>
      </w:pPr>
      <w:r>
        <w:rPr>
          <w:rFonts w:ascii="Times New Roman" w:cs="Times New Roman" w:eastAsia="Times New Roman" w:hAnsi="Times New Roman"/>
          <w:sz w:val="18"/>
          <w:szCs w:val="18"/>
          <w:color w:val="auto"/>
        </w:rPr>
        <w:t>day following the date of pricing of the Notes (such settlement cycle being referred to herein as “T+3”). Under Rule 15c6-1 of the Exchange Act, trades in the secondary market generally are required to settle in two business days, unless the parties to any such trade expressly agree otherwise. Accordingly, purchasers who wish to trade the Notes on the date of pricing or the next succeeding business day will be required, by virtue of the fact that the Notes initially will settle in T+3, to specify an alternate settlement cycle at the time of any such trade to prevent a failed settlement. Purchasers of the Notes who wish to trade those Notes on the date of pricing should consult their own advisor.</w:t>
      </w:r>
    </w:p>
    <w:p>
      <w:pPr>
        <w:spacing w:after="0" w:line="187"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60" w:right="30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60" w:right="30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6"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24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Times New Roman" w:cs="Times New Roman" w:eastAsia="Times New Roman" w:hAnsi="Times New Roman"/>
          <w:sz w:val="18"/>
          <w:szCs w:val="18"/>
          <w:color w:val="auto"/>
        </w:rPr>
        <w:t>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85"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particular, one or more of the underwriters or their respective affiliates may hold a portion of our 3.500% senior notes due 2018, for which they will be entitled to receive a pro rata portion of the proceeds of this offering that is used to finance the repayment of such notes.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For these purposes,</w:t>
      </w:r>
    </w:p>
    <w:p>
      <w:pPr>
        <w:spacing w:after="0" w:line="67" w:lineRule="exact"/>
        <w:rPr>
          <w:sz w:val="20"/>
          <w:szCs w:val="20"/>
          <w:color w:val="auto"/>
        </w:rPr>
      </w:pPr>
    </w:p>
    <w:p>
      <w:pPr>
        <w:ind w:left="1060" w:hanging="42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investor means a person who is one (or more) of:</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w:t>
      </w:r>
    </w:p>
    <w:p>
      <w:pPr>
        <w:spacing w:after="0" w:line="130" w:lineRule="exact"/>
        <w:rPr>
          <w:rFonts w:ascii="Times New Roman" w:cs="Times New Roman" w:eastAsia="Times New Roman" w:hAnsi="Times New Roman"/>
          <w:sz w:val="18"/>
          <w:szCs w:val="18"/>
          <w:color w:val="auto"/>
        </w:rPr>
      </w:pPr>
    </w:p>
    <w:p>
      <w:pPr>
        <w:ind w:left="1620" w:hanging="538"/>
        <w:spacing w:after="0" w:line="282"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2002/92/EC, where that customer would not qualify as a professional client as defined in point (10) of Article 4(1) of MiFID II; or</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the Prospectus Directive; and</w:t>
      </w:r>
    </w:p>
    <w:p>
      <w:pPr>
        <w:spacing w:after="0" w:line="130" w:lineRule="exact"/>
        <w:rPr>
          <w:rFonts w:ascii="Times New Roman" w:cs="Times New Roman" w:eastAsia="Times New Roman" w:hAnsi="Times New Roman"/>
          <w:sz w:val="18"/>
          <w:szCs w:val="18"/>
          <w:color w:val="auto"/>
        </w:rPr>
      </w:pPr>
    </w:p>
    <w:p>
      <w:pPr>
        <w:ind w:left="1060" w:right="80" w:hanging="424"/>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62"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This prospectus supplement and the accompanying prospectus have been prepared on the basis that any offer of Notes in any Member State of the European Economic Area will be made pursuant to an exemption under the Prospectus Directive from the requirement to publish a prospectus for offers of Notes. This prospectus supplement and the accompanying prospectus are not a prospectus for the purposes of the Prospectus Directive.</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00"/>
          </w:cols>
          <w:pgMar w:left="24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For purposes of this provision, the expression “Prospectus Directive” means Directive 2003/71/EC (including Directive 2010/73/EU) and includes any relevant implementing measure in any Member State of the European Economic Area.</w:t>
      </w:r>
    </w:p>
    <w:p>
      <w:pPr>
        <w:spacing w:after="0" w:line="266"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center"/>
        <w:ind w:right="632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60" w:right="220" w:hanging="424"/>
        <w:spacing w:after="0" w:line="261"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Notes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1060" w:right="140" w:hanging="42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any Notes in, from or otherwise involving the United Kingdom.</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60" w:right="140" w:hanging="316"/>
        <w:spacing w:after="0" w:line="261"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85" w:lineRule="exact"/>
        <w:rPr>
          <w:rFonts w:ascii="Times New Roman" w:cs="Times New Roman" w:eastAsia="Times New Roman" w:hAnsi="Times New Roman"/>
          <w:sz w:val="18"/>
          <w:szCs w:val="18"/>
          <w:color w:val="auto"/>
        </w:rPr>
      </w:pPr>
    </w:p>
    <w:p>
      <w:pPr>
        <w:ind w:left="1060" w:right="40" w:hanging="316"/>
        <w:spacing w:after="0" w:line="258"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00"/>
          </w:cols>
          <w:pgMar w:left="24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24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Skadden, Arps, Slate, Meagher &amp; Flom LLP. Certain legal matters will be passed upon for the underwriters by Davis Polk &amp; Wardwell LLP.</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tc>
        <w:tc>
          <w:tcPr>
            <w:tcW w:w="6860" w:type="dxa"/>
            <w:vAlign w:val="bottom"/>
            <w:gridSpan w:val="3"/>
          </w:tcPr>
          <w:p>
            <w:pPr>
              <w:ind w:left="412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91"/>
        </w:trPr>
        <w:tc>
          <w:tcPr>
            <w:tcW w:w="2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Annual Report on Form 10-K</w:t>
            </w:r>
          </w:p>
        </w:tc>
        <w:tc>
          <w:tcPr>
            <w:tcW w:w="1820" w:type="dxa"/>
            <w:vAlign w:val="bottom"/>
          </w:tcPr>
          <w:p>
            <w:pPr>
              <w:spacing w:after="0"/>
              <w:rPr>
                <w:sz w:val="16"/>
                <w:szCs w:val="16"/>
                <w:color w:val="auto"/>
              </w:rPr>
            </w:pPr>
          </w:p>
        </w:tc>
        <w:tc>
          <w:tcPr>
            <w:tcW w:w="4120" w:type="dxa"/>
            <w:vAlign w:val="bottom"/>
          </w:tcPr>
          <w:p>
            <w:pPr>
              <w:ind w:left="1740"/>
              <w:spacing w:after="0" w:line="191" w:lineRule="exact"/>
              <w:rPr>
                <w:sz w:val="20"/>
                <w:szCs w:val="20"/>
                <w:color w:val="auto"/>
              </w:rPr>
            </w:pPr>
            <w:r>
              <w:rPr>
                <w:rFonts w:ascii="Times New Roman" w:cs="Times New Roman" w:eastAsia="Times New Roman" w:hAnsi="Times New Roman"/>
                <w:sz w:val="18"/>
                <w:szCs w:val="18"/>
                <w:color w:val="auto"/>
              </w:rPr>
              <w:t>Year ended December 31, 2017</w:t>
            </w:r>
          </w:p>
        </w:tc>
        <w:tc>
          <w:tcPr>
            <w:tcW w:w="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(filed</w:t>
            </w: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with the SEC on February 6,</w:t>
            </w:r>
          </w:p>
        </w:tc>
      </w:tr>
      <w:tr>
        <w:trPr>
          <w:trHeight w:val="234"/>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0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68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Quarter ended March 31, 2018 (filed with the SEC on April 26, 2018)</w:t>
            </w:r>
          </w:p>
        </w:tc>
      </w:tr>
      <w:tr>
        <w:trPr>
          <w:trHeight w:val="234"/>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w w:val="99"/>
              </w:rPr>
              <w:t>and Quarter ended June 30, 2018 (filed with the SEC on July 25, 2018)</w:t>
            </w:r>
          </w:p>
        </w:tc>
      </w:tr>
      <w:tr>
        <w:trPr>
          <w:trHeight w:val="30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68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Dates filed: September 29, 2017 (as amended on February 12, 2018),</w:t>
            </w: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February 13, 2018, March 2, 2018, April 19, 2018 (as amended on</w:t>
            </w: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June 12, 2018), April 20, 2018, May 31, 2018, June 14, 2018, June 15,</w:t>
            </w:r>
          </w:p>
        </w:tc>
      </w:tr>
      <w:tr>
        <w:trPr>
          <w:trHeight w:val="234"/>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2018, July 26, 2018 and August 20, 2018.</w:t>
            </w:r>
          </w:p>
        </w:tc>
      </w:tr>
    </w:tbl>
    <w:p>
      <w:pPr>
        <w:spacing w:after="0" w:line="198"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Rick E. Hansen, Assistant General Counsel and Corporate Secretary, at the following address and telephone number:</w:t>
      </w:r>
    </w:p>
    <w:p>
      <w:pPr>
        <w:spacing w:after="0" w:line="6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00"/>
          </w:cols>
          <w:pgMar w:left="24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11 Wall Street, New York, New York 10005, where our common stock is listed.</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80"/>
          </w:cols>
          <w:pgMar w:left="24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174625</wp:posOffset>
            </wp:positionV>
            <wp:extent cx="986155" cy="986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GENERAL MOTORS COMPANY</w:t>
      </w:r>
    </w:p>
    <w:p>
      <w:pPr>
        <w:spacing w:after="0" w:line="2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177165</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we may offer from time to time:</w:t>
      </w:r>
    </w:p>
    <w:p>
      <w:pPr>
        <w:spacing w:after="0" w:line="252" w:lineRule="exact"/>
        <w:rPr>
          <w:sz w:val="20"/>
          <w:szCs w:val="20"/>
          <w:color w:val="auto"/>
        </w:rPr>
      </w:pPr>
    </w:p>
    <w:p>
      <w:pPr>
        <w:ind w:left="1300" w:hanging="21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252"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252"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252"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252"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left="200" w:right="340" w:firstLine="771"/>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 and on the Toronto Stock Exchange under the symbol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“GMM.”</w:t>
      </w:r>
    </w:p>
    <w:p>
      <w:pPr>
        <w:spacing w:after="0" w:line="207" w:lineRule="exact"/>
        <w:rPr>
          <w:sz w:val="20"/>
          <w:szCs w:val="20"/>
          <w:color w:val="auto"/>
        </w:rPr>
      </w:pPr>
    </w:p>
    <w:p>
      <w:pPr>
        <w:ind w:left="200" w:right="420" w:firstLine="771"/>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0" w:right="120" w:firstLine="771"/>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our securities involves risk. See “</w:t>
      </w:r>
      <w:hyperlink w:anchor="page39">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156845</wp:posOffset>
            </wp:positionV>
            <wp:extent cx="14662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0" w:firstLine="77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date of this prospectus is February 7, 2017.</w:t>
      </w:r>
    </w:p>
    <w:p>
      <w:pPr>
        <w:sectPr>
          <w:pgSz w:w="11900" w:h="16838" w:orient="portrait"/>
          <w:cols w:equalWidth="0" w:num="1">
            <w:col w:w="11200"/>
          </w:cols>
          <w:pgMar w:left="240" w:top="455" w:right="4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0140" w:type="dxa"/>
            <w:vAlign w:val="bottom"/>
            <w:gridSpan w:val="2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040" w:type="dxa"/>
            <w:vAlign w:val="bottom"/>
          </w:tcPr>
          <w:p>
            <w:pPr>
              <w:spacing w:after="0"/>
              <w:rPr>
                <w:sz w:val="17"/>
                <w:szCs w:val="17"/>
                <w:color w:val="auto"/>
              </w:rPr>
            </w:pPr>
          </w:p>
        </w:tc>
      </w:tr>
      <w:tr>
        <w:trPr>
          <w:trHeight w:val="493"/>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2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40" w:type="dxa"/>
            <w:vAlign w:val="bottom"/>
          </w:tcPr>
          <w:p>
            <w:pPr>
              <w:spacing w:after="0"/>
              <w:rPr>
                <w:sz w:val="24"/>
                <w:szCs w:val="24"/>
                <w:color w:val="auto"/>
              </w:rPr>
            </w:pPr>
          </w:p>
        </w:tc>
      </w:tr>
      <w:tr>
        <w:trPr>
          <w:trHeight w:val="439"/>
        </w:trPr>
        <w:tc>
          <w:tcPr>
            <w:tcW w:w="20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ABOUT THIS PROSPECTUS</w:t>
              </w:r>
            </w:hyperlink>
          </w:p>
        </w:tc>
        <w:tc>
          <w:tcPr>
            <w:tcW w:w="2320" w:type="dxa"/>
            <w:vAlign w:val="bottom"/>
            <w:gridSpan w:val="8"/>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346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INCORPORATION OF CERTAIN DOCUMENTS BY REFERENCE</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20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RISK FACTORS</w:t>
              </w:r>
            </w:hyperlink>
          </w:p>
        </w:tc>
        <w:tc>
          <w:tcPr>
            <w:tcW w:w="3800" w:type="dxa"/>
            <w:vAlign w:val="bottom"/>
            <w:tcBorders>
              <w:top w:val="single" w:sz="8" w:color="0000EE"/>
            </w:tcBorders>
            <w:gridSpan w:val="14"/>
          </w:tcPr>
          <w:p>
            <w:pPr>
              <w:spacing w:after="0"/>
              <w:rPr>
                <w:sz w:val="24"/>
                <w:szCs w:val="24"/>
                <w:color w:val="auto"/>
              </w:rPr>
            </w:pPr>
          </w:p>
        </w:tc>
        <w:tc>
          <w:tcPr>
            <w:tcW w:w="488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GENERAL MOTORS COMPANY</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RATIO OF EARNINGS TO FIXED CHARGES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RATIO OF EARNINGS TO COMBINED FIXED CHARGES AND PREFERRED STOCK DIVIDENDS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200" w:type="dxa"/>
            <w:vAlign w:val="bottom"/>
          </w:tcPr>
          <w:p>
            <w:pPr>
              <w:spacing w:after="0"/>
              <w:rPr>
                <w:sz w:val="24"/>
                <w:szCs w:val="24"/>
                <w:color w:val="auto"/>
              </w:rPr>
            </w:pPr>
          </w:p>
        </w:tc>
        <w:tc>
          <w:tcPr>
            <w:tcW w:w="908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USE OF PROCEEDS</w:t>
              </w:r>
            </w:hyperlink>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FORWARD-LOOKING STATEMENTS</w:t>
              </w:r>
            </w:hyperlink>
          </w:p>
        </w:tc>
        <w:tc>
          <w:tcPr>
            <w:tcW w:w="700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0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OVERVIEW OF OUR CAPITAL STOCK</w:t>
              </w:r>
            </w:hyperlink>
          </w:p>
        </w:tc>
        <w:tc>
          <w:tcPr>
            <w:tcW w:w="686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200" w:type="dxa"/>
            <w:vAlign w:val="bottom"/>
          </w:tcPr>
          <w:p>
            <w:pPr>
              <w:spacing w:after="0"/>
              <w:rPr>
                <w:sz w:val="24"/>
                <w:szCs w:val="24"/>
                <w:color w:val="auto"/>
              </w:rPr>
            </w:pPr>
          </w:p>
        </w:tc>
        <w:tc>
          <w:tcPr>
            <w:tcW w:w="54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GENERAL DESCRIPTION OF SECURITIES THAT MAY BE OFFERED</w:t>
              </w:r>
            </w:hyperlink>
          </w:p>
        </w:tc>
        <w:tc>
          <w:tcPr>
            <w:tcW w:w="446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DESCRIPTION OF DEBT SECURITIES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DESCRIPTION OF PREFERRED STOCK</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20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DESCRIPTION OF COMMON STOCK</w:t>
              </w:r>
            </w:hyperlink>
          </w:p>
        </w:tc>
        <w:tc>
          <w:tcPr>
            <w:tcW w:w="120" w:type="dxa"/>
            <w:vAlign w:val="bottom"/>
            <w:tcBorders>
              <w:top w:val="single" w:sz="8" w:color="0000EE"/>
            </w:tcBorders>
            <w:gridSpan w:val="2"/>
          </w:tcPr>
          <w:p>
            <w:pPr>
              <w:spacing w:after="0"/>
              <w:rPr>
                <w:sz w:val="24"/>
                <w:szCs w:val="24"/>
                <w:color w:val="auto"/>
              </w:rPr>
            </w:pPr>
          </w:p>
        </w:tc>
        <w:tc>
          <w:tcPr>
            <w:tcW w:w="680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DESCRIPTION OF WARRANTS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20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7460" w:type="dxa"/>
            <w:vAlign w:val="bottom"/>
            <w:gridSpan w:val="1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200" w:type="dxa"/>
            <w:vAlign w:val="bottom"/>
          </w:tcPr>
          <w:p>
            <w:pPr>
              <w:spacing w:after="0"/>
              <w:rPr>
                <w:sz w:val="24"/>
                <w:szCs w:val="24"/>
                <w:color w:val="auto"/>
              </w:rPr>
            </w:pPr>
          </w:p>
        </w:tc>
        <w:tc>
          <w:tcPr>
            <w:tcW w:w="14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LEGAL MATTERS</w:t>
              </w:r>
            </w:hyperlink>
          </w:p>
        </w:tc>
        <w:tc>
          <w:tcPr>
            <w:tcW w:w="8480" w:type="dxa"/>
            <w:vAlign w:val="bottom"/>
            <w:gridSpan w:val="17"/>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200" w:type="dxa"/>
            <w:vAlign w:val="bottom"/>
          </w:tcPr>
          <w:p>
            <w:pPr>
              <w:spacing w:after="0"/>
              <w:rPr>
                <w:sz w:val="24"/>
                <w:szCs w:val="24"/>
                <w:color w:val="auto"/>
              </w:rPr>
            </w:pPr>
          </w:p>
        </w:tc>
        <w:tc>
          <w:tcPr>
            <w:tcW w:w="78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EXPERTS</w:t>
              </w:r>
            </w:hyperlink>
          </w:p>
        </w:tc>
        <w:tc>
          <w:tcPr>
            <w:tcW w:w="9160" w:type="dxa"/>
            <w:vAlign w:val="bottom"/>
            <w:gridSpan w:val="20"/>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200" w:type="dxa"/>
            <w:vAlign w:val="bottom"/>
          </w:tcPr>
          <w:p>
            <w:pPr>
              <w:spacing w:after="0"/>
              <w:rPr>
                <w:sz w:val="24"/>
                <w:szCs w:val="24"/>
                <w:color w:val="auto"/>
              </w:rPr>
            </w:pPr>
          </w:p>
        </w:tc>
        <w:tc>
          <w:tcPr>
            <w:tcW w:w="9940" w:type="dxa"/>
            <w:vAlign w:val="bottom"/>
            <w:gridSpan w:val="21"/>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WHERE YOU CAN FIND MORE INFORMATION</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85"/>
        </w:trPr>
        <w:tc>
          <w:tcPr>
            <w:tcW w:w="20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60" w:type="dxa"/>
            <w:vAlign w:val="bottom"/>
            <w:gridSpan w:val="3"/>
          </w:tcPr>
          <w:p>
            <w:pPr>
              <w:jc w:val="center"/>
              <w:ind w:right="4400"/>
              <w:spacing w:after="0"/>
              <w:rPr>
                <w:sz w:val="20"/>
                <w:szCs w:val="20"/>
                <w:color w:val="auto"/>
              </w:rPr>
            </w:pPr>
            <w:r>
              <w:rPr>
                <w:rFonts w:ascii="Times New Roman" w:cs="Times New Roman" w:eastAsia="Times New Roman" w:hAnsi="Times New Roman"/>
                <w:sz w:val="18"/>
                <w:szCs w:val="18"/>
                <w:color w:val="auto"/>
              </w:rPr>
              <w:t>i</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right="60" w:firstLine="771"/>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200" w:right="60" w:firstLine="771"/>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left="200" w:firstLine="771"/>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200" w:firstLine="771"/>
        <w:spacing w:after="0" w:line="255" w:lineRule="auto"/>
        <w:rPr>
          <w:sz w:val="20"/>
          <w:szCs w:val="20"/>
          <w:color w:val="auto"/>
        </w:rPr>
      </w:pPr>
      <w:r>
        <w:rPr>
          <w:rFonts w:ascii="Times New Roman" w:cs="Times New Roman" w:eastAsia="Times New Roman" w:hAnsi="Times New Roman"/>
          <w:sz w:val="18"/>
          <w:szCs w:val="18"/>
          <w:color w:val="auto"/>
        </w:rPr>
        <w:t xml:space="preserve">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220"/>
          </w:cols>
          <w:pgMar w:left="240" w:top="455" w:right="439" w:bottom="1440" w:gutter="0" w:footer="0" w:header="0"/>
        </w:sectPr>
      </w:pPr>
    </w:p>
    <w:p>
      <w:pPr>
        <w:spacing w:after="0" w:line="212" w:lineRule="exact"/>
        <w:rPr>
          <w:sz w:val="20"/>
          <w:szCs w:val="20"/>
          <w:color w:val="auto"/>
        </w:rPr>
      </w:pPr>
    </w:p>
    <w:p>
      <w:pPr>
        <w:ind w:left="200" w:right="11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GM SEC Filings (File No. 001-34960) </w:t>
      </w:r>
      <w:r>
        <w:rPr>
          <w:rFonts w:ascii="Times New Roman" w:cs="Times New Roman" w:eastAsia="Times New Roman" w:hAnsi="Times New Roman"/>
          <w:sz w:val="18"/>
          <w:szCs w:val="18"/>
          <w:color w:val="auto"/>
        </w:rPr>
        <w:t>Annual Report on Form 10-K Current Report on Form 8-K</w:t>
      </w:r>
    </w:p>
    <w:p>
      <w:pPr>
        <w:ind w:left="200"/>
        <w:spacing w:after="0" w:line="255" w:lineRule="auto"/>
        <w:rPr>
          <w:sz w:val="20"/>
          <w:szCs w:val="20"/>
          <w:color w:val="auto"/>
        </w:rPr>
      </w:pPr>
      <w:r>
        <w:rPr>
          <w:rFonts w:ascii="Times New Roman" w:cs="Times New Roman" w:eastAsia="Times New Roman" w:hAnsi="Times New Roman"/>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ended December 31, 2016 (filed with the SEC on February 7, 2017)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filed: January 10, 2017 (with respect to Item 8.01 only)</w:t>
      </w:r>
    </w:p>
    <w:p>
      <w:pPr>
        <w:spacing w:after="0" w:line="854" w:lineRule="exact"/>
        <w:rPr>
          <w:sz w:val="20"/>
          <w:szCs w:val="20"/>
          <w:color w:val="auto"/>
        </w:rPr>
      </w:pPr>
    </w:p>
    <w:p>
      <w:pPr>
        <w:sectPr>
          <w:pgSz w:w="11900" w:h="16838" w:orient="portrait"/>
          <w:cols w:equalWidth="0" w:num="2">
            <w:col w:w="4200" w:space="520"/>
            <w:col w:w="6500"/>
          </w:cols>
          <w:pgMar w:left="240" w:top="455" w:right="439" w:bottom="1440" w:gutter="0" w:footer="0" w:header="0"/>
          <w:type w:val="continuous"/>
        </w:sectPr>
      </w:pPr>
    </w:p>
    <w:p>
      <w:pPr>
        <w:ind w:left="200" w:right="420" w:firstLine="771"/>
        <w:spacing w:after="0" w:line="266"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(313) 556-5000</w:t>
      </w:r>
    </w:p>
    <w:p>
      <w:pPr>
        <w:spacing w:after="0" w:line="207" w:lineRule="exact"/>
        <w:rPr>
          <w:sz w:val="20"/>
          <w:szCs w:val="20"/>
          <w:color w:val="auto"/>
        </w:rPr>
      </w:pPr>
    </w:p>
    <w:p>
      <w:pPr>
        <w:ind w:left="200" w:right="300" w:firstLine="771"/>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right="20" w:firstLine="771"/>
        <w:spacing w:after="0" w:line="261" w:lineRule="auto"/>
        <w:rPr>
          <w:sz w:val="20"/>
          <w:szCs w:val="20"/>
          <w:color w:val="auto"/>
        </w:rPr>
      </w:pPr>
      <w:r>
        <w:rPr>
          <w:rFonts w:ascii="Times New Roman" w:cs="Times New Roman" w:eastAsia="Times New Roman" w:hAnsi="Times New Roman"/>
          <w:sz w:val="18"/>
          <w:szCs w:val="18"/>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jc w:val="both"/>
        <w:ind w:left="200" w:right="720" w:firstLine="771"/>
        <w:spacing w:after="0" w:line="313" w:lineRule="auto"/>
        <w:rPr>
          <w:sz w:val="20"/>
          <w:szCs w:val="20"/>
          <w:color w:val="auto"/>
        </w:rPr>
      </w:pPr>
      <w:r>
        <w:rPr>
          <w:rFonts w:ascii="Times New Roman" w:cs="Times New Roman" w:eastAsia="Times New Roman" w:hAnsi="Times New Roman"/>
          <w:sz w:val="17"/>
          <w:szCs w:val="17"/>
          <w:color w:val="auto"/>
        </w:rPr>
        <w:t>General Motors Company was incorporated as a Delaware corporation in 2009.We design, build and sell cars, trucks, crossovers and automobile parts worldwide. We also provide automotive financing services through General Motors Financial Company, Inc. (GM Financial).</w:t>
      </w:r>
    </w:p>
    <w:p>
      <w:pPr>
        <w:spacing w:after="0" w:line="138" w:lineRule="exact"/>
        <w:rPr>
          <w:sz w:val="20"/>
          <w:szCs w:val="20"/>
          <w:color w:val="auto"/>
        </w:rPr>
      </w:pPr>
    </w:p>
    <w:p>
      <w:pPr>
        <w:ind w:left="200" w:right="100" w:firstLine="771"/>
        <w:spacing w:after="0" w:line="282"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automotive segments: GM North America (GMNA), GM Europe (GME), GM International Operations (GMIO) and GM South America (GMSA).</w:t>
      </w:r>
    </w:p>
    <w:p>
      <w:pPr>
        <w:spacing w:after="0" w:line="162" w:lineRule="exact"/>
        <w:rPr>
          <w:sz w:val="20"/>
          <w:szCs w:val="20"/>
          <w:color w:val="auto"/>
        </w:rPr>
      </w:pPr>
    </w:p>
    <w:p>
      <w:pPr>
        <w:ind w:left="200" w:right="20" w:firstLine="771"/>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8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RATIO OF EARNINGS TO FIXED CHARGES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consolidated ratio of our earnings to fixed charges for each of the periods indicated:</w:t>
      </w: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1860" w:type="dxa"/>
        <w:tblCellMar>
          <w:top w:w="0" w:type="dxa"/>
          <w:left w:w="0" w:type="dxa"/>
          <w:bottom w:w="0" w:type="dxa"/>
          <w:right w:w="0" w:type="dxa"/>
        </w:tblCellMar>
      </w:tblPr>
      <w:tr>
        <w:trPr>
          <w:trHeight w:val="156"/>
        </w:trPr>
        <w:tc>
          <w:tcPr>
            <w:tcW w:w="1620" w:type="dxa"/>
            <w:vAlign w:val="bottom"/>
            <w:tcBorders>
              <w:top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560" w:type="dxa"/>
            <w:vAlign w:val="bottom"/>
            <w:tcBorders>
              <w:top w:val="single" w:sz="8" w:color="auto"/>
            </w:tcBorders>
            <w:gridSpan w:val="2"/>
          </w:tcPr>
          <w:p>
            <w:pPr>
              <w:jc w:val="right"/>
              <w:ind w:right="47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540" w:type="dxa"/>
            <w:vAlign w:val="bottom"/>
            <w:tcBorders>
              <w:top w:val="single" w:sz="8" w:color="auto"/>
            </w:tcBorders>
            <w:gridSpan w:val="2"/>
          </w:tcPr>
          <w:p>
            <w:pPr>
              <w:jc w:val="right"/>
              <w:ind w:right="45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540" w:type="dxa"/>
            <w:vAlign w:val="bottom"/>
            <w:tcBorders>
              <w:top w:val="single" w:sz="8" w:color="auto"/>
            </w:tcBorders>
            <w:gridSpan w:val="2"/>
          </w:tcPr>
          <w:p>
            <w:pPr>
              <w:jc w:val="right"/>
              <w:ind w:right="470"/>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440" w:type="dxa"/>
            <w:vAlign w:val="bottom"/>
            <w:tcBorders>
              <w:top w:val="single" w:sz="8" w:color="auto"/>
            </w:tcBorders>
            <w:gridSpan w:val="2"/>
          </w:tcPr>
          <w:p>
            <w:pPr>
              <w:jc w:val="right"/>
              <w:ind w:right="410"/>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210"/>
        </w:trPr>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420" w:hanging="436"/>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3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left="200" w:right="260" w:firstLine="77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consolidated ratio of our earnings to combined fixed charges and preferred stock dividends for each of the periods indicated:</w:t>
      </w:r>
    </w:p>
    <w:p>
      <w:pPr>
        <w:spacing w:after="0" w:line="1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220" w:type="dxa"/>
        <w:tblCellMar>
          <w:top w:w="0" w:type="dxa"/>
          <w:left w:w="0" w:type="dxa"/>
          <w:bottom w:w="0" w:type="dxa"/>
          <w:right w:w="0" w:type="dxa"/>
        </w:tblCellMar>
      </w:tblPr>
      <w:tr>
        <w:trPr>
          <w:trHeight w:val="156"/>
        </w:trPr>
        <w:tc>
          <w:tcPr>
            <w:tcW w:w="2320" w:type="dxa"/>
            <w:vAlign w:val="bottom"/>
            <w:tcBorders>
              <w:top w:val="single" w:sz="8" w:color="auto"/>
            </w:tcBorders>
          </w:tcPr>
          <w:p>
            <w:pPr>
              <w:jc w:val="right"/>
              <w:ind w:right="9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right"/>
              <w:ind w:right="75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jc w:val="right"/>
              <w:ind w:right="77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0" w:type="dxa"/>
            <w:vAlign w:val="bottom"/>
            <w:tcBorders>
              <w:top w:val="single" w:sz="8" w:color="auto"/>
            </w:tcBorders>
            <w:gridSpan w:val="2"/>
          </w:tcPr>
          <w:p>
            <w:pPr>
              <w:jc w:val="right"/>
              <w:ind w:right="770"/>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080" w:type="dxa"/>
            <w:vAlign w:val="bottom"/>
            <w:tcBorders>
              <w:top w:val="single" w:sz="8" w:color="auto"/>
            </w:tcBorders>
            <w:gridSpan w:val="2"/>
          </w:tcPr>
          <w:p>
            <w:pPr>
              <w:jc w:val="right"/>
              <w:ind w:right="710"/>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210"/>
        </w:trPr>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tcPr>
          <w:p>
            <w:pPr>
              <w:spacing w:after="0"/>
              <w:rPr>
                <w:sz w:val="18"/>
                <w:szCs w:val="18"/>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4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r>
      <w:tr>
        <w:trPr>
          <w:trHeight w:val="20"/>
        </w:trPr>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20" w:hanging="436"/>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88" w:lineRule="exact"/>
        <w:rPr>
          <w:rFonts w:ascii="Times New Roman" w:cs="Times New Roman" w:eastAsia="Times New Roman" w:hAnsi="Times New Roman"/>
          <w:sz w:val="18"/>
          <w:szCs w:val="18"/>
          <w:color w:val="auto"/>
        </w:rPr>
      </w:pPr>
    </w:p>
    <w:p>
      <w:pPr>
        <w:ind w:left="640" w:right="580" w:hanging="436"/>
        <w:spacing w:after="0" w:line="313"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200" w:right="60" w:firstLine="771"/>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85" w:lineRule="exact"/>
        <w:rPr>
          <w:sz w:val="20"/>
          <w:szCs w:val="20"/>
          <w:color w:val="auto"/>
        </w:rPr>
      </w:pPr>
    </w:p>
    <w:p>
      <w:pPr>
        <w:ind w:left="200" w:right="180" w:firstLine="771"/>
        <w:spacing w:after="0" w:line="25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88" w:lineRule="exact"/>
        <w:rPr>
          <w:sz w:val="20"/>
          <w:szCs w:val="20"/>
          <w:color w:val="auto"/>
        </w:rPr>
      </w:pPr>
    </w:p>
    <w:p>
      <w:pPr>
        <w:ind w:left="200" w:firstLine="771"/>
        <w:spacing w:after="0" w:line="256"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121" w:lineRule="exact"/>
        <w:rPr>
          <w:sz w:val="20"/>
          <w:szCs w:val="20"/>
          <w:color w:val="auto"/>
        </w:rPr>
      </w:pPr>
    </w:p>
    <w:p>
      <w:pPr>
        <w:ind w:left="200" w:firstLine="771"/>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68" w:lineRule="exact"/>
        <w:rPr>
          <w:sz w:val="20"/>
          <w:szCs w:val="20"/>
          <w:color w:val="auto"/>
        </w:rPr>
      </w:pPr>
    </w:p>
    <w:p>
      <w:pPr>
        <w:jc w:val="both"/>
        <w:ind w:left="200" w:right="280" w:firstLine="771"/>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200" w:right="60" w:firstLine="771"/>
        <w:spacing w:after="0" w:line="282" w:lineRule="auto"/>
        <w:rPr>
          <w:sz w:val="20"/>
          <w:szCs w:val="20"/>
          <w:color w:val="auto"/>
        </w:rPr>
      </w:pPr>
      <w:r>
        <w:rPr>
          <w:rFonts w:ascii="Times New Roman" w:cs="Times New Roman" w:eastAsia="Times New Roman" w:hAnsi="Times New Roman"/>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left="200" w:right="220" w:firstLine="771"/>
        <w:spacing w:after="0" w:line="266" w:lineRule="auto"/>
        <w:rPr>
          <w:sz w:val="20"/>
          <w:szCs w:val="20"/>
          <w:color w:val="auto"/>
        </w:rPr>
      </w:pPr>
      <w:r>
        <w:rPr>
          <w:rFonts w:ascii="Times New Roman" w:cs="Times New Roman" w:eastAsia="Times New Roman" w:hAnsi="Times New Roman"/>
          <w:sz w:val="18"/>
          <w:szCs w:val="18"/>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68" w:lineRule="exact"/>
        <w:rPr>
          <w:sz w:val="20"/>
          <w:szCs w:val="20"/>
          <w:color w:val="auto"/>
        </w:rPr>
      </w:pPr>
    </w:p>
    <w:p>
      <w:pPr>
        <w:ind w:left="200" w:right="80" w:firstLine="771"/>
        <w:spacing w:after="0" w:line="282" w:lineRule="auto"/>
        <w:rPr>
          <w:sz w:val="20"/>
          <w:szCs w:val="20"/>
          <w:color w:val="auto"/>
        </w:rPr>
      </w:pPr>
      <w:r>
        <w:rPr>
          <w:rFonts w:ascii="Times New Roman" w:cs="Times New Roman" w:eastAsia="Times New Roman" w:hAnsi="Times New Roman"/>
          <w:sz w:val="18"/>
          <w:szCs w:val="18"/>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50" w:lineRule="exact"/>
        <w:rPr>
          <w:sz w:val="20"/>
          <w:szCs w:val="20"/>
          <w:color w:val="auto"/>
        </w:rPr>
      </w:pPr>
    </w:p>
    <w:p>
      <w:pPr>
        <w:jc w:val="center"/>
        <w:ind w:right="57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left="200" w:right="120" w:firstLine="771"/>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6" w:lineRule="exact"/>
        <w:rPr>
          <w:sz w:val="20"/>
          <w:szCs w:val="20"/>
          <w:color w:val="auto"/>
        </w:rPr>
      </w:pPr>
    </w:p>
    <w:p>
      <w:pPr>
        <w:ind w:left="1300" w:hanging="21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117" w:lineRule="exact"/>
        <w:rPr>
          <w:sz w:val="20"/>
          <w:szCs w:val="20"/>
          <w:color w:val="auto"/>
        </w:rPr>
      </w:pPr>
    </w:p>
    <w:p>
      <w:pPr>
        <w:ind w:left="200" w:right="220" w:firstLine="771"/>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ind w:left="200" w:right="120" w:firstLine="771"/>
        <w:spacing w:after="0" w:line="261" w:lineRule="auto"/>
        <w:rPr>
          <w:sz w:val="20"/>
          <w:szCs w:val="20"/>
          <w:color w:val="auto"/>
        </w:rPr>
      </w:pPr>
      <w:r>
        <w:rPr>
          <w:rFonts w:ascii="Times New Roman" w:cs="Times New Roman" w:eastAsia="Times New Roman" w:hAnsi="Times New Roman"/>
          <w:sz w:val="18"/>
          <w:szCs w:val="18"/>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200" w:right="140" w:firstLine="771"/>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of the outstanding shares of all classes of shares entitled to vote at such a meeting, subject to requirements and limitations set forth in our Bylaws.</w:t>
      </w:r>
    </w:p>
    <w:p>
      <w:pPr>
        <w:spacing w:after="0" w:line="117" w:lineRule="exact"/>
        <w:rPr>
          <w:sz w:val="20"/>
          <w:szCs w:val="20"/>
          <w:color w:val="auto"/>
        </w:rPr>
      </w:pPr>
    </w:p>
    <w:p>
      <w:pPr>
        <w:ind w:left="200" w:right="240" w:firstLine="771"/>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ind w:left="200" w:right="420" w:firstLine="771"/>
        <w:spacing w:after="0" w:line="266"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68" w:lineRule="exact"/>
        <w:rPr>
          <w:sz w:val="20"/>
          <w:szCs w:val="20"/>
          <w:color w:val="auto"/>
        </w:rPr>
      </w:pPr>
    </w:p>
    <w:p>
      <w:pPr>
        <w:ind w:left="200" w:right="60" w:firstLine="771"/>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left="200" w:firstLine="771"/>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left="200" w:right="20" w:firstLine="771"/>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200" w:right="300" w:firstLine="771"/>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2" w:lineRule="exact"/>
        <w:rPr>
          <w:sz w:val="20"/>
          <w:szCs w:val="20"/>
          <w:color w:val="auto"/>
        </w:rPr>
      </w:pPr>
    </w:p>
    <w:p>
      <w:pPr>
        <w:ind w:left="1300" w:right="400" w:hanging="218"/>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300" w:right="200" w:hanging="218"/>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300" w:right="20" w:hanging="218"/>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68" w:lineRule="exact"/>
        <w:rPr>
          <w:sz w:val="20"/>
          <w:szCs w:val="20"/>
          <w:color w:val="auto"/>
        </w:rPr>
      </w:pPr>
    </w:p>
    <w:p>
      <w:pPr>
        <w:ind w:left="200" w:right="260" w:firstLine="771"/>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68" w:lineRule="exact"/>
        <w:rPr>
          <w:sz w:val="20"/>
          <w:szCs w:val="20"/>
          <w:color w:val="auto"/>
        </w:rPr>
      </w:pPr>
    </w:p>
    <w:p>
      <w:pPr>
        <w:jc w:val="both"/>
        <w:ind w:left="200" w:firstLine="771"/>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252" w:lineRule="exact"/>
        <w:rPr>
          <w:sz w:val="20"/>
          <w:szCs w:val="20"/>
          <w:color w:val="auto"/>
        </w:rPr>
      </w:pPr>
    </w:p>
    <w:p>
      <w:pPr>
        <w:ind w:left="1300" w:hanging="21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200" w:right="100" w:firstLine="771"/>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200" w:right="140" w:firstLine="771"/>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4" w:lineRule="exact"/>
        <w:rPr>
          <w:sz w:val="20"/>
          <w:szCs w:val="20"/>
          <w:color w:val="auto"/>
        </w:rPr>
      </w:pPr>
    </w:p>
    <w:p>
      <w:pPr>
        <w:ind w:left="200" w:firstLine="771"/>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4" w:lineRule="exact"/>
        <w:rPr>
          <w:sz w:val="20"/>
          <w:szCs w:val="20"/>
          <w:color w:val="auto"/>
        </w:rPr>
      </w:pPr>
    </w:p>
    <w:p>
      <w:pPr>
        <w:ind w:left="200" w:right="80" w:firstLine="771"/>
        <w:spacing w:after="0" w:line="261" w:lineRule="auto"/>
        <w:rPr>
          <w:sz w:val="20"/>
          <w:szCs w:val="20"/>
          <w:color w:val="auto"/>
        </w:rPr>
      </w:pPr>
      <w:r>
        <w:rPr>
          <w:rFonts w:ascii="Times New Roman" w:cs="Times New Roman" w:eastAsia="Times New Roman" w:hAnsi="Times New Roman"/>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left="200" w:right="60" w:firstLine="771"/>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4" w:lineRule="exact"/>
        <w:rPr>
          <w:sz w:val="20"/>
          <w:szCs w:val="20"/>
          <w:color w:val="auto"/>
        </w:rPr>
      </w:pPr>
    </w:p>
    <w:p>
      <w:pPr>
        <w:ind w:left="200" w:right="620" w:firstLine="771"/>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300" w:hanging="21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jc w:val="center"/>
        <w:ind w:left="5660" w:right="780" w:hanging="4578"/>
        <w:spacing w:after="0" w:line="454" w:lineRule="auto"/>
        <w:tabs>
          <w:tab w:leader="none" w:pos="12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 7</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300" w:right="340" w:hanging="21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300" w:right="100" w:hanging="21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67" w:lineRule="exact"/>
        <w:rPr>
          <w:rFonts w:ascii="Times New Roman" w:cs="Times New Roman" w:eastAsia="Times New Roman" w:hAnsi="Times New Roman"/>
          <w:sz w:val="18"/>
          <w:szCs w:val="18"/>
          <w:color w:val="auto"/>
        </w:rPr>
      </w:pPr>
    </w:p>
    <w:p>
      <w:pPr>
        <w:ind w:left="1300" w:right="60" w:hanging="218"/>
        <w:spacing w:after="0" w:line="261"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300" w:right="60" w:hanging="21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300" w:right="300" w:hanging="21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300" w:hanging="218"/>
        <w:spacing w:after="0" w:line="261"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300" w:right="280" w:hanging="21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300" w:right="120" w:hanging="218"/>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300" w:hanging="21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117" w:lineRule="exact"/>
        <w:rPr>
          <w:sz w:val="20"/>
          <w:szCs w:val="20"/>
          <w:color w:val="auto"/>
        </w:rPr>
      </w:pPr>
    </w:p>
    <w:p>
      <w:pPr>
        <w:ind w:left="200" w:right="340" w:firstLine="771"/>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left="200" w:right="600" w:firstLine="771"/>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 (i) either:</w:t>
      </w:r>
    </w:p>
    <w:p>
      <w:pPr>
        <w:spacing w:after="0" w:line="67" w:lineRule="exact"/>
        <w:rPr>
          <w:sz w:val="20"/>
          <w:szCs w:val="20"/>
          <w:color w:val="auto"/>
        </w:rPr>
      </w:pPr>
    </w:p>
    <w:p>
      <w:pPr>
        <w:ind w:left="1300" w:hanging="21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27" w:lineRule="exact"/>
        <w:rPr>
          <w:rFonts w:ascii="Times New Roman" w:cs="Times New Roman" w:eastAsia="Times New Roman" w:hAnsi="Times New Roman"/>
          <w:sz w:val="18"/>
          <w:szCs w:val="18"/>
          <w:color w:val="auto"/>
        </w:rPr>
      </w:pPr>
    </w:p>
    <w:p>
      <w:pPr>
        <w:ind w:left="1300" w:right="440" w:hanging="218"/>
        <w:spacing w:after="0" w:line="281"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debt securities of such series not previously delivered to the trustee for cancellation (i) have become due and payable (whether at stated maturity, early redemption or otherwise), (ii) will become due and</w:t>
      </w:r>
    </w:p>
    <w:p>
      <w:pPr>
        <w:spacing w:after="0" w:line="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640"/>
        <w:spacing w:after="0" w:line="252" w:lineRule="auto"/>
        <w:rPr>
          <w:sz w:val="20"/>
          <w:szCs w:val="20"/>
          <w:color w:val="auto"/>
        </w:rPr>
      </w:pPr>
      <w:r>
        <w:rPr>
          <w:rFonts w:ascii="Times New Roman" w:cs="Times New Roman" w:eastAsia="Times New Roman" w:hAnsi="Times New Roman"/>
          <w:sz w:val="17"/>
          <w:szCs w:val="17"/>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101" w:lineRule="exact"/>
        <w:rPr>
          <w:sz w:val="20"/>
          <w:szCs w:val="20"/>
          <w:color w:val="auto"/>
        </w:rPr>
      </w:pPr>
    </w:p>
    <w:p>
      <w:pPr>
        <w:ind w:left="1620" w:hanging="646"/>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620" w:hanging="646"/>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54" w:lineRule="exact"/>
        <w:rPr>
          <w:sz w:val="20"/>
          <w:szCs w:val="20"/>
          <w:color w:val="auto"/>
        </w:rPr>
      </w:pPr>
    </w:p>
    <w:p>
      <w:pPr>
        <w:ind w:left="200" w:right="180" w:firstLine="771"/>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6" w:lineRule="exact"/>
        <w:rPr>
          <w:sz w:val="20"/>
          <w:szCs w:val="20"/>
          <w:color w:val="auto"/>
        </w:rPr>
      </w:pPr>
    </w:p>
    <w:p>
      <w:pPr>
        <w:ind w:left="1620" w:right="120" w:hanging="646"/>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620" w:right="40" w:hanging="646"/>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5" w:lineRule="exact"/>
        <w:rPr>
          <w:rFonts w:ascii="Times New Roman" w:cs="Times New Roman" w:eastAsia="Times New Roman" w:hAnsi="Times New Roman"/>
          <w:sz w:val="18"/>
          <w:szCs w:val="18"/>
          <w:color w:val="auto"/>
        </w:rPr>
      </w:pPr>
    </w:p>
    <w:p>
      <w:pPr>
        <w:ind w:left="1620" w:hanging="646"/>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620" w:hanging="646"/>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17" w:lineRule="exact"/>
        <w:rPr>
          <w:sz w:val="20"/>
          <w:szCs w:val="20"/>
          <w:color w:val="auto"/>
        </w:rPr>
      </w:pPr>
    </w:p>
    <w:p>
      <w:pPr>
        <w:ind w:left="200" w:right="20" w:firstLine="771"/>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620" w:hanging="646"/>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2060" w:right="300" w:hanging="208"/>
        <w:spacing w:after="0" w:line="282" w:lineRule="auto"/>
        <w:tabs>
          <w:tab w:leader="none" w:pos="20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dollars (or such other currency or composite currency in which such debt securities are denominated) in an amount sufficient;</w:t>
      </w:r>
    </w:p>
    <w:p>
      <w:pPr>
        <w:spacing w:after="0" w:line="67" w:lineRule="exact"/>
        <w:rPr>
          <w:rFonts w:ascii="Times New Roman" w:cs="Times New Roman" w:eastAsia="Times New Roman" w:hAnsi="Times New Roman"/>
          <w:sz w:val="18"/>
          <w:szCs w:val="18"/>
          <w:color w:val="auto"/>
        </w:rPr>
      </w:pPr>
    </w:p>
    <w:p>
      <w:pPr>
        <w:ind w:left="2060" w:right="100" w:hanging="208"/>
        <w:spacing w:after="0" w:line="282" w:lineRule="auto"/>
        <w:tabs>
          <w:tab w:leader="none" w:pos="20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67" w:lineRule="exact"/>
        <w:rPr>
          <w:rFonts w:ascii="Times New Roman" w:cs="Times New Roman" w:eastAsia="Times New Roman" w:hAnsi="Times New Roman"/>
          <w:sz w:val="18"/>
          <w:szCs w:val="18"/>
          <w:color w:val="auto"/>
        </w:rPr>
      </w:pPr>
    </w:p>
    <w:p>
      <w:pPr>
        <w:ind w:left="2060" w:hanging="208"/>
        <w:spacing w:after="0"/>
        <w:tabs>
          <w:tab w:leader="none" w:pos="20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such cash and eligible obligations in an amount sufficient,</w:t>
      </w:r>
    </w:p>
    <w:p>
      <w:pPr>
        <w:spacing w:after="0" w:line="117" w:lineRule="exact"/>
        <w:rPr>
          <w:rFonts w:ascii="Times New Roman" w:cs="Times New Roman" w:eastAsia="Times New Roman" w:hAnsi="Times New Roman"/>
          <w:sz w:val="18"/>
          <w:szCs w:val="18"/>
          <w:color w:val="auto"/>
        </w:rPr>
      </w:pPr>
    </w:p>
    <w:p>
      <w:pPr>
        <w:ind w:left="208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24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520" w:right="560"/>
        <w:spacing w:after="0" w:line="281" w:lineRule="auto"/>
        <w:rPr>
          <w:sz w:val="20"/>
          <w:szCs w:val="20"/>
          <w:color w:val="auto"/>
        </w:rPr>
      </w:pPr>
      <w:r>
        <w:rPr>
          <w:rFonts w:ascii="Times New Roman" w:cs="Times New Roman" w:eastAsia="Times New Roman" w:hAnsi="Times New Roman"/>
          <w:sz w:val="17"/>
          <w:szCs w:val="17"/>
          <w:color w:val="auto"/>
        </w:rPr>
        <w:t>securities of such series at the stated maturity or redemption date and (2) any mandatory sinking fund payments applicable to the debt securities of such series on the day on which such payments are due and payable;</w:t>
      </w:r>
    </w:p>
    <w:p>
      <w:pPr>
        <w:spacing w:after="0" w:line="69" w:lineRule="exact"/>
        <w:rPr>
          <w:sz w:val="20"/>
          <w:szCs w:val="20"/>
          <w:color w:val="auto"/>
        </w:rPr>
      </w:pPr>
    </w:p>
    <w:p>
      <w:pPr>
        <w:ind w:left="1520" w:right="20" w:hanging="546"/>
        <w:spacing w:after="0" w:line="259"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8" w:lineRule="exact"/>
        <w:rPr>
          <w:rFonts w:ascii="Times New Roman" w:cs="Times New Roman" w:eastAsia="Times New Roman" w:hAnsi="Times New Roman"/>
          <w:sz w:val="17"/>
          <w:szCs w:val="17"/>
          <w:color w:val="auto"/>
        </w:rPr>
      </w:pPr>
    </w:p>
    <w:p>
      <w:pPr>
        <w:ind w:left="1520" w:right="60" w:hanging="546"/>
        <w:spacing w:after="0" w:line="265"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7"/>
          <w:szCs w:val="17"/>
          <w:color w:val="auto"/>
        </w:rPr>
      </w:pPr>
    </w:p>
    <w:p>
      <w:pPr>
        <w:ind w:left="1520" w:right="20" w:hanging="546"/>
        <w:spacing w:after="0" w:line="281"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result in a breach or violation of, or constitute a default under, any material agreement or instrument to which we are a party or by which we are bound;</w:t>
      </w:r>
    </w:p>
    <w:p>
      <w:pPr>
        <w:spacing w:after="0" w:line="68" w:lineRule="exact"/>
        <w:rPr>
          <w:rFonts w:ascii="Times New Roman" w:cs="Times New Roman" w:eastAsia="Times New Roman" w:hAnsi="Times New Roman"/>
          <w:sz w:val="17"/>
          <w:szCs w:val="17"/>
          <w:color w:val="auto"/>
        </w:rPr>
      </w:pPr>
    </w:p>
    <w:p>
      <w:pPr>
        <w:ind w:left="1520" w:right="180" w:hanging="546"/>
        <w:spacing w:after="0" w:line="265"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7"/>
          <w:szCs w:val="17"/>
          <w:color w:val="auto"/>
        </w:rPr>
      </w:pPr>
    </w:p>
    <w:p>
      <w:pPr>
        <w:ind w:left="1520" w:right="140" w:hanging="546"/>
        <w:spacing w:after="0" w:line="281"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shall have delivered to the trustee an agreement whereby we irrevocably agree to forfeit our rights, if any, to extend the interest payment periods on such debt securities pursuant to the indenture;</w:t>
      </w:r>
    </w:p>
    <w:p>
      <w:pPr>
        <w:spacing w:after="0" w:line="68" w:lineRule="exact"/>
        <w:rPr>
          <w:rFonts w:ascii="Times New Roman" w:cs="Times New Roman" w:eastAsia="Times New Roman" w:hAnsi="Times New Roman"/>
          <w:sz w:val="17"/>
          <w:szCs w:val="17"/>
          <w:color w:val="auto"/>
        </w:rPr>
      </w:pPr>
    </w:p>
    <w:p>
      <w:pPr>
        <w:ind w:left="1520" w:right="400" w:hanging="546"/>
        <w:spacing w:after="0" w:line="265"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81" w:lineRule="exact"/>
        <w:rPr>
          <w:rFonts w:ascii="Times New Roman" w:cs="Times New Roman" w:eastAsia="Times New Roman" w:hAnsi="Times New Roman"/>
          <w:sz w:val="17"/>
          <w:szCs w:val="17"/>
          <w:color w:val="auto"/>
        </w:rPr>
      </w:pPr>
    </w:p>
    <w:p>
      <w:pPr>
        <w:ind w:left="1520" w:right="40" w:hanging="546"/>
        <w:spacing w:after="0" w:line="281"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and an opinion of counsel stating that all conditions precedent with respect to the legal defeasance or covenant defeasance have been complied with; and</w:t>
      </w:r>
    </w:p>
    <w:p>
      <w:pPr>
        <w:spacing w:after="0" w:line="68" w:lineRule="exact"/>
        <w:rPr>
          <w:rFonts w:ascii="Times New Roman" w:cs="Times New Roman" w:eastAsia="Times New Roman" w:hAnsi="Times New Roman"/>
          <w:sz w:val="17"/>
          <w:szCs w:val="17"/>
          <w:color w:val="auto"/>
        </w:rPr>
      </w:pPr>
    </w:p>
    <w:p>
      <w:pPr>
        <w:ind w:left="1520" w:right="80" w:hanging="546"/>
        <w:spacing w:after="0" w:line="256" w:lineRule="auto"/>
        <w:tabs>
          <w:tab w:leader="none" w:pos="1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Consolidation, Merger or Sale of Assets</w:t>
      </w:r>
    </w:p>
    <w:p>
      <w:pPr>
        <w:spacing w:after="0" w:line="119" w:lineRule="exact"/>
        <w:rPr>
          <w:sz w:val="20"/>
          <w:szCs w:val="20"/>
          <w:color w:val="auto"/>
        </w:rPr>
      </w:pPr>
    </w:p>
    <w:p>
      <w:pPr>
        <w:ind w:left="200" w:right="220" w:firstLine="771"/>
        <w:spacing w:after="0" w:line="281" w:lineRule="auto"/>
        <w:rPr>
          <w:sz w:val="20"/>
          <w:szCs w:val="20"/>
          <w:color w:val="auto"/>
        </w:rPr>
      </w:pPr>
      <w:r>
        <w:rPr>
          <w:rFonts w:ascii="Times New Roman" w:cs="Times New Roman" w:eastAsia="Times New Roman" w:hAnsi="Times New Roman"/>
          <w:sz w:val="17"/>
          <w:szCs w:val="17"/>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9" w:lineRule="exact"/>
        <w:rPr>
          <w:sz w:val="20"/>
          <w:szCs w:val="20"/>
          <w:color w:val="auto"/>
        </w:rPr>
      </w:pPr>
    </w:p>
    <w:p>
      <w:pPr>
        <w:ind w:left="1520" w:hanging="546"/>
        <w:spacing w:after="0" w:line="256" w:lineRule="auto"/>
        <w:tabs>
          <w:tab w:leader="none" w:pos="1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91" w:lineRule="exact"/>
        <w:rPr>
          <w:rFonts w:ascii="Times New Roman" w:cs="Times New Roman" w:eastAsia="Times New Roman" w:hAnsi="Times New Roman"/>
          <w:sz w:val="17"/>
          <w:szCs w:val="17"/>
          <w:color w:val="auto"/>
        </w:rPr>
      </w:pPr>
    </w:p>
    <w:p>
      <w:pPr>
        <w:ind w:left="1520" w:right="80" w:hanging="546"/>
        <w:spacing w:after="0" w:line="281" w:lineRule="auto"/>
        <w:tabs>
          <w:tab w:leader="none" w:pos="1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no event of default and no event that, after notice or lapse of time or both, would become an event of default, shall have occurred and be continuing; and</w:t>
      </w:r>
    </w:p>
    <w:p>
      <w:pPr>
        <w:spacing w:after="0" w:line="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520" w:right="180" w:hanging="546"/>
        <w:spacing w:after="0" w:line="265" w:lineRule="auto"/>
        <w:tabs>
          <w:tab w:leader="none" w:pos="1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ind w:left="200" w:right="60" w:firstLine="771"/>
        <w:spacing w:after="0" w:line="265" w:lineRule="auto"/>
        <w:rPr>
          <w:sz w:val="20"/>
          <w:szCs w:val="20"/>
          <w:color w:val="auto"/>
        </w:rPr>
      </w:pPr>
      <w:r>
        <w:rPr>
          <w:rFonts w:ascii="Times New Roman" w:cs="Times New Roman" w:eastAsia="Times New Roman" w:hAnsi="Times New Roman"/>
          <w:sz w:val="17"/>
          <w:szCs w:val="17"/>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Modification of the Indenture</w:t>
      </w:r>
    </w:p>
    <w:p>
      <w:pPr>
        <w:spacing w:after="0" w:line="119" w:lineRule="exact"/>
        <w:rPr>
          <w:sz w:val="20"/>
          <w:szCs w:val="20"/>
          <w:color w:val="auto"/>
        </w:rPr>
      </w:pPr>
    </w:p>
    <w:p>
      <w:pPr>
        <w:ind w:left="200" w:firstLine="771"/>
        <w:spacing w:after="0" w:line="252" w:lineRule="auto"/>
        <w:rPr>
          <w:sz w:val="20"/>
          <w:szCs w:val="20"/>
          <w:color w:val="auto"/>
        </w:rPr>
      </w:pPr>
      <w:r>
        <w:rPr>
          <w:rFonts w:ascii="Times New Roman" w:cs="Times New Roman" w:eastAsia="Times New Roman" w:hAnsi="Times New Roman"/>
          <w:sz w:val="17"/>
          <w:szCs w:val="17"/>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without the consent of the holder of each outstanding debt security so affected, no such supplemental indenture may:</w:t>
      </w:r>
    </w:p>
    <w:p>
      <w:pPr>
        <w:spacing w:after="0" w:line="97" w:lineRule="exact"/>
        <w:rPr>
          <w:sz w:val="20"/>
          <w:szCs w:val="20"/>
          <w:color w:val="auto"/>
        </w:rPr>
      </w:pPr>
    </w:p>
    <w:p>
      <w:pPr>
        <w:ind w:left="1520" w:right="40" w:hanging="546"/>
        <w:spacing w:after="0" w:line="254" w:lineRule="auto"/>
        <w:tabs>
          <w:tab w:leader="none" w:pos="15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91" w:lineRule="exact"/>
        <w:rPr>
          <w:rFonts w:ascii="Times New Roman" w:cs="Times New Roman" w:eastAsia="Times New Roman" w:hAnsi="Times New Roman"/>
          <w:sz w:val="17"/>
          <w:szCs w:val="17"/>
          <w:color w:val="auto"/>
        </w:rPr>
      </w:pPr>
    </w:p>
    <w:p>
      <w:pPr>
        <w:ind w:left="1520" w:right="260" w:hanging="546"/>
        <w:spacing w:after="0" w:line="265" w:lineRule="auto"/>
        <w:tabs>
          <w:tab w:leader="none" w:pos="15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7"/>
          <w:szCs w:val="17"/>
          <w:color w:val="auto"/>
        </w:rPr>
      </w:pPr>
    </w:p>
    <w:p>
      <w:pPr>
        <w:ind w:left="1520" w:right="140" w:hanging="546"/>
        <w:spacing w:after="0" w:line="265" w:lineRule="auto"/>
        <w:tabs>
          <w:tab w:leader="none" w:pos="15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81" w:lineRule="exact"/>
        <w:rPr>
          <w:rFonts w:ascii="Times New Roman" w:cs="Times New Roman" w:eastAsia="Times New Roman" w:hAnsi="Times New Roman"/>
          <w:sz w:val="17"/>
          <w:szCs w:val="17"/>
          <w:color w:val="auto"/>
        </w:rPr>
      </w:pPr>
    </w:p>
    <w:p>
      <w:pPr>
        <w:ind w:left="1520" w:hanging="546"/>
        <w:spacing w:after="0"/>
        <w:tabs>
          <w:tab w:leader="none" w:pos="15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above provisions.</w:t>
      </w:r>
    </w:p>
    <w:p>
      <w:pPr>
        <w:spacing w:after="0" w:line="223" w:lineRule="exact"/>
        <w:rPr>
          <w:sz w:val="20"/>
          <w:szCs w:val="20"/>
          <w:color w:val="auto"/>
        </w:rPr>
      </w:pPr>
    </w:p>
    <w:p>
      <w:pPr>
        <w:ind w:left="200" w:right="140" w:firstLine="771"/>
        <w:spacing w:after="0" w:line="281" w:lineRule="auto"/>
        <w:rPr>
          <w:sz w:val="20"/>
          <w:szCs w:val="20"/>
          <w:color w:val="auto"/>
        </w:rPr>
      </w:pPr>
      <w:r>
        <w:rPr>
          <w:rFonts w:ascii="Times New Roman" w:cs="Times New Roman" w:eastAsia="Times New Roman" w:hAnsi="Times New Roman"/>
          <w:sz w:val="17"/>
          <w:szCs w:val="17"/>
          <w:color w:val="auto"/>
        </w:rPr>
        <w:t>The indenture contains provisions permitting us and the trustee to enter into supplemental indentures, without the consent of the holders of any debt securities, for any of the following purposes:</w:t>
      </w:r>
    </w:p>
    <w:p>
      <w:pPr>
        <w:spacing w:after="0" w:line="69" w:lineRule="exact"/>
        <w:rPr>
          <w:sz w:val="20"/>
          <w:szCs w:val="20"/>
          <w:color w:val="auto"/>
        </w:rPr>
      </w:pPr>
    </w:p>
    <w:p>
      <w:pPr>
        <w:ind w:left="1520" w:right="400" w:hanging="546"/>
        <w:spacing w:after="0" w:line="281" w:lineRule="auto"/>
        <w:tabs>
          <w:tab w:leader="none" w:pos="1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another person to us and the assumption by any such successor of the covenants applicable to us under the indenture and in the debt securities; or</w:t>
      </w:r>
    </w:p>
    <w:p>
      <w:pPr>
        <w:spacing w:after="0" w:line="68" w:lineRule="exact"/>
        <w:rPr>
          <w:rFonts w:ascii="Times New Roman" w:cs="Times New Roman" w:eastAsia="Times New Roman" w:hAnsi="Times New Roman"/>
          <w:sz w:val="17"/>
          <w:szCs w:val="17"/>
          <w:color w:val="auto"/>
        </w:rPr>
      </w:pPr>
    </w:p>
    <w:p>
      <w:pPr>
        <w:ind w:left="1520" w:right="100" w:hanging="546"/>
        <w:spacing w:after="0" w:line="281" w:lineRule="auto"/>
        <w:tabs>
          <w:tab w:leader="none" w:pos="1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the covenants applicable to us for the benefit of the holders of all or any series of debt securities, or to surrender any right or power conferred upon us under the indenture; or</w:t>
      </w:r>
    </w:p>
    <w:p>
      <w:pPr>
        <w:spacing w:after="0" w:line="68" w:lineRule="exact"/>
        <w:rPr>
          <w:rFonts w:ascii="Times New Roman" w:cs="Times New Roman" w:eastAsia="Times New Roman" w:hAnsi="Times New Roman"/>
          <w:sz w:val="17"/>
          <w:szCs w:val="17"/>
          <w:color w:val="auto"/>
        </w:rPr>
      </w:pPr>
    </w:p>
    <w:p>
      <w:pPr>
        <w:ind w:left="1520" w:hanging="546"/>
        <w:spacing w:after="0"/>
        <w:tabs>
          <w:tab w:leader="none" w:pos="1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any additional events of default with respect to all or any series of debt securities; or</w:t>
      </w:r>
    </w:p>
    <w:p>
      <w:pPr>
        <w:spacing w:after="0" w:line="128" w:lineRule="exact"/>
        <w:rPr>
          <w:rFonts w:ascii="Times New Roman" w:cs="Times New Roman" w:eastAsia="Times New Roman" w:hAnsi="Times New Roman"/>
          <w:sz w:val="17"/>
          <w:szCs w:val="17"/>
          <w:color w:val="auto"/>
        </w:rPr>
      </w:pPr>
    </w:p>
    <w:p>
      <w:pPr>
        <w:jc w:val="both"/>
        <w:ind w:left="1520" w:right="460" w:hanging="546"/>
        <w:spacing w:after="0" w:line="265" w:lineRule="auto"/>
        <w:tabs>
          <w:tab w:leader="none" w:pos="1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520" w:right="40" w:hanging="546"/>
        <w:spacing w:after="0" w:line="256"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213" w:lineRule="exact"/>
        <w:rPr>
          <w:rFonts w:ascii="Times New Roman" w:cs="Times New Roman" w:eastAsia="Times New Roman" w:hAnsi="Times New Roman"/>
          <w:sz w:val="17"/>
          <w:szCs w:val="17"/>
          <w:color w:val="auto"/>
        </w:rPr>
      </w:pPr>
    </w:p>
    <w:p>
      <w:pPr>
        <w:ind w:left="1520" w:right="80" w:hanging="546"/>
        <w:spacing w:after="0" w:line="281"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collateral security with respect to the debt securities of any series and to provide for the terms and conditions of release or substitution thereof; or</w:t>
      </w:r>
    </w:p>
    <w:p>
      <w:pPr>
        <w:spacing w:after="0" w:line="190" w:lineRule="exact"/>
        <w:rPr>
          <w:rFonts w:ascii="Times New Roman" w:cs="Times New Roman" w:eastAsia="Times New Roman" w:hAnsi="Times New Roman"/>
          <w:sz w:val="17"/>
          <w:szCs w:val="17"/>
          <w:color w:val="auto"/>
        </w:rPr>
      </w:pPr>
    </w:p>
    <w:p>
      <w:pPr>
        <w:ind w:left="1520" w:right="240" w:hanging="546"/>
        <w:spacing w:after="0" w:line="281"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issuance of and establish the form, terms and conditions of any additional debt securities of any series or tranche thereof as permitted by the indenture; or</w:t>
      </w:r>
    </w:p>
    <w:p>
      <w:pPr>
        <w:spacing w:after="0" w:line="190" w:lineRule="exact"/>
        <w:rPr>
          <w:rFonts w:ascii="Times New Roman" w:cs="Times New Roman" w:eastAsia="Times New Roman" w:hAnsi="Times New Roman"/>
          <w:sz w:val="17"/>
          <w:szCs w:val="17"/>
          <w:color w:val="auto"/>
        </w:rPr>
      </w:pPr>
    </w:p>
    <w:p>
      <w:pPr>
        <w:ind w:left="1520" w:hanging="546"/>
        <w:spacing w:after="0"/>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debt securities in addition to or in place of all, or any series or tranche of, certificated debt securities; or</w:t>
      </w:r>
    </w:p>
    <w:p>
      <w:pPr>
        <w:spacing w:after="0" w:line="250" w:lineRule="exact"/>
        <w:rPr>
          <w:rFonts w:ascii="Times New Roman" w:cs="Times New Roman" w:eastAsia="Times New Roman" w:hAnsi="Times New Roman"/>
          <w:sz w:val="17"/>
          <w:szCs w:val="17"/>
          <w:color w:val="auto"/>
        </w:rPr>
      </w:pPr>
    </w:p>
    <w:p>
      <w:pPr>
        <w:ind w:left="1520" w:hanging="546"/>
        <w:spacing w:after="0" w:line="265"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03" w:lineRule="exact"/>
        <w:rPr>
          <w:rFonts w:ascii="Times New Roman" w:cs="Times New Roman" w:eastAsia="Times New Roman" w:hAnsi="Times New Roman"/>
          <w:sz w:val="17"/>
          <w:szCs w:val="17"/>
          <w:color w:val="auto"/>
        </w:rPr>
      </w:pPr>
    </w:p>
    <w:p>
      <w:pPr>
        <w:ind w:left="1520" w:hanging="546"/>
        <w:spacing w:after="0"/>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a separate trustee or co-trustee; or</w:t>
      </w:r>
    </w:p>
    <w:p>
      <w:pPr>
        <w:spacing w:after="0" w:line="250" w:lineRule="exact"/>
        <w:rPr>
          <w:rFonts w:ascii="Times New Roman" w:cs="Times New Roman" w:eastAsia="Times New Roman" w:hAnsi="Times New Roman"/>
          <w:sz w:val="17"/>
          <w:szCs w:val="17"/>
          <w:color w:val="auto"/>
        </w:rPr>
      </w:pPr>
    </w:p>
    <w:p>
      <w:pPr>
        <w:ind w:left="1520" w:right="80" w:hanging="546"/>
        <w:spacing w:after="0" w:line="259"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209" w:lineRule="exact"/>
        <w:rPr>
          <w:rFonts w:ascii="Times New Roman" w:cs="Times New Roman" w:eastAsia="Times New Roman" w:hAnsi="Times New Roman"/>
          <w:sz w:val="17"/>
          <w:szCs w:val="17"/>
          <w:color w:val="auto"/>
        </w:rPr>
      </w:pPr>
    </w:p>
    <w:p>
      <w:pPr>
        <w:ind w:left="1520" w:right="160" w:hanging="546"/>
        <w:spacing w:after="0" w:line="259"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action shall not adversely affect the interests of the holders of debt securities of such series or tranche or any other series of debt securities in any material respect; or</w:t>
      </w:r>
    </w:p>
    <w:p>
      <w:pPr>
        <w:spacing w:after="0" w:line="209" w:lineRule="exact"/>
        <w:rPr>
          <w:rFonts w:ascii="Times New Roman" w:cs="Times New Roman" w:eastAsia="Times New Roman" w:hAnsi="Times New Roman"/>
          <w:sz w:val="17"/>
          <w:szCs w:val="17"/>
          <w:color w:val="auto"/>
        </w:rPr>
      </w:pPr>
    </w:p>
    <w:p>
      <w:pPr>
        <w:ind w:left="1520" w:right="120" w:hanging="546"/>
        <w:spacing w:after="0" w:line="281"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90" w:lineRule="exact"/>
        <w:rPr>
          <w:rFonts w:ascii="Times New Roman" w:cs="Times New Roman" w:eastAsia="Times New Roman" w:hAnsi="Times New Roman"/>
          <w:sz w:val="17"/>
          <w:szCs w:val="17"/>
          <w:color w:val="auto"/>
        </w:rPr>
      </w:pPr>
    </w:p>
    <w:p>
      <w:pPr>
        <w:ind w:left="1520" w:right="380" w:hanging="546"/>
        <w:spacing w:after="0" w:line="281"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186" w:lineRule="exact"/>
        <w:rPr>
          <w:rFonts w:ascii="Times New Roman" w:cs="Times New Roman" w:eastAsia="Times New Roman" w:hAnsi="Times New Roman"/>
          <w:sz w:val="17"/>
          <w:szCs w:val="17"/>
          <w:color w:val="auto"/>
        </w:rPr>
      </w:pPr>
    </w:p>
    <w:p>
      <w:pPr>
        <w:ind w:left="1520" w:hanging="546"/>
        <w:spacing w:after="0" w:line="267" w:lineRule="auto"/>
        <w:tabs>
          <w:tab w:leader="none" w:pos="1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make any other provisions with respect to matters or questions arising under the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75" w:lineRule="exact"/>
        <w:rPr>
          <w:sz w:val="20"/>
          <w:szCs w:val="20"/>
          <w:color w:val="auto"/>
        </w:rPr>
      </w:pPr>
    </w:p>
    <w:p>
      <w:pPr>
        <w:ind w:left="200" w:right="320" w:firstLine="771"/>
        <w:spacing w:after="0" w:line="265" w:lineRule="auto"/>
        <w:rPr>
          <w:sz w:val="20"/>
          <w:szCs w:val="20"/>
          <w:color w:val="auto"/>
        </w:rPr>
      </w:pPr>
      <w:r>
        <w:rPr>
          <w:rFonts w:ascii="Times New Roman" w:cs="Times New Roman" w:eastAsia="Times New Roman" w:hAnsi="Times New Roman"/>
          <w:sz w:val="17"/>
          <w:szCs w:val="17"/>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19" w:lineRule="exact"/>
        <w:rPr>
          <w:sz w:val="20"/>
          <w:szCs w:val="20"/>
          <w:color w:val="auto"/>
        </w:rPr>
      </w:pPr>
    </w:p>
    <w:p>
      <w:pPr>
        <w:ind w:left="200" w:right="20" w:firstLine="771"/>
        <w:spacing w:after="0" w:line="281" w:lineRule="auto"/>
        <w:rPr>
          <w:sz w:val="20"/>
          <w:szCs w:val="20"/>
          <w:color w:val="auto"/>
        </w:rPr>
      </w:pPr>
      <w:r>
        <w:rPr>
          <w:rFonts w:ascii="Times New Roman" w:cs="Times New Roman" w:eastAsia="Times New Roman" w:hAnsi="Times New Roman"/>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190" w:lineRule="exact"/>
        <w:rPr>
          <w:sz w:val="20"/>
          <w:szCs w:val="20"/>
          <w:color w:val="auto"/>
        </w:rPr>
      </w:pPr>
    </w:p>
    <w:p>
      <w:pPr>
        <w:ind w:left="1520" w:right="140" w:hanging="546"/>
        <w:spacing w:after="0" w:line="281" w:lineRule="auto"/>
        <w:tabs>
          <w:tab w:leader="none" w:pos="1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valid extension of the interest payment</w:t>
      </w:r>
    </w:p>
    <w:p>
      <w:pPr>
        <w:spacing w:after="0" w:line="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460"/>
        <w:spacing w:after="0" w:line="282" w:lineRule="auto"/>
        <w:rPr>
          <w:sz w:val="20"/>
          <w:szCs w:val="20"/>
          <w:color w:val="auto"/>
        </w:rPr>
      </w:pPr>
      <w:r>
        <w:rPr>
          <w:rFonts w:ascii="Times New Roman" w:cs="Times New Roman" w:eastAsia="Times New Roman" w:hAnsi="Times New Roman"/>
          <w:sz w:val="18"/>
          <w:szCs w:val="18"/>
          <w:color w:val="auto"/>
        </w:rPr>
        <w:t>period by us as permitted under the terms of any debt security of that series shall not constitute a failure to pay interest for this purpose;</w:t>
      </w:r>
    </w:p>
    <w:p>
      <w:pPr>
        <w:spacing w:after="0" w:line="67" w:lineRule="exact"/>
        <w:rPr>
          <w:sz w:val="20"/>
          <w:szCs w:val="20"/>
          <w:color w:val="auto"/>
        </w:rPr>
      </w:pPr>
    </w:p>
    <w:p>
      <w:pPr>
        <w:ind w:left="1620" w:right="440" w:hanging="646"/>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620" w:right="40" w:hanging="646"/>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 or</w:t>
      </w:r>
    </w:p>
    <w:p>
      <w:pPr>
        <w:spacing w:after="0" w:line="67" w:lineRule="exact"/>
        <w:rPr>
          <w:rFonts w:ascii="Times New Roman" w:cs="Times New Roman" w:eastAsia="Times New Roman" w:hAnsi="Times New Roman"/>
          <w:sz w:val="18"/>
          <w:szCs w:val="18"/>
          <w:color w:val="auto"/>
        </w:rPr>
      </w:pPr>
    </w:p>
    <w:p>
      <w:pPr>
        <w:ind w:left="1620" w:right="20" w:hanging="646"/>
        <w:spacing w:after="0" w:line="258"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89" w:lineRule="exact"/>
        <w:rPr>
          <w:rFonts w:ascii="Times New Roman" w:cs="Times New Roman" w:eastAsia="Times New Roman" w:hAnsi="Times New Roman"/>
          <w:sz w:val="18"/>
          <w:szCs w:val="18"/>
          <w:color w:val="auto"/>
        </w:rPr>
      </w:pPr>
    </w:p>
    <w:p>
      <w:pPr>
        <w:ind w:left="1620" w:hanging="646"/>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30" w:lineRule="exact"/>
        <w:rPr>
          <w:rFonts w:ascii="Times New Roman" w:cs="Times New Roman" w:eastAsia="Times New Roman" w:hAnsi="Times New Roman"/>
          <w:sz w:val="18"/>
          <w:szCs w:val="18"/>
          <w:color w:val="auto"/>
        </w:rPr>
      </w:pPr>
    </w:p>
    <w:p>
      <w:pPr>
        <w:ind w:left="1620" w:hanging="646"/>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200" w:right="40" w:firstLine="771"/>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9" w:lineRule="exact"/>
        <w:rPr>
          <w:sz w:val="20"/>
          <w:szCs w:val="20"/>
          <w:color w:val="auto"/>
        </w:rPr>
      </w:pPr>
    </w:p>
    <w:p>
      <w:pPr>
        <w:ind w:left="200" w:firstLine="771"/>
        <w:spacing w:after="0" w:line="253"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89" w:lineRule="exact"/>
        <w:rPr>
          <w:sz w:val="20"/>
          <w:szCs w:val="20"/>
          <w:color w:val="auto"/>
        </w:rPr>
      </w:pPr>
    </w:p>
    <w:p>
      <w:pPr>
        <w:ind w:left="200" w:right="460" w:firstLine="771"/>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300" w:right="340" w:hanging="326"/>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67" w:lineRule="exact"/>
        <w:rPr>
          <w:rFonts w:ascii="Times New Roman" w:cs="Times New Roman" w:eastAsia="Times New Roman" w:hAnsi="Times New Roman"/>
          <w:sz w:val="18"/>
          <w:szCs w:val="18"/>
          <w:color w:val="auto"/>
        </w:rPr>
      </w:pPr>
    </w:p>
    <w:p>
      <w:pPr>
        <w:ind w:left="1300" w:right="40" w:hanging="326"/>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24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300" w:right="60" w:hanging="326"/>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300" w:right="140" w:hanging="326"/>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left="200" w:right="20" w:firstLine="771"/>
        <w:spacing w:after="0" w:line="255"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left="200" w:firstLine="771"/>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0" w:lineRule="exact"/>
        <w:rPr>
          <w:sz w:val="20"/>
          <w:szCs w:val="20"/>
          <w:color w:val="auto"/>
        </w:rPr>
      </w:pPr>
    </w:p>
    <w:p>
      <w:pPr>
        <w:ind w:left="200" w:right="180" w:firstLine="771"/>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300" w:right="140" w:hanging="326"/>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jc w:val="both"/>
        <w:ind w:left="1300" w:right="140" w:hanging="326"/>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left="200" w:right="800" w:firstLine="771"/>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left="200" w:right="180" w:firstLine="771"/>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300" w:hanging="326"/>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5620" w:right="3120" w:hanging="4646"/>
        <w:spacing w:after="0" w:line="454" w:lineRule="auto"/>
        <w:tabs>
          <w:tab w:leader="none" w:pos="12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 14</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300" w:hanging="326"/>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200" w:right="200" w:firstLine="771"/>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8" w:lineRule="exact"/>
        <w:rPr>
          <w:sz w:val="20"/>
          <w:szCs w:val="20"/>
          <w:color w:val="auto"/>
        </w:rPr>
      </w:pPr>
    </w:p>
    <w:p>
      <w:pPr>
        <w:jc w:val="both"/>
        <w:ind w:left="200" w:right="100" w:firstLine="771"/>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2" w:lineRule="exact"/>
        <w:rPr>
          <w:sz w:val="20"/>
          <w:szCs w:val="20"/>
          <w:color w:val="auto"/>
        </w:rPr>
      </w:pPr>
    </w:p>
    <w:p>
      <w:pPr>
        <w:ind w:left="1300" w:hanging="326"/>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300" w:right="140" w:hanging="326"/>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jc w:val="both"/>
        <w:ind w:left="200" w:right="180" w:firstLine="771"/>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76" w:lineRule="exact"/>
        <w:rPr>
          <w:sz w:val="20"/>
          <w:szCs w:val="20"/>
          <w:color w:val="auto"/>
        </w:rPr>
      </w:pPr>
    </w:p>
    <w:p>
      <w:pPr>
        <w:ind w:left="200" w:firstLine="771"/>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200" w:right="540" w:firstLine="771"/>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200" w:right="100" w:firstLine="771"/>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200" w:right="80" w:firstLine="771"/>
        <w:spacing w:after="0" w:line="282" w:lineRule="auto"/>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 only if:</w:t>
      </w:r>
    </w:p>
    <w:p>
      <w:pPr>
        <w:spacing w:after="0" w:line="67" w:lineRule="exact"/>
        <w:rPr>
          <w:sz w:val="20"/>
          <w:szCs w:val="20"/>
          <w:color w:val="auto"/>
        </w:rPr>
      </w:pPr>
    </w:p>
    <w:p>
      <w:pPr>
        <w:ind w:left="1300" w:right="240" w:hanging="326"/>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24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jc w:val="both"/>
        <w:ind w:left="200" w:right="140" w:firstLine="771"/>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left="200" w:right="420" w:firstLine="771"/>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200" w:firstLine="771"/>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4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200" w:right="80" w:firstLine="771"/>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200" w:right="40" w:firstLine="771"/>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left="200" w:right="80" w:firstLine="771"/>
        <w:spacing w:after="0" w:line="256"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200" w:right="20" w:firstLine="771"/>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exclusive right to vote for the election of directors and for all other purposes. Our common stockholders do not possess cumulative voting rights.</w:t>
      </w:r>
    </w:p>
    <w:p>
      <w:pPr>
        <w:spacing w:after="0" w:line="225" w:lineRule="exact"/>
        <w:rPr>
          <w:sz w:val="20"/>
          <w:szCs w:val="20"/>
          <w:color w:val="auto"/>
        </w:rPr>
      </w:pPr>
    </w:p>
    <w:p>
      <w:pPr>
        <w:ind w:left="200" w:right="40" w:firstLine="771"/>
        <w:spacing w:after="0" w:line="255"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jc w:val="both"/>
        <w:ind w:left="200" w:firstLine="771"/>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 and on the Toronto Stock Exchange under the symbol</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“GMM.”</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200" w:right="140" w:firstLine="771"/>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00" w:firstLine="771"/>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200" w:right="160" w:firstLine="771"/>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Jenner &amp; Block LLP.</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24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60" w:firstLine="771"/>
        <w:spacing w:after="0" w:line="261" w:lineRule="auto"/>
        <w:rPr>
          <w:sz w:val="20"/>
          <w:szCs w:val="20"/>
          <w:color w:val="auto"/>
        </w:rPr>
      </w:pPr>
      <w:r>
        <w:rPr>
          <w:rFonts w:ascii="Times New Roman" w:cs="Times New Roman" w:eastAsia="Times New Roman" w:hAnsi="Times New Roman"/>
          <w:sz w:val="18"/>
          <w:szCs w:val="18"/>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80" w:lineRule="exact"/>
        <w:rPr>
          <w:sz w:val="20"/>
          <w:szCs w:val="20"/>
          <w:color w:val="auto"/>
        </w:rPr>
      </w:pPr>
    </w:p>
    <w:p>
      <w:pPr>
        <w:ind w:left="200" w:firstLine="771"/>
        <w:spacing w:after="0" w:line="261" w:lineRule="auto"/>
        <w:rPr>
          <w:sz w:val="20"/>
          <w:szCs w:val="20"/>
          <w:color w:val="auto"/>
        </w:rPr>
      </w:pPr>
      <w:r>
        <w:rPr>
          <w:rFonts w:ascii="Times New Roman" w:cs="Times New Roman" w:eastAsia="Times New Roman" w:hAnsi="Times New Roman"/>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right="80" w:firstLine="771"/>
        <w:spacing w:after="0" w:line="256"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240" w:top="455" w:right="519" w:bottom="1440" w:gutter="0" w:footer="0" w:header="0"/>
        </w:sectPr>
      </w:pPr>
    </w:p>
    <w:bookmarkStart w:id="55" w:name="page56"/>
    <w:bookmarkEnd w:id="5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232410</wp:posOffset>
            </wp:positionV>
            <wp:extent cx="699770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292735</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341630</wp:posOffset>
            </wp:positionV>
            <wp:extent cx="4528185" cy="6343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0" w:hanging="883"/>
        <w:spacing w:after="0"/>
        <w:tabs>
          <w:tab w:leader="none" w:pos="4200" w:val="left"/>
        </w:tabs>
        <w:numPr>
          <w:ilvl w:val="0"/>
          <w:numId w:val="4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Floating Rate Senior Notes due 2021</w:t>
      </w:r>
    </w:p>
    <w:p>
      <w:pPr>
        <w:spacing w:after="0" w:line="43" w:lineRule="exact"/>
        <w:rPr>
          <w:rFonts w:ascii="Times New Roman" w:cs="Times New Roman" w:eastAsia="Times New Roman" w:hAnsi="Times New Roman"/>
          <w:sz w:val="25"/>
          <w:szCs w:val="25"/>
          <w:b w:val="1"/>
          <w:bCs w:val="1"/>
          <w:color w:val="auto"/>
        </w:rPr>
      </w:pPr>
    </w:p>
    <w:p>
      <w:pPr>
        <w:ind w:left="3920"/>
        <w:spacing w:after="0"/>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2028</w:t>
      </w:r>
    </w:p>
    <w:p>
      <w:pPr>
        <w:spacing w:after="0" w:line="9" w:lineRule="exact"/>
        <w:rPr>
          <w:rFonts w:ascii="Times New Roman" w:cs="Times New Roman" w:eastAsia="Times New Roman" w:hAnsi="Times New Roman"/>
          <w:sz w:val="25"/>
          <w:szCs w:val="25"/>
          <w:b w:val="1"/>
          <w:bCs w:val="1"/>
          <w:color w:val="auto"/>
        </w:rPr>
      </w:pPr>
    </w:p>
    <w:p>
      <w:pPr>
        <w:ind w:left="3920"/>
        <w:spacing w:after="0"/>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1906905</wp:posOffset>
            </wp:positionV>
            <wp:extent cx="14662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tabs>
          <w:tab w:leader="none" w:pos="2980" w:val="left"/>
          <w:tab w:leader="none" w:pos="8240" w:val="left"/>
        </w:tabs>
        <w:rPr>
          <w:sz w:val="20"/>
          <w:szCs w:val="20"/>
          <w:color w:val="auto"/>
        </w:rPr>
      </w:pP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Deutsche Bank Securities</w:t>
      </w:r>
      <w:r>
        <w:rPr>
          <w:sz w:val="20"/>
          <w:szCs w:val="20"/>
          <w:color w:val="auto"/>
        </w:rPr>
        <w:tab/>
      </w:r>
      <w:r>
        <w:rPr>
          <w:rFonts w:ascii="Times New Roman" w:cs="Times New Roman" w:eastAsia="Times New Roman" w:hAnsi="Times New Roman"/>
          <w:sz w:val="28"/>
          <w:szCs w:val="28"/>
          <w:b w:val="1"/>
          <w:bCs w:val="1"/>
          <w:color w:val="auto"/>
        </w:rPr>
        <w:t>SOCIETE GENERALE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686435</wp:posOffset>
            </wp:positionV>
            <wp:extent cx="6997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737870</wp:posOffset>
            </wp:positionV>
            <wp:extent cx="699770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1)"/>
      <w:numFmt w:val="lowerRoman"/>
      <w:start w:val="2"/>
    </w:lvl>
  </w:abstractNum>
  <w:abstractNum w:abstractNumId="7">
    <w:nsid w:val="189A769B"/>
    <w:multiLevelType w:val="hybridMultilevel"/>
    <w:lvl w:ilvl="0">
      <w:lvlJc w:val="left"/>
      <w:lvlText w:val="(%1)"/>
      <w:numFmt w:val="lowerRoman"/>
      <w:start w:val="1"/>
    </w:lvl>
  </w:abstractNum>
  <w:abstractNum w:abstractNumId="8">
    <w:nsid w:val="54E49EB4"/>
    <w:multiLevelType w:val="hybridMultilevel"/>
    <w:lvl w:ilvl="0">
      <w:lvlJc w:val="left"/>
      <w:lvlText w:val="(%1)"/>
      <w:numFmt w:val="lowerRoman"/>
      <w:start w:val="2"/>
    </w:lvl>
  </w:abstractNum>
  <w:abstractNum w:abstractNumId="9">
    <w:nsid w:val="71F32454"/>
    <w:multiLevelType w:val="hybridMultilevel"/>
    <w:lvl w:ilvl="0">
      <w:lvlJc w:val="left"/>
      <w:lvlText w:val="(%1)"/>
      <w:numFmt w:val="lowerRoman"/>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2"/>
    </w:lvl>
  </w:abstractNum>
  <w:abstractNum w:abstractNumId="12">
    <w:nsid w:val="2901D82"/>
    <w:multiLevelType w:val="hybridMultilevel"/>
    <w:lvl w:ilvl="0">
      <w:lvlJc w:val="left"/>
      <w:lvlText w:val="(%1)"/>
      <w:numFmt w:val="lowerRoman"/>
      <w:start w:val="2"/>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lvl w:ilvl="1">
      <w:lvlJc w:val="left"/>
      <w:lvlText w:val="(%2)"/>
      <w:numFmt w:val="lowerRoman"/>
      <w:start w:val="1"/>
    </w:lvl>
  </w:abstractNum>
  <w:abstractNum w:abstractNumId="15">
    <w:nsid w:val="1E7FF521"/>
    <w:multiLevelType w:val="hybridMultilevel"/>
    <w:lvl w:ilvl="0">
      <w:lvlJc w:val="left"/>
      <w:lvlText w:val="(%1)"/>
      <w:numFmt w:val="lowerRoman"/>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1)"/>
      <w:numFmt w:val="lowerRoman"/>
      <w:start w:val="1"/>
    </w:lvl>
  </w:abstractNum>
  <w:abstractNum w:abstractNumId="28">
    <w:nsid w:val="77465F01"/>
    <w:multiLevelType w:val="hybridMultilevel"/>
    <w:lvl w:ilvl="0">
      <w:lvlJc w:val="left"/>
      <w:lvlText w:val="(%1)"/>
      <w:numFmt w:val="lowerRoman"/>
      <w:start w:val="1"/>
    </w:lvl>
    <w:lvl w:ilvl="1">
      <w:lvlJc w:val="left"/>
      <w:lvlText w:val="•"/>
      <w:numFmt w:val="bullet"/>
      <w:start w:val="1"/>
    </w:lvl>
  </w:abstractNum>
  <w:abstractNum w:abstractNumId="29">
    <w:nsid w:val="7724C67E"/>
    <w:multiLevelType w:val="hybridMultilevel"/>
    <w:lvl w:ilvl="0">
      <w:lvlJc w:val="left"/>
      <w:lvlText w:val="(%1)"/>
      <w:numFmt w:val="lowerRoman"/>
      <w:start w:val="2"/>
    </w:lvl>
  </w:abstractNum>
  <w:abstractNum w:abstractNumId="30">
    <w:nsid w:val="5C482A97"/>
    <w:multiLevelType w:val="hybridMultilevel"/>
    <w:lvl w:ilvl="0">
      <w:lvlJc w:val="left"/>
      <w:lvlText w:val="(%1)"/>
      <w:numFmt w:val="lowerRoman"/>
      <w:start w:val="1"/>
    </w:lvl>
  </w:abstractNum>
  <w:abstractNum w:abstractNumId="31">
    <w:nsid w:val="2463B9EA"/>
    <w:multiLevelType w:val="hybridMultilevel"/>
    <w:lvl w:ilvl="0">
      <w:lvlJc w:val="left"/>
      <w:lvlText w:val="(%1)"/>
      <w:numFmt w:val="lowerRoman"/>
      <w:start w:val="3"/>
    </w:lvl>
  </w:abstractNum>
  <w:abstractNum w:abstractNumId="32">
    <w:nsid w:val="5E884ADC"/>
    <w:multiLevelType w:val="hybridMultilevel"/>
    <w:lvl w:ilvl="0">
      <w:lvlJc w:val="left"/>
      <w:lvlText w:val="(%1)"/>
      <w:numFmt w:val="lowerRoman"/>
      <w:start w:val="1"/>
    </w:lvl>
  </w:abstractNum>
  <w:abstractNum w:abstractNumId="33">
    <w:nsid w:val="51EAD36B"/>
    <w:multiLevelType w:val="hybridMultilevel"/>
    <w:lvl w:ilvl="0">
      <w:lvlJc w:val="left"/>
      <w:lvlText w:val="(%1)"/>
      <w:numFmt w:val="lowerRoman"/>
      <w:start w:val="1"/>
    </w:lvl>
  </w:abstractNum>
  <w:abstractNum w:abstractNumId="34">
    <w:nsid w:val="2D517796"/>
    <w:multiLevelType w:val="hybridMultilevel"/>
    <w:lvl w:ilvl="0">
      <w:lvlJc w:val="left"/>
      <w:lvlText w:val="(%1)"/>
      <w:numFmt w:val="lowerRoman"/>
      <w:start w:val="5"/>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2019-12-07T17:02:42Z</dcterms:created>
  <dcterms:modified xsi:type="dcterms:W3CDTF">2019-12-07T17:02:42Z</dcterms:modified>
</cp:coreProperties>
</file>