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Glidden Craig B.</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02/12/2023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5"/>
        <w:spacing w:after="0"/>
        <w:rPr>
          <w:sz w:val="20"/>
          <w:szCs w:val="20"/>
          <w:color w:val="auto"/>
        </w:rPr>
      </w:pPr>
      <w:r>
        <w:rPr>
          <w:rFonts w:ascii="Arial" w:cs="Arial" w:eastAsia="Arial" w:hAnsi="Arial"/>
          <w:sz w:val="17"/>
          <w:szCs w:val="17"/>
          <w:color w:val="0000FF"/>
        </w:rPr>
        <w:t>Executive Vice President &amp; GC</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jc w:val="right"/>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00" w:type="dxa"/>
            <w:vAlign w:val="bottom"/>
          </w:tcPr>
          <w:p>
            <w:pPr>
              <w:spacing w:after="0"/>
              <w:rPr>
                <w:sz w:val="11"/>
                <w:szCs w:val="11"/>
                <w:color w:val="auto"/>
              </w:rPr>
            </w:pPr>
          </w:p>
        </w:tc>
        <w:tc>
          <w:tcPr>
            <w:tcW w:w="3560" w:type="dxa"/>
            <w:vAlign w:val="bottom"/>
            <w:gridSpan w:val="9"/>
          </w:tcPr>
          <w:p>
            <w:pPr>
              <w:ind w:left="2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48265-3000</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02/12/2023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82,432</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282,757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3"/>
          </w:tcPr>
          <w:p>
            <w:pPr>
              <w:ind w:left="860"/>
              <w:spacing w:after="0"/>
              <w:rPr>
                <w:sz w:val="20"/>
                <w:szCs w:val="20"/>
                <w:color w:val="auto"/>
              </w:rPr>
            </w:pPr>
            <w:r>
              <w:rPr>
                <w:rFonts w:ascii="Arial" w:cs="Arial" w:eastAsia="Arial" w:hAnsi="Arial"/>
                <w:sz w:val="17"/>
                <w:szCs w:val="17"/>
                <w:color w:val="0000FF"/>
              </w:rPr>
              <w:t>02/12/2023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ind w:left="180"/>
              <w:spacing w:after="0"/>
              <w:rPr>
                <w:sz w:val="20"/>
                <w:szCs w:val="20"/>
                <w:color w:val="auto"/>
              </w:rPr>
            </w:pPr>
            <w:r>
              <w:rPr>
                <w:rFonts w:ascii="Arial" w:cs="Arial" w:eastAsia="Arial" w:hAnsi="Arial"/>
                <w:sz w:val="17"/>
                <w:szCs w:val="17"/>
                <w:color w:val="0000FF"/>
                <w:w w:val="99"/>
              </w:rPr>
              <w:t>32,370</w:t>
            </w:r>
          </w:p>
        </w:tc>
        <w:tc>
          <w:tcPr>
            <w:tcW w:w="440" w:type="dxa"/>
            <w:vAlign w:val="bottom"/>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41.35</w:t>
            </w: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250,387</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12, 2020, the Reporting Person received a grant of Performance Stock Units ("PSUs"). Under the grant, the PSUs could be earned based on the achievement of certain financial targets. The PSUs vested on February 12, 2023, and were awarded in shares of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02/14/2023</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Mr. Glidden</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03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2023-02-14T18:02:48Z</dcterms:created>
  <dcterms:modified xsi:type="dcterms:W3CDTF">2023-02-14T18:02:48Z</dcterms:modified>
</cp:coreProperties>
</file>