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6130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13029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694"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Ammann Daniel</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980"/>
        <w:spacing w:after="0" w:line="317"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06/30/2015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6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940" w:type="dxa"/>
            <w:vAlign w:val="bottom"/>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6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9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9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40" w:type="dxa"/>
            <w:vAlign w:val="bottom"/>
          </w:tcPr>
          <w:p>
            <w:pPr>
              <w:spacing w:after="0"/>
              <w:rPr>
                <w:sz w:val="22"/>
                <w:szCs w:val="22"/>
                <w:color w:val="auto"/>
              </w:rPr>
            </w:pPr>
          </w:p>
        </w:tc>
        <w:tc>
          <w:tcPr>
            <w:tcW w:w="1640" w:type="dxa"/>
            <w:vAlign w:val="bottom"/>
          </w:tcPr>
          <w:p>
            <w:pPr>
              <w:ind w:left="880"/>
              <w:spacing w:after="0"/>
              <w:rPr>
                <w:sz w:val="20"/>
                <w:szCs w:val="20"/>
                <w:color w:val="auto"/>
              </w:rPr>
            </w:pPr>
            <w:r>
              <w:rPr>
                <w:rFonts w:ascii="Arial" w:cs="Arial" w:eastAsia="Arial" w:hAnsi="Arial"/>
                <w:sz w:val="17"/>
                <w:szCs w:val="17"/>
                <w:color w:val="0000FF"/>
              </w:rPr>
              <w:t>President</w:t>
            </w: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430" w:lineRule="exact"/>
        <w:rPr>
          <w:sz w:val="24"/>
          <w:szCs w:val="24"/>
          <w:color w:val="auto"/>
        </w:rPr>
      </w:pPr>
    </w:p>
    <w:p>
      <w:pPr>
        <w:sectPr>
          <w:pgSz w:w="11900" w:h="16838" w:orient="portrait"/>
          <w:cols w:equalWidth="0" w:num="3">
            <w:col w:w="3340" w:space="720"/>
            <w:col w:w="3257" w:space="720"/>
            <w:col w:w="3483"/>
          </w:cols>
          <w:pgMar w:left="240" w:top="225" w:right="139" w:bottom="694"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840" w:type="dxa"/>
            <w:vAlign w:val="bottom"/>
            <w:gridSpan w:val="7"/>
          </w:tcPr>
          <w:p>
            <w:pPr>
              <w:jc w:val="center"/>
              <w:ind w:right="51"/>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0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78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1000" w:type="dxa"/>
            <w:vAlign w:val="bottom"/>
          </w:tcPr>
          <w:p>
            <w:pPr>
              <w:spacing w:after="0"/>
              <w:rPr>
                <w:sz w:val="11"/>
                <w:szCs w:val="11"/>
                <w:color w:val="auto"/>
              </w:rPr>
            </w:pPr>
          </w:p>
        </w:tc>
        <w:tc>
          <w:tcPr>
            <w:tcW w:w="118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6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1660" w:type="dxa"/>
            <w:vAlign w:val="bottom"/>
            <w:tcBorders>
              <w:bottom w:val="single" w:sz="8" w:color="2C2C2C"/>
            </w:tcBorders>
            <w:gridSpan w:val="4"/>
          </w:tcPr>
          <w:p>
            <w:pPr>
              <w:spacing w:after="0"/>
              <w:rPr>
                <w:sz w:val="11"/>
                <w:szCs w:val="11"/>
                <w:color w:val="auto"/>
              </w:rPr>
            </w:pPr>
          </w:p>
        </w:tc>
        <w:tc>
          <w:tcPr>
            <w:tcW w:w="2740" w:type="dxa"/>
            <w:vAlign w:val="bottom"/>
            <w:tcBorders>
              <w:bottom w:val="single" w:sz="8" w:color="2C2C2C"/>
            </w:tcBorders>
            <w:gridSpan w:val="4"/>
          </w:tcPr>
          <w:p>
            <w:pPr>
              <w:spacing w:after="0"/>
              <w:rPr>
                <w:sz w:val="11"/>
                <w:szCs w:val="11"/>
                <w:color w:val="auto"/>
              </w:rPr>
            </w:pPr>
          </w:p>
        </w:tc>
        <w:tc>
          <w:tcPr>
            <w:tcW w:w="780" w:type="dxa"/>
            <w:vAlign w:val="bottom"/>
            <w:tcBorders>
              <w:bottom w:val="single" w:sz="8" w:color="2C2C2C"/>
            </w:tcBorders>
            <w:gridSpan w:val="3"/>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74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Transaction</w:t>
            </w:r>
          </w:p>
        </w:tc>
        <w:tc>
          <w:tcPr>
            <w:tcW w:w="2020" w:type="dxa"/>
            <w:vAlign w:val="bottom"/>
            <w:gridSpan w:val="4"/>
          </w:tcPr>
          <w:p>
            <w:pPr>
              <w:ind w:left="10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2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20" w:type="dxa"/>
            <w:vAlign w:val="bottom"/>
            <w:gridSpan w:val="3"/>
          </w:tcPr>
          <w:p>
            <w:pPr>
              <w:jc w:val="center"/>
              <w:ind w:left="587"/>
              <w:spacing w:after="0" w:line="134"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jc w:val="center"/>
              <w:ind w:right="11"/>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(1)</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87"/>
              <w:spacing w:after="0"/>
              <w:rPr>
                <w:sz w:val="20"/>
                <w:szCs w:val="20"/>
                <w:color w:val="auto"/>
              </w:rPr>
            </w:pPr>
            <w:r>
              <w:rPr>
                <w:rFonts w:ascii="Arial" w:cs="Arial" w:eastAsia="Arial" w:hAnsi="Arial"/>
                <w:sz w:val="17"/>
                <w:szCs w:val="17"/>
                <w:color w:val="0000FF"/>
                <w:w w:val="93"/>
              </w:rPr>
              <w:t>06/30/2015</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6"/>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111"/>
              <w:spacing w:after="0"/>
              <w:rPr>
                <w:sz w:val="20"/>
                <w:szCs w:val="20"/>
                <w:color w:val="auto"/>
              </w:rPr>
            </w:pPr>
            <w:r>
              <w:rPr>
                <w:rFonts w:ascii="Arial" w:cs="Arial" w:eastAsia="Arial" w:hAnsi="Arial"/>
                <w:sz w:val="17"/>
                <w:szCs w:val="17"/>
                <w:color w:val="0000FF"/>
                <w:w w:val="92"/>
              </w:rPr>
              <w:t>11,043</w:t>
            </w:r>
          </w:p>
        </w:tc>
        <w:tc>
          <w:tcPr>
            <w:tcW w:w="680" w:type="dxa"/>
            <w:vAlign w:val="bottom"/>
            <w:tcBorders>
              <w:bottom w:val="single" w:sz="8" w:color="2C2C2C"/>
            </w:tcBorders>
          </w:tcPr>
          <w:p>
            <w:pPr>
              <w:jc w:val="right"/>
              <w:ind w:right="171"/>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51"/>
              <w:spacing w:after="0" w:line="321"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(2)</w:t>
            </w: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169,981</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87"/>
              <w:spacing w:after="0"/>
              <w:rPr>
                <w:sz w:val="20"/>
                <w:szCs w:val="20"/>
                <w:color w:val="auto"/>
              </w:rPr>
            </w:pPr>
            <w:r>
              <w:rPr>
                <w:rFonts w:ascii="Arial" w:cs="Arial" w:eastAsia="Arial" w:hAnsi="Arial"/>
                <w:sz w:val="17"/>
                <w:szCs w:val="17"/>
                <w:color w:val="0000FF"/>
                <w:w w:val="93"/>
              </w:rPr>
              <w:t>06/30/2015</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6"/>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111"/>
              <w:spacing w:after="0"/>
              <w:rPr>
                <w:sz w:val="20"/>
                <w:szCs w:val="20"/>
                <w:color w:val="auto"/>
              </w:rPr>
            </w:pPr>
            <w:r>
              <w:rPr>
                <w:rFonts w:ascii="Arial" w:cs="Arial" w:eastAsia="Arial" w:hAnsi="Arial"/>
                <w:sz w:val="17"/>
                <w:szCs w:val="17"/>
                <w:color w:val="0000FF"/>
                <w:w w:val="93"/>
              </w:rPr>
              <w:t>5,169</w:t>
            </w:r>
          </w:p>
        </w:tc>
        <w:tc>
          <w:tcPr>
            <w:tcW w:w="680" w:type="dxa"/>
            <w:vAlign w:val="bottom"/>
            <w:tcBorders>
              <w:bottom w:val="single" w:sz="8" w:color="2C2C2C"/>
            </w:tcBorders>
          </w:tcPr>
          <w:p>
            <w:pPr>
              <w:jc w:val="right"/>
              <w:ind w:right="171"/>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33.32</w:t>
            </w:r>
            <w:r>
              <w:rPr>
                <w:rFonts w:ascii="Arial" w:cs="Arial" w:eastAsia="Arial" w:hAnsi="Arial"/>
                <w:sz w:val="22"/>
                <w:szCs w:val="22"/>
                <w:color w:val="008000"/>
                <w:w w:val="88"/>
                <w:vertAlign w:val="superscript"/>
              </w:rPr>
              <w:t>(2)</w:t>
            </w:r>
          </w:p>
        </w:tc>
        <w:tc>
          <w:tcPr>
            <w:tcW w:w="122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164,812</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(3)</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87"/>
              <w:spacing w:after="0"/>
              <w:rPr>
                <w:sz w:val="20"/>
                <w:szCs w:val="20"/>
                <w:color w:val="auto"/>
              </w:rPr>
            </w:pPr>
            <w:r>
              <w:rPr>
                <w:rFonts w:ascii="Arial" w:cs="Arial" w:eastAsia="Arial" w:hAnsi="Arial"/>
                <w:sz w:val="17"/>
                <w:szCs w:val="17"/>
                <w:color w:val="0000FF"/>
                <w:w w:val="93"/>
              </w:rPr>
              <w:t>06/30/2015</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6"/>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111"/>
              <w:spacing w:after="0"/>
              <w:rPr>
                <w:sz w:val="20"/>
                <w:szCs w:val="20"/>
                <w:color w:val="auto"/>
              </w:rPr>
            </w:pPr>
            <w:r>
              <w:rPr>
                <w:rFonts w:ascii="Arial" w:cs="Arial" w:eastAsia="Arial" w:hAnsi="Arial"/>
                <w:sz w:val="17"/>
                <w:szCs w:val="17"/>
                <w:color w:val="0000FF"/>
                <w:w w:val="93"/>
              </w:rPr>
              <w:t>7,078</w:t>
            </w:r>
          </w:p>
        </w:tc>
        <w:tc>
          <w:tcPr>
            <w:tcW w:w="680" w:type="dxa"/>
            <w:vAlign w:val="bottom"/>
            <w:tcBorders>
              <w:bottom w:val="single" w:sz="8" w:color="2C2C2C"/>
            </w:tcBorders>
          </w:tcPr>
          <w:p>
            <w:pPr>
              <w:jc w:val="right"/>
              <w:ind w:right="171"/>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51"/>
              <w:spacing w:after="0" w:line="321"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(2)</w:t>
            </w: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171,890</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87"/>
              <w:spacing w:after="0"/>
              <w:rPr>
                <w:sz w:val="20"/>
                <w:szCs w:val="20"/>
                <w:color w:val="auto"/>
              </w:rPr>
            </w:pPr>
            <w:r>
              <w:rPr>
                <w:rFonts w:ascii="Arial" w:cs="Arial" w:eastAsia="Arial" w:hAnsi="Arial"/>
                <w:sz w:val="17"/>
                <w:szCs w:val="17"/>
                <w:color w:val="0000FF"/>
                <w:w w:val="93"/>
              </w:rPr>
              <w:t>06/30/2015</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6"/>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111"/>
              <w:spacing w:after="0"/>
              <w:rPr>
                <w:sz w:val="20"/>
                <w:szCs w:val="20"/>
                <w:color w:val="auto"/>
              </w:rPr>
            </w:pPr>
            <w:r>
              <w:rPr>
                <w:rFonts w:ascii="Arial" w:cs="Arial" w:eastAsia="Arial" w:hAnsi="Arial"/>
                <w:sz w:val="17"/>
                <w:szCs w:val="17"/>
                <w:color w:val="0000FF"/>
                <w:w w:val="93"/>
              </w:rPr>
              <w:t>3,313</w:t>
            </w:r>
          </w:p>
        </w:tc>
        <w:tc>
          <w:tcPr>
            <w:tcW w:w="680" w:type="dxa"/>
            <w:vAlign w:val="bottom"/>
            <w:tcBorders>
              <w:bottom w:val="single" w:sz="8" w:color="2C2C2C"/>
            </w:tcBorders>
          </w:tcPr>
          <w:p>
            <w:pPr>
              <w:jc w:val="right"/>
              <w:ind w:right="171"/>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33.32</w:t>
            </w:r>
            <w:r>
              <w:rPr>
                <w:rFonts w:ascii="Arial" w:cs="Arial" w:eastAsia="Arial" w:hAnsi="Arial"/>
                <w:sz w:val="22"/>
                <w:szCs w:val="22"/>
                <w:color w:val="008000"/>
                <w:w w:val="88"/>
                <w:vertAlign w:val="superscript"/>
              </w:rPr>
              <w:t>(2)</w:t>
            </w:r>
          </w:p>
        </w:tc>
        <w:tc>
          <w:tcPr>
            <w:tcW w:w="122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168,577</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jc w:val="center"/>
              <w:ind w:right="112"/>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20" w:type="dxa"/>
            <w:vAlign w:val="bottom"/>
            <w:gridSpan w:val="11"/>
          </w:tcPr>
          <w:p>
            <w:pPr>
              <w:jc w:val="center"/>
              <w:ind w:left="50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ind w:right="11"/>
              <w:spacing w:after="0" w:line="134" w:lineRule="exact"/>
              <w:rPr>
                <w:sz w:val="20"/>
                <w:szCs w:val="20"/>
                <w:color w:val="auto"/>
              </w:rPr>
            </w:pPr>
            <w:r>
              <w:rPr>
                <w:rFonts w:ascii="Arial" w:cs="Arial" w:eastAsia="Arial" w:hAnsi="Arial"/>
                <w:sz w:val="12"/>
                <w:szCs w:val="12"/>
                <w:b w:val="1"/>
                <w:bCs w:val="1"/>
                <w:color w:val="auto"/>
                <w:w w:val="98"/>
              </w:rPr>
              <w:t>Expiration</w:t>
            </w:r>
          </w:p>
        </w:tc>
        <w:tc>
          <w:tcPr>
            <w:tcW w:w="6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20"/>
              <w:spacing w:after="0"/>
              <w:rPr>
                <w:sz w:val="20"/>
                <w:szCs w:val="20"/>
                <w:color w:val="auto"/>
              </w:rPr>
            </w:pPr>
            <w:r>
              <w:rPr>
                <w:rFonts w:ascii="Arial" w:cs="Arial" w:eastAsia="Arial" w:hAnsi="Arial"/>
                <w:sz w:val="12"/>
                <w:szCs w:val="12"/>
                <w:color w:val="auto"/>
                <w:w w:val="98"/>
              </w:rPr>
              <w:t>$</w:t>
            </w:r>
            <w:r>
              <w:rPr>
                <w:rFonts w:ascii="Arial" w:cs="Arial" w:eastAsia="Arial" w:hAnsi="Arial"/>
                <w:sz w:val="13"/>
                <w:szCs w:val="13"/>
                <w:color w:val="0000FF"/>
                <w:w w:val="98"/>
              </w:rPr>
              <w:t>0.0</w:t>
            </w:r>
            <w:r>
              <w:rPr>
                <w:rFonts w:ascii="Arial" w:cs="Arial" w:eastAsia="Arial" w:hAnsi="Arial"/>
                <w:sz w:val="22"/>
                <w:szCs w:val="22"/>
                <w:color w:val="008000"/>
                <w:w w:val="98"/>
                <w:vertAlign w:val="superscript"/>
              </w:rPr>
              <w:t>(4)</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right"/>
              <w:ind w:right="11"/>
              <w:spacing w:after="0"/>
              <w:rPr>
                <w:sz w:val="20"/>
                <w:szCs w:val="20"/>
                <w:color w:val="auto"/>
              </w:rPr>
            </w:pPr>
            <w:r>
              <w:rPr>
                <w:rFonts w:ascii="Arial" w:cs="Arial" w:eastAsia="Arial" w:hAnsi="Arial"/>
                <w:sz w:val="17"/>
                <w:szCs w:val="17"/>
                <w:color w:val="0000FF"/>
                <w:w w:val="88"/>
              </w:rPr>
              <w:t>11,043</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ind w:right="133"/>
              <w:spacing w:after="0" w:line="145" w:lineRule="exact"/>
              <w:rPr>
                <w:sz w:val="20"/>
                <w:szCs w:val="20"/>
                <w:color w:val="auto"/>
              </w:rPr>
            </w:pPr>
            <w:r>
              <w:rPr>
                <w:rFonts w:ascii="Arial" w:cs="Arial" w:eastAsia="Arial" w:hAnsi="Arial"/>
                <w:sz w:val="13"/>
                <w:szCs w:val="13"/>
                <w:color w:val="0000FF"/>
              </w:rPr>
              <w:t>06/30/2015</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ind w:left="60"/>
              <w:spacing w:after="0" w:line="145" w:lineRule="exact"/>
              <w:rPr>
                <w:sz w:val="20"/>
                <w:szCs w:val="20"/>
                <w:color w:val="auto"/>
              </w:rPr>
            </w:pPr>
            <w:r>
              <w:rPr>
                <w:rFonts w:ascii="Arial" w:cs="Arial" w:eastAsia="Arial" w:hAnsi="Arial"/>
                <w:sz w:val="13"/>
                <w:szCs w:val="13"/>
                <w:color w:val="0000FF"/>
              </w:rPr>
              <w:t>M</w:t>
            </w:r>
          </w:p>
        </w:tc>
        <w:tc>
          <w:tcPr>
            <w:tcW w:w="200" w:type="dxa"/>
            <w:vAlign w:val="bottom"/>
          </w:tcPr>
          <w:p>
            <w:pPr>
              <w:spacing w:after="0"/>
              <w:rPr>
                <w:sz w:val="12"/>
                <w:szCs w:val="12"/>
                <w:color w:val="auto"/>
              </w:rPr>
            </w:pPr>
          </w:p>
        </w:tc>
        <w:tc>
          <w:tcPr>
            <w:tcW w:w="860" w:type="dxa"/>
            <w:vAlign w:val="bottom"/>
          </w:tcPr>
          <w:p>
            <w:pPr>
              <w:jc w:val="right"/>
              <w:ind w:right="38"/>
              <w:spacing w:after="0" w:line="145" w:lineRule="exact"/>
              <w:rPr>
                <w:sz w:val="20"/>
                <w:szCs w:val="20"/>
                <w:color w:val="auto"/>
              </w:rPr>
            </w:pPr>
            <w:r>
              <w:rPr>
                <w:rFonts w:ascii="Arial" w:cs="Arial" w:eastAsia="Arial" w:hAnsi="Arial"/>
                <w:sz w:val="13"/>
                <w:szCs w:val="13"/>
                <w:color w:val="0000FF"/>
              </w:rPr>
              <w:t>11,043</w:t>
            </w:r>
          </w:p>
        </w:tc>
        <w:tc>
          <w:tcPr>
            <w:tcW w:w="820" w:type="dxa"/>
            <w:vAlign w:val="bottom"/>
            <w:gridSpan w:val="2"/>
          </w:tcPr>
          <w:p>
            <w:pPr>
              <w:ind w:left="320"/>
              <w:spacing w:after="0"/>
              <w:rPr>
                <w:sz w:val="20"/>
                <w:szCs w:val="20"/>
                <w:color w:val="auto"/>
              </w:rPr>
            </w:pPr>
            <w:r>
              <w:rPr>
                <w:rFonts w:ascii="Arial" w:cs="Arial" w:eastAsia="Arial" w:hAnsi="Arial"/>
                <w:sz w:val="11"/>
                <w:szCs w:val="11"/>
                <w:color w:val="008000"/>
              </w:rPr>
              <w:t>(4)</w:t>
            </w:r>
          </w:p>
        </w:tc>
        <w:tc>
          <w:tcPr>
            <w:tcW w:w="740" w:type="dxa"/>
            <w:vAlign w:val="bottom"/>
          </w:tcPr>
          <w:p>
            <w:pPr>
              <w:jc w:val="center"/>
              <w:spacing w:after="0"/>
              <w:rPr>
                <w:sz w:val="20"/>
                <w:szCs w:val="20"/>
                <w:color w:val="auto"/>
              </w:rPr>
            </w:pPr>
            <w:r>
              <w:rPr>
                <w:rFonts w:ascii="Arial" w:cs="Arial" w:eastAsia="Arial" w:hAnsi="Arial"/>
                <w:sz w:val="11"/>
                <w:szCs w:val="11"/>
                <w:color w:val="008000"/>
                <w:w w:val="88"/>
              </w:rPr>
              <w:t>(4)</w:t>
            </w:r>
          </w:p>
        </w:tc>
        <w:tc>
          <w:tcPr>
            <w:tcW w:w="68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ind w:left="12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jc w:val="right"/>
              <w:ind w:right="78"/>
              <w:spacing w:after="0" w:line="145"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2"/>
                <w:szCs w:val="12"/>
                <w:color w:val="auto"/>
              </w:rPr>
            </w:pPr>
          </w:p>
        </w:tc>
        <w:tc>
          <w:tcPr>
            <w:tcW w:w="70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line="242" w:lineRule="exact"/>
              <w:rPr>
                <w:sz w:val="20"/>
                <w:szCs w:val="20"/>
                <w:color w:val="auto"/>
              </w:rPr>
            </w:pPr>
            <w:r>
              <w:rPr>
                <w:rFonts w:ascii="Arial" w:cs="Arial" w:eastAsia="Arial" w:hAnsi="Arial"/>
                <w:sz w:val="26"/>
                <w:szCs w:val="26"/>
                <w:color w:val="0000FF"/>
                <w:w w:val="96"/>
                <w:vertAlign w:val="subscript"/>
              </w:rPr>
              <w:t>Units</w:t>
            </w:r>
            <w:r>
              <w:rPr>
                <w:rFonts w:ascii="Arial" w:cs="Arial" w:eastAsia="Arial" w:hAnsi="Arial"/>
                <w:sz w:val="11"/>
                <w:szCs w:val="11"/>
                <w:color w:val="008000"/>
                <w:w w:val="96"/>
              </w:rPr>
              <w:t>(1)(2)</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jc w:val="right"/>
              <w:ind w:right="171"/>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720" w:type="dxa"/>
            <w:vAlign w:val="bottom"/>
            <w:tcBorders>
              <w:bottom w:val="single" w:sz="8" w:color="2C2C2C"/>
            </w:tcBorders>
            <w:gridSpan w:val="2"/>
            <w:vMerge w:val="continue"/>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20"/>
              <w:spacing w:after="0"/>
              <w:rPr>
                <w:sz w:val="20"/>
                <w:szCs w:val="20"/>
                <w:color w:val="auto"/>
              </w:rPr>
            </w:pPr>
            <w:r>
              <w:rPr>
                <w:rFonts w:ascii="Arial" w:cs="Arial" w:eastAsia="Arial" w:hAnsi="Arial"/>
                <w:sz w:val="12"/>
                <w:szCs w:val="12"/>
                <w:color w:val="auto"/>
                <w:w w:val="98"/>
              </w:rPr>
              <w:t>$</w:t>
            </w:r>
            <w:r>
              <w:rPr>
                <w:rFonts w:ascii="Arial" w:cs="Arial" w:eastAsia="Arial" w:hAnsi="Arial"/>
                <w:sz w:val="13"/>
                <w:szCs w:val="13"/>
                <w:color w:val="0000FF"/>
                <w:w w:val="98"/>
              </w:rPr>
              <w:t>0.0</w:t>
            </w:r>
            <w:r>
              <w:rPr>
                <w:rFonts w:ascii="Arial" w:cs="Arial" w:eastAsia="Arial" w:hAnsi="Arial"/>
                <w:sz w:val="22"/>
                <w:szCs w:val="22"/>
                <w:color w:val="008000"/>
                <w:w w:val="98"/>
                <w:vertAlign w:val="superscript"/>
              </w:rPr>
              <w:t>(4)</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right"/>
              <w:ind w:right="51"/>
              <w:spacing w:after="0"/>
              <w:rPr>
                <w:sz w:val="20"/>
                <w:szCs w:val="20"/>
                <w:color w:val="auto"/>
              </w:rPr>
            </w:pPr>
            <w:r>
              <w:rPr>
                <w:rFonts w:ascii="Arial" w:cs="Arial" w:eastAsia="Arial" w:hAnsi="Arial"/>
                <w:sz w:val="17"/>
                <w:szCs w:val="17"/>
                <w:color w:val="0000FF"/>
                <w:w w:val="98"/>
              </w:rPr>
              <w:t>7,078</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00" w:type="dxa"/>
            <w:vAlign w:val="bottom"/>
            <w:vMerge w:val="restart"/>
          </w:tcPr>
          <w:p>
            <w:pPr>
              <w:jc w:val="right"/>
              <w:ind w:right="133"/>
              <w:spacing w:after="0" w:line="145" w:lineRule="exact"/>
              <w:rPr>
                <w:sz w:val="20"/>
                <w:szCs w:val="20"/>
                <w:color w:val="auto"/>
              </w:rPr>
            </w:pPr>
            <w:r>
              <w:rPr>
                <w:rFonts w:ascii="Arial" w:cs="Arial" w:eastAsia="Arial" w:hAnsi="Arial"/>
                <w:sz w:val="13"/>
                <w:szCs w:val="13"/>
                <w:color w:val="0000FF"/>
              </w:rPr>
              <w:t>06/30/2015</w:t>
            </w: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vMerge w:val="restart"/>
          </w:tcPr>
          <w:p>
            <w:pPr>
              <w:ind w:left="60"/>
              <w:spacing w:after="0" w:line="145" w:lineRule="exact"/>
              <w:rPr>
                <w:sz w:val="20"/>
                <w:szCs w:val="20"/>
                <w:color w:val="auto"/>
              </w:rPr>
            </w:pPr>
            <w:r>
              <w:rPr>
                <w:rFonts w:ascii="Arial" w:cs="Arial" w:eastAsia="Arial" w:hAnsi="Arial"/>
                <w:sz w:val="13"/>
                <w:szCs w:val="13"/>
                <w:color w:val="0000FF"/>
              </w:rPr>
              <w:t>M</w:t>
            </w:r>
          </w:p>
        </w:tc>
        <w:tc>
          <w:tcPr>
            <w:tcW w:w="200" w:type="dxa"/>
            <w:vAlign w:val="bottom"/>
          </w:tcPr>
          <w:p>
            <w:pPr>
              <w:spacing w:after="0"/>
              <w:rPr>
                <w:sz w:val="7"/>
                <w:szCs w:val="7"/>
                <w:color w:val="auto"/>
              </w:rPr>
            </w:pPr>
          </w:p>
        </w:tc>
        <w:tc>
          <w:tcPr>
            <w:tcW w:w="860" w:type="dxa"/>
            <w:vAlign w:val="bottom"/>
            <w:vMerge w:val="restart"/>
          </w:tcPr>
          <w:p>
            <w:pPr>
              <w:jc w:val="right"/>
              <w:ind w:right="78"/>
              <w:spacing w:after="0" w:line="145" w:lineRule="exact"/>
              <w:rPr>
                <w:sz w:val="20"/>
                <w:szCs w:val="20"/>
                <w:color w:val="auto"/>
              </w:rPr>
            </w:pPr>
            <w:r>
              <w:rPr>
                <w:rFonts w:ascii="Arial" w:cs="Arial" w:eastAsia="Arial" w:hAnsi="Arial"/>
                <w:sz w:val="13"/>
                <w:szCs w:val="13"/>
                <w:color w:val="0000FF"/>
              </w:rPr>
              <w:t>7,078</w:t>
            </w:r>
          </w:p>
        </w:tc>
        <w:tc>
          <w:tcPr>
            <w:tcW w:w="820" w:type="dxa"/>
            <w:vAlign w:val="bottom"/>
            <w:gridSpan w:val="2"/>
            <w:vMerge w:val="restart"/>
          </w:tcPr>
          <w:p>
            <w:pPr>
              <w:ind w:left="320"/>
              <w:spacing w:after="0"/>
              <w:rPr>
                <w:sz w:val="20"/>
                <w:szCs w:val="20"/>
                <w:color w:val="auto"/>
              </w:rPr>
            </w:pPr>
            <w:r>
              <w:rPr>
                <w:rFonts w:ascii="Arial" w:cs="Arial" w:eastAsia="Arial" w:hAnsi="Arial"/>
                <w:sz w:val="11"/>
                <w:szCs w:val="11"/>
                <w:color w:val="008000"/>
              </w:rPr>
              <w:t>(4)</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w w:val="88"/>
              </w:rPr>
              <w:t>(4)</w:t>
            </w:r>
          </w:p>
        </w:tc>
        <w:tc>
          <w:tcPr>
            <w:tcW w:w="68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restart"/>
          </w:tcPr>
          <w:p>
            <w:pPr>
              <w:ind w:left="12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jc w:val="right"/>
              <w:spacing w:after="0" w:line="145" w:lineRule="exact"/>
              <w:rPr>
                <w:sz w:val="20"/>
                <w:szCs w:val="20"/>
                <w:color w:val="auto"/>
              </w:rPr>
            </w:pPr>
            <w:r>
              <w:rPr>
                <w:rFonts w:ascii="Arial" w:cs="Arial" w:eastAsia="Arial" w:hAnsi="Arial"/>
                <w:sz w:val="13"/>
                <w:szCs w:val="13"/>
                <w:color w:val="0000FF"/>
              </w:rPr>
              <w:t>7,078</w:t>
            </w:r>
          </w:p>
        </w:tc>
        <w:tc>
          <w:tcPr>
            <w:tcW w:w="300" w:type="dxa"/>
            <w:vAlign w:val="bottom"/>
          </w:tcPr>
          <w:p>
            <w:pPr>
              <w:spacing w:after="0"/>
              <w:rPr>
                <w:sz w:val="7"/>
                <w:szCs w:val="7"/>
                <w:color w:val="auto"/>
              </w:rPr>
            </w:pPr>
          </w:p>
        </w:tc>
        <w:tc>
          <w:tcPr>
            <w:tcW w:w="700" w:type="dxa"/>
            <w:vAlign w:val="bottom"/>
            <w:vMerge w:val="restart"/>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restart"/>
          </w:tcPr>
          <w:p>
            <w:pPr>
              <w:jc w:val="right"/>
              <w:ind w:right="171"/>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26"/>
                <w:szCs w:val="26"/>
                <w:color w:val="0000FF"/>
                <w:w w:val="96"/>
                <w:vertAlign w:val="subscript"/>
              </w:rPr>
              <w:t>Units</w:t>
            </w:r>
            <w:r>
              <w:rPr>
                <w:rFonts w:ascii="Arial" w:cs="Arial" w:eastAsia="Arial" w:hAnsi="Arial"/>
                <w:sz w:val="11"/>
                <w:szCs w:val="11"/>
                <w:color w:val="008000"/>
                <w:w w:val="96"/>
              </w:rPr>
              <w:t>(2)(3)</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3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Salary Stock Units ("SSUs") awarded on June 30, 2012 pursuant to the Company's Salary Stock Plan (the "GMSSP"). The portion of this award currently payable was settled on June 30, 2015, less a portion withheld for taxes.</w:t>
      </w:r>
    </w:p>
    <w:p>
      <w:pPr>
        <w:spacing w:after="0" w:line="10" w:lineRule="exact"/>
        <w:rPr>
          <w:rFonts w:ascii="Arial" w:cs="Arial" w:eastAsia="Arial" w:hAnsi="Arial"/>
          <w:sz w:val="13"/>
          <w:szCs w:val="13"/>
          <w:color w:val="008000"/>
        </w:rPr>
      </w:pPr>
    </w:p>
    <w:p>
      <w:pPr>
        <w:jc w:val="both"/>
        <w:ind w:left="40" w:right="220" w:firstLine="8"/>
        <w:spacing w:after="0" w:line="248"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SSU is the economic equivalent of one share of the Company's common stock. Grants of SSU are fully vested when made and will be settled in three equal, annual installments beginning one year after the date of grant. The GMSSP gives the Reporting Person the option of having a settlement made by delivery of shares of the Company's common stock or of cash in an amount equal to the fair market value of the Company's common stock as of the applicable anniversary date of the SSU's grant. Under the GMSSP, the fair value of the Company's common stock is the average of the high and low trading prices for the Company's common stock as reported on the New York Stock Exchange, on which it is listed, on the date of the transaction, which was $33.32.</w:t>
      </w:r>
    </w:p>
    <w:p>
      <w:pPr>
        <w:spacing w:after="0" w:line="26" w:lineRule="exact"/>
        <w:rPr>
          <w:rFonts w:ascii="Arial" w:cs="Arial" w:eastAsia="Arial" w:hAnsi="Arial"/>
          <w:sz w:val="13"/>
          <w:szCs w:val="13"/>
          <w:color w:val="008000"/>
        </w:rPr>
      </w:pPr>
    </w:p>
    <w:p>
      <w:pPr>
        <w:ind w:left="40" w:right="3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June 30, 2013 pursuant to the GMSSP. The portion of this award currently payable was settled on June 30, 2015, less a portion withheld for taxes.</w:t>
      </w:r>
    </w:p>
    <w:p>
      <w:pPr>
        <w:spacing w:after="0" w:line="10"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51"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Robert C. Shrosbree,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-7620</wp:posOffset>
            </wp:positionV>
            <wp:extent cx="10623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62355" cy="8255"/>
                    </a:xfrm>
                    <a:prstGeom prst="rect">
                      <a:avLst/>
                    </a:prstGeom>
                    <a:noFill/>
                  </pic:spPr>
                </pic:pic>
              </a:graphicData>
            </a:graphic>
          </wp:anchor>
        </w:drawing>
      </w:r>
    </w:p>
    <w:p>
      <w:pPr>
        <w:spacing w:after="0" w:line="6"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Attorney-In-Fact for Mr.</w:t>
      </w:r>
      <w:r>
        <w:rPr>
          <w:sz w:val="20"/>
          <w:szCs w:val="20"/>
          <w:color w:val="auto"/>
        </w:rPr>
        <w:tab/>
      </w:r>
      <w:r>
        <w:rPr>
          <w:rFonts w:ascii="Arial" w:cs="Arial" w:eastAsia="Arial" w:hAnsi="Arial"/>
          <w:sz w:val="15"/>
          <w:szCs w:val="15"/>
          <w:color w:val="0000FF"/>
        </w:rPr>
        <w:t>07/02/2015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-11430</wp:posOffset>
            </wp:positionV>
            <wp:extent cx="19545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Ammann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-11430</wp:posOffset>
            </wp:positionV>
            <wp:extent cx="4127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12750" cy="8255"/>
                    </a:xfrm>
                    <a:prstGeom prst="rect">
                      <a:avLst/>
                    </a:prstGeom>
                    <a:noFill/>
                  </pic:spPr>
                </pic:pic>
              </a:graphicData>
            </a:graphic>
          </wp:anchor>
        </w:drawing>
      </w:r>
    </w:p>
    <w:p>
      <w:pPr>
        <w:spacing w:after="0" w:line="5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69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92931"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2019-12-08T22:34:41Z</dcterms:created>
  <dcterms:modified xsi:type="dcterms:W3CDTF">2019-12-08T22:34:41Z</dcterms:modified>
</cp:coreProperties>
</file>