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45"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2"/>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80" w:type="dxa"/>
            <w:vAlign w:val="bottom"/>
          </w:tcPr>
          <w:p>
            <w:pPr>
              <w:jc w:val="right"/>
              <w:ind w:right="104"/>
              <w:spacing w:after="0"/>
              <w:rPr>
                <w:sz w:val="20"/>
                <w:szCs w:val="20"/>
                <w:color w:val="auto"/>
              </w:rPr>
            </w:pPr>
            <w:r>
              <w:rPr>
                <w:rFonts w:ascii="Arial" w:cs="Arial" w:eastAsia="Arial" w:hAnsi="Arial"/>
                <w:sz w:val="7"/>
                <w:szCs w:val="7"/>
                <w:color w:val="auto"/>
                <w:w w:val="71"/>
              </w:rPr>
              <w:t>*</w:t>
            </w:r>
          </w:p>
        </w:tc>
        <w:tc>
          <w:tcPr>
            <w:tcW w:w="14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restart"/>
          </w:tcPr>
          <w:p>
            <w:pPr>
              <w:ind w:left="12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gridSpan w:val="3"/>
            <w:vMerge w:val="restart"/>
          </w:tcPr>
          <w:p>
            <w:pPr>
              <w:spacing w:after="0" w:line="256" w:lineRule="exact"/>
              <w:rPr>
                <w:rFonts w:ascii="Arial" w:cs="Arial" w:eastAsia="Arial" w:hAnsi="Arial"/>
                <w:sz w:val="24"/>
                <w:szCs w:val="24"/>
                <w:color w:val="0000EE"/>
                <w:w w:val="97"/>
              </w:rPr>
            </w:pPr>
            <w:hyperlink r:id="rId10">
              <w:r>
                <w:rPr>
                  <w:rFonts w:ascii="Arial" w:cs="Arial" w:eastAsia="Arial" w:hAnsi="Arial"/>
                  <w:sz w:val="24"/>
                  <w:szCs w:val="24"/>
                  <w:color w:val="0000EE"/>
                  <w:w w:val="97"/>
                </w:rPr>
                <w:t>General Motors Holdings LLC</w:t>
              </w:r>
            </w:hyperlink>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gridSpan w:val="3"/>
            <w:vMerge w:val="continue"/>
          </w:tcPr>
          <w:p>
            <w:pPr>
              <w:spacing w:after="0"/>
              <w:rPr>
                <w:sz w:val="13"/>
                <w:szCs w:val="13"/>
                <w:color w:val="auto"/>
              </w:rPr>
            </w:pPr>
          </w:p>
        </w:tc>
        <w:tc>
          <w:tcPr>
            <w:tcW w:w="1480" w:type="dxa"/>
            <w:vAlign w:val="bottom"/>
          </w:tcPr>
          <w:p>
            <w:pPr>
              <w:ind w:left="12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ind w:left="120"/>
              <w:spacing w:after="0" w:line="145" w:lineRule="exact"/>
              <w:rPr>
                <w:sz w:val="20"/>
                <w:szCs w:val="20"/>
                <w:color w:val="auto"/>
              </w:rPr>
            </w:pPr>
            <w:r>
              <w:rPr>
                <w:rFonts w:ascii="Arial" w:cs="Arial" w:eastAsia="Arial" w:hAnsi="Arial"/>
                <w:sz w:val="16"/>
                <w:szCs w:val="16"/>
                <w:color w:val="0000FF"/>
              </w:rPr>
              <w:t>02/03/2022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SES AI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SES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08" w:lineRule="exact"/>
        <w:rPr>
          <w:sz w:val="24"/>
          <w:szCs w:val="24"/>
          <w:color w:val="auto"/>
        </w:rPr>
      </w:pPr>
    </w:p>
    <w:p>
      <w:pPr>
        <w:sectPr>
          <w:pgSz w:w="11900" w:h="16845" w:orient="portrait"/>
          <w:cols w:equalWidth="0" w:num="2">
            <w:col w:w="4720" w:space="280"/>
            <w:col w:w="5940"/>
          </w:cols>
          <w:pgMar w:left="480" w:top="236" w:right="479" w:bottom="0" w:gutter="0" w:footer="0" w:header="0"/>
          <w:type w:val="continuous"/>
        </w:sectPr>
      </w:pPr>
    </w:p>
    <w:p>
      <w:pPr>
        <w:spacing w:after="0" w:line="23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300 RENAISSANCE CENTER</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DETROIT</w:t>
            </w:r>
          </w:p>
        </w:tc>
        <w:tc>
          <w:tcPr>
            <w:tcW w:w="840" w:type="dxa"/>
            <w:vAlign w:val="bottom"/>
          </w:tcPr>
          <w:p>
            <w:pPr>
              <w:ind w:left="100"/>
              <w:spacing w:after="0"/>
              <w:rPr>
                <w:sz w:val="20"/>
                <w:szCs w:val="20"/>
                <w:color w:val="auto"/>
              </w:rPr>
            </w:pPr>
            <w:r>
              <w:rPr>
                <w:rFonts w:ascii="Arial" w:cs="Arial" w:eastAsia="Arial" w:hAnsi="Arial"/>
                <w:sz w:val="20"/>
                <w:szCs w:val="20"/>
                <w:color w:val="0000FF"/>
              </w:rPr>
              <w:t>MI</w:t>
            </w:r>
          </w:p>
        </w:tc>
        <w:tc>
          <w:tcPr>
            <w:tcW w:w="1300" w:type="dxa"/>
            <w:vAlign w:val="bottom"/>
          </w:tcPr>
          <w:p>
            <w:pPr>
              <w:ind w:left="300"/>
              <w:spacing w:after="0"/>
              <w:rPr>
                <w:sz w:val="20"/>
                <w:szCs w:val="20"/>
                <w:color w:val="auto"/>
              </w:rPr>
            </w:pPr>
            <w:r>
              <w:rPr>
                <w:rFonts w:ascii="Arial" w:cs="Arial" w:eastAsia="Arial" w:hAnsi="Arial"/>
                <w:sz w:val="20"/>
                <w:szCs w:val="20"/>
                <w:color w:val="0000FF"/>
              </w:rPr>
              <w:t>48265</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02/14/2022</w:t>
      </w:r>
    </w:p>
    <w:p>
      <w:pPr>
        <w:spacing w:after="0" w:line="258" w:lineRule="exact"/>
        <w:rPr>
          <w:sz w:val="24"/>
          <w:szCs w:val="24"/>
          <w:color w:val="auto"/>
        </w:rPr>
      </w:pPr>
    </w:p>
    <w:p>
      <w:pPr>
        <w:ind w:right="480" w:firstLine="9"/>
        <w:spacing w:after="0" w:line="239"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60"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60" w:right="320" w:hanging="304"/>
        <w:spacing w:after="0" w:line="184" w:lineRule="auto"/>
        <w:tabs>
          <w:tab w:leader="none" w:pos="460"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57" w:lineRule="exact"/>
        <w:rPr>
          <w:sz w:val="24"/>
          <w:szCs w:val="24"/>
          <w:color w:val="auto"/>
        </w:rPr>
      </w:pPr>
    </w:p>
    <w:p>
      <w:pPr>
        <w:sectPr>
          <w:pgSz w:w="11900" w:h="16845" w:orient="portrait"/>
          <w:cols w:equalWidth="0" w:num="3">
            <w:col w:w="4277" w:space="720"/>
            <w:col w:w="3003" w:space="260"/>
            <w:col w:w="2680"/>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100" w:type="dxa"/>
            <w:vAlign w:val="bottom"/>
            <w:tcBorders>
              <w:bottom w:val="single" w:sz="8" w:color="2C2C2C"/>
            </w:tcBorders>
            <w:gridSpan w:val="8"/>
          </w:tcPr>
          <w:p>
            <w:pPr>
              <w:ind w:left="80"/>
              <w:spacing w:after="0"/>
              <w:rPr>
                <w:sz w:val="20"/>
                <w:szCs w:val="20"/>
                <w:color w:val="auto"/>
              </w:rPr>
            </w:pPr>
            <w:r>
              <w:rPr>
                <w:rFonts w:ascii="Arial" w:cs="Arial" w:eastAsia="Arial" w:hAnsi="Arial"/>
                <w:sz w:val="20"/>
                <w:szCs w:val="20"/>
                <w:color w:val="0000FF"/>
              </w:rPr>
              <w:t>Class A common stock, par value $0.0001</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jc w:val="right"/>
              <w:ind w:right="460"/>
              <w:spacing w:after="0"/>
              <w:rPr>
                <w:sz w:val="20"/>
                <w:szCs w:val="20"/>
                <w:color w:val="auto"/>
              </w:rPr>
            </w:pPr>
            <w:r>
              <w:rPr>
                <w:rFonts w:ascii="Arial" w:cs="Arial" w:eastAsia="Arial" w:hAnsi="Arial"/>
                <w:sz w:val="20"/>
                <w:szCs w:val="20"/>
                <w:color w:val="0000FF"/>
              </w:rPr>
              <w:t>9,880,715</w:t>
            </w:r>
          </w:p>
        </w:tc>
        <w:tc>
          <w:tcPr>
            <w:tcW w:w="1360" w:type="dxa"/>
            <w:vAlign w:val="bottom"/>
            <w:tcBorders>
              <w:bottom w:val="single" w:sz="8" w:color="2C2C2C"/>
            </w:tcBorders>
            <w:gridSpan w:val="2"/>
          </w:tcPr>
          <w:p>
            <w:pPr>
              <w:ind w:left="48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100" w:type="dxa"/>
            <w:vAlign w:val="bottom"/>
            <w:gridSpan w:val="8"/>
            <w:vMerge w:val="restart"/>
          </w:tcPr>
          <w:p>
            <w:pPr>
              <w:ind w:left="80"/>
              <w:spacing w:after="0"/>
              <w:rPr>
                <w:sz w:val="20"/>
                <w:szCs w:val="20"/>
                <w:color w:val="auto"/>
              </w:rPr>
            </w:pPr>
            <w:r>
              <w:rPr>
                <w:rFonts w:ascii="Arial" w:cs="Arial" w:eastAsia="Arial" w:hAnsi="Arial"/>
                <w:sz w:val="20"/>
                <w:szCs w:val="20"/>
                <w:color w:val="0000FF"/>
              </w:rPr>
              <w:t>Class A common stock, par value $0.0001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vMerge w:val="restart"/>
          </w:tcPr>
          <w:p>
            <w:pPr>
              <w:jc w:val="right"/>
              <w:ind w:right="420"/>
              <w:spacing w:after="0"/>
              <w:rPr>
                <w:sz w:val="20"/>
                <w:szCs w:val="20"/>
                <w:color w:val="auto"/>
              </w:rPr>
            </w:pPr>
            <w:r>
              <w:rPr>
                <w:rFonts w:ascii="Arial" w:cs="Arial" w:eastAsia="Arial" w:hAnsi="Arial"/>
                <w:sz w:val="20"/>
                <w:szCs w:val="20"/>
                <w:color w:val="0000FF"/>
              </w:rPr>
              <w:t>23,175,622</w:t>
            </w:r>
          </w:p>
        </w:tc>
        <w:tc>
          <w:tcPr>
            <w:tcW w:w="1360" w:type="dxa"/>
            <w:vAlign w:val="bottom"/>
            <w:gridSpan w:val="2"/>
            <w:vMerge w:val="restart"/>
          </w:tcPr>
          <w:p>
            <w:pPr>
              <w:ind w:left="52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(1)(2)</w:t>
            </w:r>
          </w:p>
        </w:tc>
        <w:tc>
          <w:tcPr>
            <w:tcW w:w="2780" w:type="dxa"/>
            <w:vAlign w:val="bottom"/>
            <w:gridSpan w:val="4"/>
          </w:tcPr>
          <w:p>
            <w:pPr>
              <w:spacing w:after="0"/>
              <w:rPr>
                <w:sz w:val="20"/>
                <w:szCs w:val="20"/>
                <w:color w:val="auto"/>
              </w:rPr>
            </w:pPr>
            <w:r>
              <w:rPr>
                <w:rFonts w:ascii="Arial" w:cs="Arial" w:eastAsia="Arial" w:hAnsi="Arial"/>
                <w:sz w:val="20"/>
                <w:szCs w:val="20"/>
                <w:color w:val="0000FF"/>
                <w:w w:val="92"/>
              </w:rPr>
              <w:t>Held by General Motors Ventures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8"/>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80" w:type="dxa"/>
            <w:vAlign w:val="bottom"/>
            <w:gridSpan w:val="2"/>
            <w:vMerge w:val="restart"/>
          </w:tcPr>
          <w:p>
            <w:pPr>
              <w:spacing w:after="0" w:line="309" w:lineRule="exact"/>
              <w:rPr>
                <w:sz w:val="20"/>
                <w:szCs w:val="20"/>
                <w:color w:val="auto"/>
              </w:rPr>
            </w:pPr>
            <w:r>
              <w:rPr>
                <w:rFonts w:ascii="Arial" w:cs="Arial" w:eastAsia="Arial" w:hAnsi="Arial"/>
                <w:sz w:val="35"/>
                <w:szCs w:val="35"/>
                <w:color w:val="0000FF"/>
                <w:vertAlign w:val="subscript"/>
              </w:rPr>
              <w:t>LLC</w:t>
            </w:r>
            <w:r>
              <w:rPr>
                <w:rFonts w:ascii="Arial" w:cs="Arial" w:eastAsia="Arial" w:hAnsi="Arial"/>
                <w:sz w:val="12"/>
                <w:szCs w:val="12"/>
                <w:color w:val="008000"/>
              </w:rPr>
              <w:t>(1)(2)</w:t>
            </w: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9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gridSpan w:val="2"/>
            <w:vMerge w:val="continue"/>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1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5380" w:type="dxa"/>
            <w:vAlign w:val="bottom"/>
            <w:gridSpan w:val="10"/>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3"/>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General Motors Holdings LLC</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54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20"/>
                <w:szCs w:val="20"/>
                <w:color w:val="0000FF"/>
                <w:w w:val="96"/>
              </w:rPr>
              <w:t>300 RENAISSANCE CENTER</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5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20"/>
                <w:szCs w:val="20"/>
                <w:color w:val="0000FF"/>
              </w:rPr>
              <w:t>DETROIT</w:t>
            </w:r>
          </w:p>
        </w:tc>
        <w:tc>
          <w:tcPr>
            <w:tcW w:w="1540" w:type="dxa"/>
            <w:vAlign w:val="bottom"/>
          </w:tcPr>
          <w:p>
            <w:pPr>
              <w:ind w:left="280"/>
              <w:spacing w:after="0"/>
              <w:rPr>
                <w:sz w:val="20"/>
                <w:szCs w:val="20"/>
                <w:color w:val="auto"/>
              </w:rPr>
            </w:pPr>
            <w:r>
              <w:rPr>
                <w:rFonts w:ascii="Arial" w:cs="Arial" w:eastAsia="Arial" w:hAnsi="Arial"/>
                <w:sz w:val="20"/>
                <w:szCs w:val="20"/>
                <w:color w:val="0000FF"/>
              </w:rPr>
              <w:t>MI</w:t>
            </w:r>
          </w:p>
        </w:tc>
        <w:tc>
          <w:tcPr>
            <w:tcW w:w="1340" w:type="dxa"/>
            <w:vAlign w:val="bottom"/>
            <w:gridSpan w:val="4"/>
          </w:tcPr>
          <w:p>
            <w:pPr>
              <w:ind w:left="120"/>
              <w:spacing w:after="0"/>
              <w:rPr>
                <w:sz w:val="20"/>
                <w:szCs w:val="20"/>
                <w:color w:val="auto"/>
              </w:rPr>
            </w:pPr>
            <w:r>
              <w:rPr>
                <w:rFonts w:ascii="Arial" w:cs="Arial" w:eastAsia="Arial" w:hAnsi="Arial"/>
                <w:sz w:val="20"/>
                <w:szCs w:val="20"/>
                <w:color w:val="0000FF"/>
              </w:rPr>
              <w:t>48265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540" w:type="dxa"/>
            <w:vAlign w:val="bottom"/>
          </w:tcPr>
          <w:p>
            <w:pPr>
              <w:ind w:left="28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3"/>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General Motors Ventures LLC</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54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20"/>
                <w:szCs w:val="20"/>
                <w:color w:val="0000FF"/>
                <w:w w:val="96"/>
              </w:rPr>
              <w:t>300 RENAISSANCE CENTER</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54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20"/>
                <w:szCs w:val="20"/>
                <w:color w:val="0000FF"/>
              </w:rPr>
              <w:t>DETROIT</w:t>
            </w:r>
          </w:p>
        </w:tc>
        <w:tc>
          <w:tcPr>
            <w:tcW w:w="1540" w:type="dxa"/>
            <w:vAlign w:val="bottom"/>
          </w:tcPr>
          <w:p>
            <w:pPr>
              <w:ind w:left="280"/>
              <w:spacing w:after="0"/>
              <w:rPr>
                <w:sz w:val="20"/>
                <w:szCs w:val="20"/>
                <w:color w:val="auto"/>
              </w:rPr>
            </w:pPr>
            <w:r>
              <w:rPr>
                <w:rFonts w:ascii="Arial" w:cs="Arial" w:eastAsia="Arial" w:hAnsi="Arial"/>
                <w:sz w:val="20"/>
                <w:szCs w:val="20"/>
                <w:color w:val="0000FF"/>
              </w:rPr>
              <w:t>MI</w:t>
            </w:r>
          </w:p>
        </w:tc>
        <w:tc>
          <w:tcPr>
            <w:tcW w:w="1340" w:type="dxa"/>
            <w:vAlign w:val="bottom"/>
            <w:gridSpan w:val="4"/>
          </w:tcPr>
          <w:p>
            <w:pPr>
              <w:ind w:left="120"/>
              <w:spacing w:after="0"/>
              <w:rPr>
                <w:sz w:val="20"/>
                <w:szCs w:val="20"/>
                <w:color w:val="auto"/>
              </w:rPr>
            </w:pPr>
            <w:r>
              <w:rPr>
                <w:rFonts w:ascii="Arial" w:cs="Arial" w:eastAsia="Arial" w:hAnsi="Arial"/>
                <w:sz w:val="20"/>
                <w:szCs w:val="20"/>
                <w:color w:val="0000FF"/>
              </w:rPr>
              <w:t>48265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540" w:type="dxa"/>
            <w:vAlign w:val="bottom"/>
          </w:tcPr>
          <w:p>
            <w:pPr>
              <w:ind w:left="280"/>
              <w:spacing w:after="0"/>
              <w:rPr>
                <w:sz w:val="20"/>
                <w:szCs w:val="20"/>
                <w:color w:val="auto"/>
              </w:rPr>
            </w:pPr>
            <w:r>
              <w:rPr>
                <w:rFonts w:ascii="Arial" w:cs="Arial" w:eastAsia="Arial" w:hAnsi="Arial"/>
                <w:sz w:val="15"/>
                <w:szCs w:val="15"/>
                <w:color w:val="auto"/>
              </w:rPr>
              <w:t>(State)</w:t>
            </w:r>
          </w:p>
        </w:tc>
        <w:tc>
          <w:tcPr>
            <w:tcW w:w="1340" w:type="dxa"/>
            <w:vAlign w:val="bottom"/>
            <w:gridSpan w:val="4"/>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45" w:orient="portrait"/>
          <w:cols w:equalWidth="0" w:num="1">
            <w:col w:w="10940"/>
          </w:cols>
          <w:pgMar w:left="480" w:top="236" w:right="479" w:bottom="0" w:gutter="0" w:footer="0" w:header="0"/>
          <w:type w:val="continuous"/>
        </w:sectPr>
      </w:pPr>
    </w:p>
    <w:p>
      <w:pPr>
        <w:ind w:left="14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General Motors Co</w:t>
        </w:r>
      </w:hyperlink>
    </w:p>
    <w:p>
      <w:pPr>
        <w:sectPr>
          <w:pgSz w:w="11900" w:h="16845" w:orient="portrait"/>
          <w:cols w:equalWidth="0" w:num="1">
            <w:col w:w="10940"/>
          </w:cols>
          <w:pgMar w:left="480" w:top="236" w:right="47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(Last)</w:t>
            </w:r>
          </w:p>
        </w:tc>
        <w:tc>
          <w:tcPr>
            <w:tcW w:w="1520" w:type="dxa"/>
            <w:vAlign w:val="bottom"/>
          </w:tcPr>
          <w:p>
            <w:pPr>
              <w:ind w:left="280"/>
              <w:spacing w:after="0"/>
              <w:rPr>
                <w:sz w:val="20"/>
                <w:szCs w:val="20"/>
                <w:color w:val="auto"/>
              </w:rPr>
            </w:pPr>
            <w:r>
              <w:rPr>
                <w:rFonts w:ascii="Arial" w:cs="Arial" w:eastAsia="Arial" w:hAnsi="Arial"/>
                <w:sz w:val="15"/>
                <w:szCs w:val="15"/>
                <w:color w:val="auto"/>
              </w:rPr>
              <w:t>(First)</w:t>
            </w:r>
          </w:p>
        </w:tc>
        <w:tc>
          <w:tcPr>
            <w:tcW w:w="1480" w:type="dxa"/>
            <w:vAlign w:val="bottom"/>
          </w:tcPr>
          <w:p>
            <w:pPr>
              <w:ind w:left="1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Arial" w:cs="Arial" w:eastAsia="Arial" w:hAnsi="Arial"/>
                <w:sz w:val="20"/>
                <w:szCs w:val="20"/>
                <w:color w:val="0000FF"/>
                <w:w w:val="96"/>
              </w:rPr>
              <w:t>300 RENAISSANCE CENTER</w:t>
            </w:r>
          </w:p>
        </w:tc>
        <w:tc>
          <w:tcPr>
            <w:tcW w:w="148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r>
      <w:tr>
        <w:trPr>
          <w:trHeight w:val="299"/>
        </w:trPr>
        <w:tc>
          <w:tcPr>
            <w:tcW w:w="11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20"/>
                <w:szCs w:val="20"/>
                <w:color w:val="0000FF"/>
              </w:rPr>
              <w:t>DETROIT</w:t>
            </w:r>
          </w:p>
        </w:tc>
        <w:tc>
          <w:tcPr>
            <w:tcW w:w="1520" w:type="dxa"/>
            <w:vAlign w:val="bottom"/>
          </w:tcPr>
          <w:p>
            <w:pPr>
              <w:ind w:left="280"/>
              <w:spacing w:after="0"/>
              <w:rPr>
                <w:sz w:val="20"/>
                <w:szCs w:val="20"/>
                <w:color w:val="auto"/>
              </w:rPr>
            </w:pPr>
            <w:r>
              <w:rPr>
                <w:rFonts w:ascii="Arial" w:cs="Arial" w:eastAsia="Arial" w:hAnsi="Arial"/>
                <w:sz w:val="20"/>
                <w:szCs w:val="20"/>
                <w:color w:val="0000FF"/>
              </w:rPr>
              <w:t>MI</w:t>
            </w:r>
          </w:p>
        </w:tc>
        <w:tc>
          <w:tcPr>
            <w:tcW w:w="1480" w:type="dxa"/>
            <w:vAlign w:val="bottom"/>
          </w:tcPr>
          <w:p>
            <w:pPr>
              <w:ind w:left="140"/>
              <w:spacing w:after="0"/>
              <w:rPr>
                <w:sz w:val="20"/>
                <w:szCs w:val="20"/>
                <w:color w:val="auto"/>
              </w:rPr>
            </w:pPr>
            <w:r>
              <w:rPr>
                <w:rFonts w:ascii="Arial" w:cs="Arial" w:eastAsia="Arial" w:hAnsi="Arial"/>
                <w:sz w:val="20"/>
                <w:szCs w:val="20"/>
                <w:color w:val="0000FF"/>
              </w:rPr>
              <w:t>48265</w:t>
            </w:r>
          </w:p>
        </w:tc>
      </w:tr>
      <w:tr>
        <w:trPr>
          <w:trHeight w:val="177"/>
        </w:trPr>
        <w:tc>
          <w:tcPr>
            <w:tcW w:w="2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520" w:type="dxa"/>
            <w:vAlign w:val="bottom"/>
          </w:tcPr>
          <w:p>
            <w:pPr>
              <w:ind w:left="280"/>
              <w:spacing w:after="0"/>
              <w:rPr>
                <w:sz w:val="20"/>
                <w:szCs w:val="20"/>
                <w:color w:val="auto"/>
              </w:rPr>
            </w:pPr>
            <w:r>
              <w:rPr>
                <w:rFonts w:ascii="Arial" w:cs="Arial" w:eastAsia="Arial" w:hAnsi="Arial"/>
                <w:sz w:val="15"/>
                <w:szCs w:val="15"/>
                <w:color w:val="auto"/>
              </w:rPr>
              <w:t>(State)</w:t>
            </w:r>
          </w:p>
        </w:tc>
        <w:tc>
          <w:tcPr>
            <w:tcW w:w="1480" w:type="dxa"/>
            <w:vAlign w:val="bottom"/>
          </w:tcPr>
          <w:p>
            <w:pPr>
              <w:ind w:left="1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480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14801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firstLine="5"/>
        <w:spacing w:after="0" w:line="254"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General Motors Ventures LLC ("GM Ventures") is the record holder of 21,090,498 shares of Class A Common Stock and 2,085,124 shares of Class A Common Stock that may be issued for the benefit of the former holders of SES Holdings Pte. Ltd. common stock (the "Earn-Out Shares"). General Motors Holdings LLC ("GM Holdings") is the record holder of 9,043,889 shares of Class A Common Stock and 836,826 Earn-Out Shares. GM Ventures is a direct, wholly owned subsidiary of GM Holdings, and GM Holdings is a direct, wholly owned subsidiary of General Motors Company ("GM"). GM may be deemed to share beneficial ownership over the shares of Class A Common Stock directly owned by GM Ventures and GM Holdings, and GM Holdings may be deemed to share beneficial ownership over the shares of Class A Common Stock directly owned by GM Ventures. Each of GM and GM Holdings disclaims beneficial ownership of any shares other than to the extent they may have a pecuniary interest therein.</w:t>
      </w:r>
    </w:p>
    <w:p>
      <w:pPr>
        <w:spacing w:after="0" w:line="28" w:lineRule="exact"/>
        <w:rPr>
          <w:rFonts w:ascii="Arial" w:cs="Arial" w:eastAsia="Arial" w:hAnsi="Arial"/>
          <w:sz w:val="14"/>
          <w:szCs w:val="14"/>
          <w:color w:val="008000"/>
        </w:rPr>
      </w:pPr>
    </w:p>
    <w:p>
      <w:pPr>
        <w:ind w:left="160" w:hanging="155"/>
        <w:spacing w:after="0"/>
        <w:tabs>
          <w:tab w:leader="none" w:pos="16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(Continued form footnote 1) The address of the principal business office of each of GM, GM Holdings, and GM Ventures is 300 Renaissance Center, Detroit, MI, 48265.</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jc w:val="both"/>
        <w:ind w:right="240"/>
        <w:spacing w:after="0" w:line="241" w:lineRule="auto"/>
        <w:rPr>
          <w:sz w:val="20"/>
          <w:szCs w:val="20"/>
          <w:color w:val="auto"/>
        </w:rPr>
      </w:pPr>
      <w:r>
        <w:rPr>
          <w:rFonts w:ascii="Arial" w:cs="Arial" w:eastAsia="Arial" w:hAnsi="Arial"/>
          <w:sz w:val="15"/>
          <w:szCs w:val="15"/>
          <w:color w:val="008000"/>
        </w:rPr>
        <w:t>This amendment is being filed in order to correct an administrative error by the financial printer relating to the identity of one of the the Reporting Persons. The previously filed report inadvertently indicated that General Motors Financial Company, Inc. was a beneficial owner of the reported securities, but it is not a beneficial owner of any the reported securities.</w:t>
      </w:r>
    </w:p>
    <w:p>
      <w:pPr>
        <w:sectPr>
          <w:pgSz w:w="11900" w:h="16838" w:orient="portrait"/>
          <w:cols w:equalWidth="0" w:num="1">
            <w:col w:w="10820"/>
          </w:cols>
          <w:pgMar w:left="520" w:top="469" w:right="559" w:bottom="1440" w:gutter="0" w:footer="0" w:header="0"/>
        </w:sectPr>
      </w:pPr>
    </w:p>
    <w:p>
      <w:pPr>
        <w:spacing w:after="0" w:line="6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2268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1226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HOLDINGS LLC, /s/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17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Kim, Name: John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919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1391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Kim,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12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312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799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2268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226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VENTURES LLC, /s/ Joel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14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Stark, Name: Joel 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777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777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4777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MOTORS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2268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226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COMPANY, /s/ John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71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671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Kim, Name: John 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032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9032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Title: Assistant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57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757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799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0000FF"/>
        </w:rPr>
        <w:t>02/14/2022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8640" w:space="80"/>
            <w:col w:w="2100"/>
          </w:cols>
          <w:pgMar w:left="520" w:top="469"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469"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0" Type="http://schemas.openxmlformats.org/officeDocument/2006/relationships/hyperlink" Target="http://www.sec.gov/cgi-bin/browse-edgar?action=getcompany&amp;CIK=0001497345" TargetMode="External"/><Relationship Id="rId11" Type="http://schemas.openxmlformats.org/officeDocument/2006/relationships/hyperlink" Target="http://www.sec.gov/cgi-bin/browse-edgar?action=getcompany&amp;CIK=0001819142" TargetMode="External"/><Relationship Id="rId12" Type="http://schemas.openxmlformats.org/officeDocument/2006/relationships/hyperlink" Target="http://www.sec.gov/cgi-bin/browse-edgar?action=getcompany&amp;CIK=000188175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2022-02-14T17:31:49Z</dcterms:created>
  <dcterms:modified xsi:type="dcterms:W3CDTF">2022-02-14T17:31:49Z</dcterms:modified>
</cp:coreProperties>
</file>