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March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000"/>
          </w:cols>
          <w:pgMar w:left="240" w:top="230" w:right="659" w:bottom="1440" w:gutter="0" w:footer="0" w:header="0"/>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9" w:lineRule="exact"/>
        <w:rPr>
          <w:sz w:val="24"/>
          <w:szCs w:val="24"/>
          <w:color w:val="auto"/>
        </w:rPr>
      </w:pPr>
    </w:p>
    <w:p>
      <w:pPr>
        <w:sectPr>
          <w:pgSz w:w="11900" w:h="16838" w:orient="portrait"/>
          <w:cols w:equalWidth="0" w:num="2">
            <w:col w:w="8460" w:space="720"/>
            <w:col w:w="1820"/>
          </w:cols>
          <w:pgMar w:left="240" w:top="230"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71" w:lineRule="exact"/>
        <w:rPr>
          <w:sz w:val="24"/>
          <w:szCs w:val="24"/>
          <w:color w:val="auto"/>
        </w:rPr>
      </w:pPr>
    </w:p>
    <w:p>
      <w:pPr>
        <w:sectPr>
          <w:pgSz w:w="11900" w:h="16838" w:orient="portrait"/>
          <w:cols w:equalWidth="0" w:num="2">
            <w:col w:w="8560" w:space="720"/>
            <w:col w:w="17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57" w:lineRule="auto"/>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1.01 Entry into a Material Definitive Agreement</w:t>
        </w:r>
      </w:hyperlink>
      <w:r>
        <w:rPr>
          <w:rFonts w:ascii="Arial" w:cs="Arial" w:eastAsia="Arial" w:hAnsi="Arial"/>
          <w:sz w:val="18"/>
          <w:szCs w:val="18"/>
          <w:b w:val="1"/>
          <w:bCs w:val="1"/>
          <w:u w:val="single" w:color="auto"/>
          <w:color w:val="0000EE"/>
        </w:rPr>
        <w:t xml:space="preserve"> </w:t>
      </w:r>
      <w:hyperlink w:anchor="page4">
        <w:r>
          <w:rPr>
            <w:rFonts w:ascii="Arial" w:cs="Arial" w:eastAsia="Arial" w:hAnsi="Arial"/>
            <w:sz w:val="18"/>
            <w:szCs w:val="18"/>
            <w:b w:val="1"/>
            <w:bCs w:val="1"/>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March 31, 2011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-647065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4120" w:space="660"/>
            <w:col w:w="543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March 31, 2011, General Motors Holdings LLC (“GM Holdings”), a wholly-owned direct subsidiary of General Motors Company (“GM”), entered into an agreement with Delphi Automotive LLP (“Delphi”) to sell 1,750,000 Class A Membership Interests in Delphi (the “Transferred Membership Interests”) back to Delphi for $3,791,400,000 in cash (the “Transaction”). The closing of the Transaction also occurred on March 31, 2011.</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Transferred Membership Interests represented 100% of GM’s direct or indirect equity interests in Delphi and 100% of Delphi’s Class A Membership Interests issued and outstanding. The Transaction also terminated any direct or indirect obligation of GM to loan Delphi up to $500 million under a term loan facility established in October 2009 when Delphi was created and the Transferred Membership Interests were issued. Delphi had not borrowed under this loan facility. A press release announcing the sale of the Transferred Membership Interests is filed herewith as Exhibit 99.1 and is incorporated by reference herein.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GM expects to record a gain of approximately $1.6 billion in the first quarter of 2011. The proceeds will improve GM’s liquidity and be used for general corporate purposes.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340" w:type="dxa"/>
            <w:vAlign w:val="bottom"/>
            <w:gridSpan w:val="5"/>
          </w:tcPr>
          <w:p>
            <w:pPr>
              <w:ind w:left="9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480" w:type="dxa"/>
            <w:vAlign w:val="bottom"/>
          </w:tcPr>
          <w:p>
            <w:pPr>
              <w:ind w:left="20"/>
              <w:spacing w:after="0"/>
              <w:rPr>
                <w:sz w:val="20"/>
                <w:szCs w:val="20"/>
                <w:color w:val="auto"/>
              </w:rPr>
            </w:pPr>
            <w:r>
              <w:rPr>
                <w:rFonts w:ascii="Arial" w:cs="Arial" w:eastAsia="Arial" w:hAnsi="Arial"/>
                <w:sz w:val="14"/>
                <w:szCs w:val="14"/>
                <w:color w:val="auto"/>
                <w:w w:val="89"/>
              </w:rPr>
              <w:t>Exhibits</w:t>
            </w:r>
          </w:p>
        </w:tc>
        <w:tc>
          <w:tcPr>
            <w:tcW w:w="3900" w:type="dxa"/>
            <w:vAlign w:val="bottom"/>
            <w:gridSpan w:val="3"/>
          </w:tcPr>
          <w:p>
            <w:pPr>
              <w:ind w:left="440"/>
              <w:spacing w:after="0"/>
              <w:rPr>
                <w:sz w:val="20"/>
                <w:szCs w:val="20"/>
                <w:color w:val="auto"/>
              </w:rPr>
            </w:pPr>
            <w:r>
              <w:rPr>
                <w:rFonts w:ascii="Arial" w:cs="Arial" w:eastAsia="Arial" w:hAnsi="Arial"/>
                <w:sz w:val="14"/>
                <w:szCs w:val="14"/>
                <w:color w:val="auto"/>
              </w:rPr>
              <w:t>Description</w:t>
            </w:r>
          </w:p>
        </w:tc>
        <w:tc>
          <w:tcPr>
            <w:tcW w:w="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3900" w:type="dxa"/>
            <w:vAlign w:val="bottom"/>
            <w:gridSpan w:val="3"/>
          </w:tcPr>
          <w:p>
            <w:pPr>
              <w:ind w:left="440"/>
              <w:spacing w:after="0"/>
              <w:rPr>
                <w:sz w:val="20"/>
                <w:szCs w:val="20"/>
                <w:color w:val="auto"/>
              </w:rPr>
            </w:pPr>
            <w:r>
              <w:rPr>
                <w:rFonts w:ascii="Arial" w:cs="Arial" w:eastAsia="Arial" w:hAnsi="Arial"/>
                <w:sz w:val="18"/>
                <w:szCs w:val="18"/>
                <w:color w:val="auto"/>
              </w:rPr>
              <w:t>Press release, dated March 31, 2011.</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GENERAL MOTORS COMPANY</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6, 2011</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340" w:type="dxa"/>
            <w:vAlign w:val="bottom"/>
            <w:gridSpan w:val="5"/>
          </w:tcPr>
          <w:p>
            <w:pPr>
              <w:ind w:left="9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480" w:type="dxa"/>
            <w:vAlign w:val="bottom"/>
          </w:tcPr>
          <w:p>
            <w:pPr>
              <w:ind w:left="20"/>
              <w:spacing w:after="0"/>
              <w:rPr>
                <w:sz w:val="20"/>
                <w:szCs w:val="20"/>
                <w:color w:val="auto"/>
              </w:rPr>
            </w:pPr>
            <w:r>
              <w:rPr>
                <w:rFonts w:ascii="Arial" w:cs="Arial" w:eastAsia="Arial" w:hAnsi="Arial"/>
                <w:sz w:val="14"/>
                <w:szCs w:val="14"/>
                <w:color w:val="auto"/>
                <w:w w:val="89"/>
              </w:rPr>
              <w:t>Exhibits</w:t>
            </w:r>
          </w:p>
        </w:tc>
        <w:tc>
          <w:tcPr>
            <w:tcW w:w="3900" w:type="dxa"/>
            <w:vAlign w:val="bottom"/>
            <w:gridSpan w:val="3"/>
          </w:tcPr>
          <w:p>
            <w:pPr>
              <w:ind w:left="440"/>
              <w:spacing w:after="0"/>
              <w:rPr>
                <w:sz w:val="20"/>
                <w:szCs w:val="20"/>
                <w:color w:val="auto"/>
              </w:rPr>
            </w:pPr>
            <w:r>
              <w:rPr>
                <w:rFonts w:ascii="Arial" w:cs="Arial" w:eastAsia="Arial" w:hAnsi="Arial"/>
                <w:sz w:val="14"/>
                <w:szCs w:val="14"/>
                <w:color w:val="auto"/>
              </w:rPr>
              <w:t>Description</w:t>
            </w:r>
          </w:p>
        </w:tc>
        <w:tc>
          <w:tcPr>
            <w:tcW w:w="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3900" w:type="dxa"/>
            <w:vAlign w:val="bottom"/>
            <w:gridSpan w:val="3"/>
          </w:tcPr>
          <w:p>
            <w:pPr>
              <w:ind w:left="440"/>
              <w:spacing w:after="0"/>
              <w:rPr>
                <w:sz w:val="20"/>
                <w:szCs w:val="20"/>
                <w:color w:val="auto"/>
              </w:rPr>
            </w:pPr>
            <w:r>
              <w:rPr>
                <w:rFonts w:ascii="Arial" w:cs="Arial" w:eastAsia="Arial" w:hAnsi="Arial"/>
                <w:sz w:val="18"/>
                <w:szCs w:val="18"/>
                <w:color w:val="auto"/>
              </w:rPr>
              <w:t>Press release, dated March 31, 2011.</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0219"/>
          </w:cols>
          <w:pgMar w:left="240" w:top="45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88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March 31, 2011</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GM Announces Sale of its Stake in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Delphi Automotive for $3.8 Billion</w:t>
      </w:r>
    </w:p>
    <w:p>
      <w:pPr>
        <w:spacing w:after="0" w:line="165" w:lineRule="exact"/>
        <w:rPr>
          <w:sz w:val="20"/>
          <w:szCs w:val="20"/>
          <w:color w:val="auto"/>
        </w:rPr>
      </w:pPr>
    </w:p>
    <w:p>
      <w:pPr>
        <w:jc w:val="both"/>
        <w:ind w:right="220"/>
        <w:spacing w:after="0" w:line="332" w:lineRule="auto"/>
        <w:rPr>
          <w:sz w:val="20"/>
          <w:szCs w:val="20"/>
          <w:color w:val="auto"/>
        </w:rPr>
      </w:pPr>
      <w:r>
        <w:rPr>
          <w:rFonts w:ascii="Arial" w:cs="Arial" w:eastAsia="Arial" w:hAnsi="Arial"/>
          <w:sz w:val="16"/>
          <w:szCs w:val="16"/>
          <w:color w:val="auto"/>
        </w:rPr>
        <w:t>DETROIT – General Motors Company (NYSE: GM) today announced the sale of its Class A Membership Interest in Delphi Automotive LLP (Delphi) back to Delphi for $3.8 billion. GM acquired the Class A Membership Interest in October 2009 in conjunction with the creation of Delphi.</w:t>
      </w:r>
    </w:p>
    <w:p>
      <w:pPr>
        <w:spacing w:after="0" w:line="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are systematically delivering on our commitment to strengthen and simplify our balance sheet,” said Dan Ammann, GM senior vice president and chief financial officer as of April 1.</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GM will report a book gain of approximately $1.6 billion in the first quarter of 2011 related to the sale. Earlier this month, GM sold its Ally Financial Series A preferred stock for $1.0 billion in a registered public offering. The Ally transaction will result in a book gain of $0.3 billion to be recorded in the first quarter of 2011.</w:t>
      </w:r>
    </w:p>
    <w:p>
      <w:pPr>
        <w:spacing w:after="0" w:line="13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one of the world’s largest automakers, traces its roots back to 1908. With its global headquarters in Detroit, GM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Jim Cain</w:t>
            </w:r>
          </w:p>
        </w:tc>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Reneé Rashid-Merem</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2140" w:type="dxa"/>
            <w:vAlign w:val="bottom"/>
            <w:gridSpan w:val="2"/>
          </w:tcPr>
          <w:p>
            <w:pPr>
              <w:spacing w:after="0"/>
              <w:rPr>
                <w:sz w:val="20"/>
                <w:szCs w:val="20"/>
                <w:color w:val="auto"/>
              </w:rPr>
            </w:pPr>
            <w:r>
              <w:rPr>
                <w:rFonts w:ascii="Arial" w:cs="Arial" w:eastAsia="Arial" w:hAnsi="Arial"/>
                <w:sz w:val="18"/>
                <w:szCs w:val="18"/>
                <w:color w:val="auto"/>
              </w:rPr>
              <w:t>GM Communications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89"/>
              </w:rPr>
              <w:t>313-667-7758</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020" w:type="dxa"/>
            <w:vAlign w:val="bottom"/>
          </w:tcPr>
          <w:p>
            <w:pPr>
              <w:spacing w:after="0"/>
              <w:rPr>
                <w:sz w:val="20"/>
                <w:szCs w:val="20"/>
                <w:color w:val="auto"/>
              </w:rPr>
            </w:pPr>
            <w:r>
              <w:rPr>
                <w:rFonts w:ascii="Arial" w:cs="Arial" w:eastAsia="Arial" w:hAnsi="Arial"/>
                <w:sz w:val="18"/>
                <w:szCs w:val="18"/>
                <w:color w:val="auto"/>
                <w:w w:val="89"/>
              </w:rPr>
              <w:t>313-665-3128</w:t>
            </w:r>
          </w:p>
        </w:tc>
        <w:tc>
          <w:tcPr>
            <w:tcW w:w="1120" w:type="dxa"/>
            <w:vAlign w:val="bottom"/>
          </w:tcPr>
          <w:p>
            <w:pPr>
              <w:ind w:left="20"/>
              <w:spacing w:after="0"/>
              <w:rPr>
                <w:sz w:val="20"/>
                <w:szCs w:val="20"/>
                <w:color w:val="auto"/>
              </w:rPr>
            </w:pPr>
            <w:r>
              <w:rPr>
                <w:rFonts w:ascii="Arial" w:cs="Arial" w:eastAsia="Arial" w:hAnsi="Arial"/>
                <w:sz w:val="18"/>
                <w:szCs w:val="18"/>
                <w:color w:val="auto"/>
              </w:rPr>
              <w:t>(office)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89"/>
              </w:rPr>
              <w:t>313-407-2843</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(cell)</w:t>
            </w:r>
          </w:p>
        </w:tc>
        <w:tc>
          <w:tcPr>
            <w:tcW w:w="1020" w:type="dxa"/>
            <w:vAlign w:val="bottom"/>
          </w:tcPr>
          <w:p>
            <w:pPr>
              <w:spacing w:after="0"/>
              <w:rPr>
                <w:sz w:val="20"/>
                <w:szCs w:val="20"/>
                <w:color w:val="auto"/>
              </w:rPr>
            </w:pPr>
            <w:r>
              <w:rPr>
                <w:rFonts w:ascii="Arial" w:cs="Arial" w:eastAsia="Arial" w:hAnsi="Arial"/>
                <w:sz w:val="18"/>
                <w:szCs w:val="18"/>
                <w:color w:val="auto"/>
                <w:w w:val="89"/>
              </w:rPr>
              <w:t>313-701-8560</w:t>
            </w:r>
          </w:p>
        </w:tc>
        <w:tc>
          <w:tcPr>
            <w:tcW w:w="1120" w:type="dxa"/>
            <w:vAlign w:val="bottom"/>
          </w:tcPr>
          <w:p>
            <w:pPr>
              <w:ind w:left="20"/>
              <w:spacing w:after="0"/>
              <w:rPr>
                <w:sz w:val="20"/>
                <w:szCs w:val="20"/>
                <w:color w:val="auto"/>
              </w:rPr>
            </w:pPr>
            <w:r>
              <w:rPr>
                <w:rFonts w:ascii="Arial" w:cs="Arial" w:eastAsia="Arial" w:hAnsi="Arial"/>
                <w:sz w:val="18"/>
                <w:szCs w:val="18"/>
                <w:color w:val="auto"/>
              </w:rPr>
              <w:t>(cell)</w:t>
            </w:r>
          </w:p>
        </w:tc>
      </w:tr>
      <w:tr>
        <w:trPr>
          <w:trHeight w:val="184"/>
        </w:trPr>
        <w:tc>
          <w:tcPr>
            <w:tcW w:w="5820" w:type="dxa"/>
            <w:vAlign w:val="bottom"/>
            <w:gridSpan w:val="3"/>
          </w:tcPr>
          <w:p>
            <w:pPr>
              <w:spacing w:after="0" w:line="184" w:lineRule="exact"/>
              <w:rPr>
                <w:sz w:val="20"/>
                <w:szCs w:val="20"/>
                <w:color w:val="auto"/>
              </w:rPr>
            </w:pPr>
            <w:r>
              <w:rPr>
                <w:rFonts w:ascii="Arial" w:cs="Arial" w:eastAsia="Arial" w:hAnsi="Arial"/>
                <w:sz w:val="18"/>
                <w:szCs w:val="18"/>
                <w:color w:val="auto"/>
              </w:rPr>
              <w:t>james.cain@gm.com</w:t>
            </w:r>
          </w:p>
        </w:tc>
        <w:tc>
          <w:tcPr>
            <w:tcW w:w="2140" w:type="dxa"/>
            <w:vAlign w:val="bottom"/>
            <w:gridSpan w:val="2"/>
          </w:tcPr>
          <w:p>
            <w:pPr>
              <w:spacing w:after="0" w:line="184" w:lineRule="exact"/>
              <w:rPr>
                <w:sz w:val="20"/>
                <w:szCs w:val="20"/>
                <w:color w:val="auto"/>
              </w:rPr>
            </w:pPr>
            <w:r>
              <w:rPr>
                <w:rFonts w:ascii="Arial" w:cs="Arial" w:eastAsia="Arial" w:hAnsi="Arial"/>
                <w:sz w:val="18"/>
                <w:szCs w:val="18"/>
                <w:color w:val="auto"/>
                <w:w w:val="86"/>
              </w:rPr>
              <w:t>renee.rashid-merem@gm.com</w:t>
            </w:r>
          </w:p>
        </w:tc>
      </w:tr>
      <w:tr>
        <w:trPr>
          <w:trHeight w:val="20"/>
        </w:trPr>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2019-12-11T09:15:01Z</dcterms:created>
  <dcterms:modified xsi:type="dcterms:W3CDTF">2019-12-11T09:15:01Z</dcterms:modified>
</cp:coreProperties>
</file>