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Charles K. III</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3"/>
        <w:spacing w:after="0"/>
        <w:rPr>
          <w:sz w:val="20"/>
          <w:szCs w:val="20"/>
          <w:color w:val="auto"/>
        </w:rPr>
      </w:pPr>
      <w:r>
        <w:rPr>
          <w:rFonts w:ascii="Arial" w:cs="Arial" w:eastAsia="Arial" w:hAnsi="Arial"/>
          <w:sz w:val="17"/>
          <w:szCs w:val="17"/>
          <w:color w:val="0000FF"/>
        </w:rPr>
        <w:t>Executive Vice President &amp; CFO</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31,126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31,126</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31,126</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448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4805"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2019-12-08T19:27:39Z</dcterms:created>
  <dcterms:modified xsi:type="dcterms:W3CDTF">2019-12-08T19:27:39Z</dcterms:modified>
</cp:coreProperties>
</file>