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April 26, 2022</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182" w:right="559" w:bottom="1440" w:gutter="0" w:footer="0" w:header="0"/>
        </w:sectPr>
      </w:pPr>
    </w:p>
    <w:p>
      <w:pPr>
        <w:spacing w:after="0" w:line="98"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67" w:lineRule="exact"/>
        <w:rPr>
          <w:sz w:val="24"/>
          <w:szCs w:val="24"/>
          <w:color w:val="auto"/>
        </w:rPr>
      </w:pPr>
    </w:p>
    <w:p>
      <w:pPr>
        <w:sectPr>
          <w:pgSz w:w="11900" w:h="16838" w:orient="portrait"/>
          <w:cols w:equalWidth="0" w:num="3">
            <w:col w:w="4780" w:space="720"/>
            <w:col w:w="2820" w:space="720"/>
            <w:col w:w="2000"/>
          </w:cols>
          <w:pgMar w:left="300" w:top="1182" w:right="55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3">
            <w:col w:w="4300" w:space="720"/>
            <w:col w:w="2620" w:space="720"/>
            <w:col w:w="2680"/>
          </w:cols>
          <w:pgMar w:left="300" w:top="1182"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Arial" w:cs="Arial" w:eastAsia="Arial" w:hAnsi="Arial"/>
          <w:sz w:val="14"/>
          <w:szCs w:val="14"/>
          <w:b w:val="1"/>
          <w:bCs w:val="1"/>
          <w:color w:val="auto"/>
        </w:rPr>
        <w:t>300 Renaissance Center,</w:t>
      </w:r>
      <w:r>
        <w:rPr>
          <w:sz w:val="20"/>
          <w:szCs w:val="20"/>
          <w:color w:val="auto"/>
        </w:rPr>
        <w:tab/>
      </w:r>
      <w:r>
        <w:rPr>
          <w:rFonts w:ascii="Arial" w:cs="Arial" w:eastAsia="Arial" w:hAnsi="Arial"/>
          <w:sz w:val="14"/>
          <w:szCs w:val="14"/>
          <w:b w:val="1"/>
          <w:bCs w:val="1"/>
          <w:color w:val="auto"/>
        </w:rPr>
        <w:t>Detroit,</w:t>
      </w:r>
      <w:r>
        <w:rPr>
          <w:sz w:val="20"/>
          <w:szCs w:val="20"/>
          <w:color w:val="auto"/>
        </w:rPr>
        <w:tab/>
      </w:r>
      <w:r>
        <w:rPr>
          <w:rFonts w:ascii="Arial" w:cs="Arial" w:eastAsia="Arial" w:hAnsi="Arial"/>
          <w:sz w:val="13"/>
          <w:szCs w:val="13"/>
          <w:b w:val="1"/>
          <w:bCs w:val="1"/>
          <w:color w:val="auto"/>
        </w:rPr>
        <w:t>Michigan</w:t>
      </w:r>
    </w:p>
    <w:p>
      <w:pPr>
        <w:spacing w:after="0" w:line="23" w:lineRule="exact"/>
        <w:rPr>
          <w:sz w:val="24"/>
          <w:szCs w:val="24"/>
          <w:color w:val="auto"/>
        </w:rPr>
      </w:pPr>
    </w:p>
    <w:p>
      <w:pPr>
        <w:jc w:val="right"/>
        <w:ind w:right="3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Arial" w:cs="Arial" w:eastAsia="Arial" w:hAnsi="Arial"/>
          <w:sz w:val="12"/>
          <w:szCs w:val="12"/>
          <w:b w:val="1"/>
          <w:bCs w:val="1"/>
          <w:color w:val="auto"/>
        </w:rPr>
        <w:t>48265 -3000</w:t>
      </w:r>
    </w:p>
    <w:p>
      <w:pPr>
        <w:spacing w:after="0" w:line="46" w:lineRule="exact"/>
        <w:rPr>
          <w:sz w:val="24"/>
          <w:szCs w:val="24"/>
          <w:color w:val="auto"/>
        </w:rPr>
      </w:pPr>
    </w:p>
    <w:p>
      <w:pPr>
        <w:jc w:val="right"/>
        <w:ind w:right="20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82" w:right="559" w:bottom="1440" w:gutter="0" w:footer="0" w:header="0"/>
          <w:type w:val="continuous"/>
        </w:sectPr>
      </w:pPr>
    </w:p>
    <w:p>
      <w:pPr>
        <w:spacing w:after="0" w:line="7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color w:val="auto"/>
                <w:w w:val="88"/>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0"/>
              </w:rPr>
              <w:t>Trading Symbol(s)</w:t>
            </w:r>
          </w:p>
        </w:tc>
        <w:tc>
          <w:tcPr>
            <w:tcW w:w="2600" w:type="dxa"/>
            <w:vAlign w:val="bottom"/>
            <w:gridSpan w:val="2"/>
          </w:tcPr>
          <w:p>
            <w:pPr>
              <w:jc w:val="center"/>
              <w:ind w:left="276"/>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Arial" w:cs="Arial" w:eastAsia="Arial" w:hAnsi="Arial"/>
                <w:sz w:val="13"/>
                <w:szCs w:val="13"/>
                <w:color w:val="auto"/>
                <w:w w:val="88"/>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67"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567690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82"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April 26, 2022 General Motors Company (GM) issued a news release and supplemental materials on the subject of its 2022 first quarter earnings. The news release and supplemental materials are attached as Exhibit 99.1 and Exhibit 99.2.</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Charts furnished to securities analysts in connection with GM's 2022 first quarter earnings release are available on GM's website at www.gm.com/investors/earnings-releases.html.</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80" w:type="dxa"/>
            <w:vAlign w:val="bottom"/>
            <w:gridSpan w:val="4"/>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8420" w:type="dxa"/>
            <w:vAlign w:val="bottom"/>
            <w:gridSpan w:val="6"/>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News Release Dated April 26, 2022</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8420" w:type="dxa"/>
            <w:vAlign w:val="bottom"/>
            <w:gridSpan w:val="6"/>
          </w:tcPr>
          <w:p>
            <w:pPr>
              <w:spacing w:after="0"/>
              <w:rPr>
                <w:rFonts w:ascii="Arial" w:cs="Arial" w:eastAsia="Arial" w:hAnsi="Arial"/>
                <w:sz w:val="14"/>
                <w:szCs w:val="14"/>
                <w:color w:val="0000FF"/>
              </w:rPr>
            </w:pPr>
            <w:hyperlink w:anchor="page10">
              <w:r>
                <w:rPr>
                  <w:rFonts w:ascii="Arial" w:cs="Arial" w:eastAsia="Arial" w:hAnsi="Arial"/>
                  <w:sz w:val="14"/>
                  <w:szCs w:val="14"/>
                  <w:color w:val="0000FF"/>
                </w:rPr>
                <w:t>Financial Highlights Dated April 26, 2022</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8420" w:type="dxa"/>
            <w:vAlign w:val="bottom"/>
            <w:gridSpan w:val="6"/>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Arial" w:cs="Arial" w:eastAsia="Arial" w:hAnsi="Arial"/>
                <w:sz w:val="14"/>
                <w:szCs w:val="14"/>
                <w:color w:val="auto"/>
              </w:rPr>
              <w:t>Date: April 26, 2022</w:t>
            </w:r>
          </w:p>
        </w:tc>
        <w:tc>
          <w:tcPr>
            <w:tcW w:w="5140" w:type="dxa"/>
            <w:vAlign w:val="bottom"/>
          </w:tcPr>
          <w:p>
            <w:pPr>
              <w:ind w:left="20"/>
              <w:spacing w:after="0" w:line="129" w:lineRule="exact"/>
              <w:rPr>
                <w:sz w:val="20"/>
                <w:szCs w:val="20"/>
                <w:color w:val="auto"/>
              </w:rPr>
            </w:pPr>
            <w:r>
              <w:rPr>
                <w:rFonts w:ascii="Arial" w:cs="Arial" w:eastAsia="Arial" w:hAnsi="Arial"/>
                <w:sz w:val="14"/>
                <w:szCs w:val="14"/>
                <w:color w:val="auto"/>
                <w:w w:val="95"/>
              </w:rPr>
              <w:t>Christopher T. Hatto, Vice President, Global Business Solutions and Chief Accounting</w:t>
            </w:r>
          </w:p>
        </w:tc>
      </w:t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Officer</w:t>
            </w: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jc w:val="center"/>
        <w:spacing w:after="0" w:line="213" w:lineRule="auto"/>
        <w:rPr>
          <w:sz w:val="20"/>
          <w:szCs w:val="20"/>
          <w:color w:val="auto"/>
        </w:rPr>
      </w:pPr>
      <w:r>
        <w:rPr>
          <w:rFonts w:ascii="Arial" w:cs="Arial" w:eastAsia="Arial" w:hAnsi="Arial"/>
          <w:sz w:val="13"/>
          <w:szCs w:val="13"/>
          <w:b w:val="1"/>
          <w:bCs w:val="1"/>
          <w:color w:val="auto"/>
        </w:rPr>
        <w:t>Supplemental Material</w:t>
      </w:r>
      <w:r>
        <w:rPr>
          <w:rFonts w:ascii="Arial" w:cs="Arial" w:eastAsia="Arial" w:hAnsi="Arial"/>
          <w:sz w:val="16"/>
          <w:szCs w:val="16"/>
          <w:b w:val="1"/>
          <w:bCs w:val="1"/>
          <w:color w:val="auto"/>
          <w:vertAlign w:val="superscript"/>
        </w:rPr>
        <w:t>1</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28"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5" w:lineRule="exact"/>
        <w:rPr>
          <w:sz w:val="20"/>
          <w:szCs w:val="20"/>
          <w:color w:val="auto"/>
        </w:rPr>
      </w:pPr>
    </w:p>
    <w:p>
      <w:pPr>
        <w:jc w:val="both"/>
        <w:ind w:firstLine="127"/>
        <w:spacing w:after="0" w:line="268" w:lineRule="auto"/>
        <w:rPr>
          <w:sz w:val="20"/>
          <w:szCs w:val="20"/>
          <w:color w:val="auto"/>
        </w:rPr>
      </w:pPr>
      <w:r>
        <w:rPr>
          <w:rFonts w:ascii="Arial" w:cs="Arial" w:eastAsia="Arial" w:hAnsi="Arial"/>
          <w:sz w:val="12"/>
          <w:szCs w:val="12"/>
          <w:b w:val="1"/>
          <w:bCs w:val="1"/>
          <w:i w:val="1"/>
          <w:iCs w:val="1"/>
          <w:color w:val="auto"/>
        </w:rPr>
        <w:t xml:space="preserve">EBIT-adjusted </w:t>
      </w:r>
      <w:r>
        <w:rPr>
          <w:rFonts w:ascii="Arial" w:cs="Arial" w:eastAsia="Arial" w:hAnsi="Arial"/>
          <w:sz w:val="12"/>
          <w:szCs w:val="12"/>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58"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________</w:t>
      </w:r>
    </w:p>
    <w:p>
      <w:pPr>
        <w:spacing w:after="0" w:line="148" w:lineRule="exact"/>
        <w:rPr>
          <w:sz w:val="20"/>
          <w:szCs w:val="20"/>
          <w:color w:val="auto"/>
        </w:rPr>
      </w:pPr>
    </w:p>
    <w:p>
      <w:pPr>
        <w:ind w:left="80" w:hanging="75"/>
        <w:spacing w:after="0"/>
        <w:tabs>
          <w:tab w:leader="none" w:pos="80"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Certain columns and rows may not add due to rounding.</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segment profit (loss)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140" w:type="dxa"/>
            <w:vAlign w:val="bottom"/>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0"/>
                <w:szCs w:val="10"/>
                <w:b w:val="1"/>
                <w:bCs w:val="1"/>
                <w:color w:val="auto"/>
              </w:rPr>
              <w:t>Three Months Ended</w:t>
            </w:r>
          </w:p>
        </w:tc>
        <w:tc>
          <w:tcPr>
            <w:tcW w:w="2180" w:type="dxa"/>
            <w:vAlign w:val="bottom"/>
            <w:tcBorders>
              <w:bottom w:val="single" w:sz="8" w:color="auto"/>
            </w:tcBorders>
          </w:tcPr>
          <w:p>
            <w:pPr>
              <w:spacing w:after="0"/>
              <w:rPr>
                <w:sz w:val="11"/>
                <w:szCs w:val="11"/>
                <w:color w:val="auto"/>
              </w:rPr>
            </w:pPr>
          </w:p>
        </w:tc>
      </w:tr>
      <w:tr>
        <w:trPr>
          <w:trHeight w:val="132"/>
        </w:trPr>
        <w:tc>
          <w:tcPr>
            <w:tcW w:w="5140" w:type="dxa"/>
            <w:vAlign w:val="bottom"/>
            <w:tcBorders>
              <w:bottom w:val="single" w:sz="8" w:color="CCEEFF"/>
            </w:tcBorders>
          </w:tcPr>
          <w:p>
            <w:pPr>
              <w:spacing w:after="0"/>
              <w:rPr>
                <w:sz w:val="11"/>
                <w:szCs w:val="11"/>
                <w:color w:val="auto"/>
              </w:rPr>
            </w:pPr>
          </w:p>
        </w:tc>
        <w:tc>
          <w:tcPr>
            <w:tcW w:w="226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March 31, 2022</w:t>
            </w: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ind w:right="1017"/>
              <w:spacing w:after="0"/>
              <w:rPr>
                <w:sz w:val="20"/>
                <w:szCs w:val="20"/>
                <w:color w:val="auto"/>
              </w:rPr>
            </w:pPr>
            <w:r>
              <w:rPr>
                <w:rFonts w:ascii="Arial" w:cs="Arial" w:eastAsia="Arial" w:hAnsi="Arial"/>
                <w:sz w:val="10"/>
                <w:szCs w:val="10"/>
                <w:b w:val="1"/>
                <w:bCs w:val="1"/>
                <w:color w:val="auto"/>
              </w:rPr>
              <w:t>March 31, 2021</w:t>
            </w:r>
          </w:p>
        </w:tc>
      </w:tr>
      <w:tr>
        <w:trPr>
          <w:trHeight w:val="165"/>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stockholders(a)</w:t>
            </w:r>
          </w:p>
        </w:tc>
        <w:tc>
          <w:tcPr>
            <w:tcW w:w="2260" w:type="dxa"/>
            <w:vAlign w:val="bottom"/>
            <w:shd w:val="clear" w:color="auto" w:fill="CCEEFF"/>
          </w:tcPr>
          <w:p>
            <w:pPr>
              <w:jc w:val="right"/>
              <w:ind w:right="2121"/>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r>
      <w:tr>
        <w:trPr>
          <w:trHeight w:val="168"/>
        </w:trPr>
        <w:tc>
          <w:tcPr>
            <w:tcW w:w="51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1,177</w:t>
            </w:r>
          </w:p>
        </w:tc>
      </w:tr>
      <w:tr>
        <w:trPr>
          <w:trHeight w:val="172"/>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2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68"/>
        </w:trPr>
        <w:tc>
          <w:tcPr>
            <w:tcW w:w="51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2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2"/>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2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r>
      <w:tr>
        <w:trPr>
          <w:trHeight w:val="180"/>
        </w:trPr>
        <w:tc>
          <w:tcPr>
            <w:tcW w:w="5140" w:type="dxa"/>
            <w:vAlign w:val="bottom"/>
          </w:tcPr>
          <w:p>
            <w:pPr>
              <w:ind w:left="120"/>
              <w:spacing w:after="0"/>
              <w:rPr>
                <w:sz w:val="20"/>
                <w:szCs w:val="20"/>
                <w:color w:val="auto"/>
              </w:rPr>
            </w:pPr>
            <w:r>
              <w:rPr>
                <w:rFonts w:ascii="Arial" w:cs="Arial" w:eastAsia="Arial" w:hAnsi="Arial"/>
                <w:sz w:val="13"/>
                <w:szCs w:val="13"/>
                <w:color w:val="auto"/>
              </w:rPr>
              <w:t>Cruise compensation modification(b)</w:t>
            </w:r>
          </w:p>
        </w:tc>
        <w:tc>
          <w:tcPr>
            <w:tcW w:w="2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5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Patent royalty matters(c)</w:t>
            </w:r>
          </w:p>
        </w:tc>
        <w:tc>
          <w:tcPr>
            <w:tcW w:w="2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adjustments</w:t>
            </w:r>
          </w:p>
        </w:tc>
        <w:tc>
          <w:tcPr>
            <w:tcW w:w="2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EBIT(loss)-adjusted</w:t>
            </w:r>
          </w:p>
        </w:tc>
        <w:tc>
          <w:tcPr>
            <w:tcW w:w="2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4,044</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4,417</w:t>
            </w:r>
          </w:p>
        </w:tc>
      </w:tr>
      <w:tr>
        <w:trPr>
          <w:trHeight w:val="148"/>
        </w:trPr>
        <w:tc>
          <w:tcPr>
            <w:tcW w:w="5140" w:type="dxa"/>
            <w:vAlign w:val="bottom"/>
          </w:tcPr>
          <w:p>
            <w:pPr>
              <w:ind w:left="20"/>
              <w:spacing w:after="0" w:line="146" w:lineRule="exact"/>
              <w:rPr>
                <w:sz w:val="20"/>
                <w:szCs w:val="20"/>
                <w:color w:val="auto"/>
              </w:rPr>
            </w:pPr>
            <w:r>
              <w:rPr>
                <w:rFonts w:ascii="Arial" w:cs="Arial" w:eastAsia="Arial" w:hAnsi="Arial"/>
                <w:sz w:val="13"/>
                <w:szCs w:val="13"/>
                <w:color w:val="auto"/>
              </w:rPr>
              <w:t>Operating segments</w:t>
            </w:r>
          </w:p>
        </w:tc>
        <w:tc>
          <w:tcPr>
            <w:tcW w:w="2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2"/>
        </w:trPr>
        <w:tc>
          <w:tcPr>
            <w:tcW w:w="5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North America (GMNA)</w:t>
            </w:r>
          </w:p>
        </w:tc>
        <w:tc>
          <w:tcPr>
            <w:tcW w:w="2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w:t>
            </w:r>
          </w:p>
        </w:tc>
      </w:tr>
      <w:tr>
        <w:trPr>
          <w:trHeight w:val="168"/>
        </w:trPr>
        <w:tc>
          <w:tcPr>
            <w:tcW w:w="5140" w:type="dxa"/>
            <w:vAlign w:val="bottom"/>
          </w:tcPr>
          <w:p>
            <w:pPr>
              <w:ind w:left="100"/>
              <w:spacing w:after="0"/>
              <w:rPr>
                <w:sz w:val="20"/>
                <w:szCs w:val="20"/>
                <w:color w:val="auto"/>
              </w:rPr>
            </w:pPr>
            <w:r>
              <w:rPr>
                <w:rFonts w:ascii="Arial" w:cs="Arial" w:eastAsia="Arial" w:hAnsi="Arial"/>
                <w:sz w:val="13"/>
                <w:szCs w:val="13"/>
                <w:color w:val="auto"/>
              </w:rPr>
              <w:t>GM International (GMI)</w:t>
            </w:r>
          </w:p>
        </w:tc>
        <w:tc>
          <w:tcPr>
            <w:tcW w:w="2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308</w:t>
            </w:r>
          </w:p>
        </w:tc>
      </w:tr>
      <w:tr>
        <w:trPr>
          <w:trHeight w:val="172"/>
        </w:trPr>
        <w:tc>
          <w:tcPr>
            <w:tcW w:w="5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Cruise</w:t>
            </w:r>
          </w:p>
        </w:tc>
        <w:tc>
          <w:tcPr>
            <w:tcW w:w="2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r>
      <w:tr>
        <w:trPr>
          <w:trHeight w:val="168"/>
        </w:trPr>
        <w:tc>
          <w:tcPr>
            <w:tcW w:w="51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GM Financial(d)</w:t>
            </w:r>
          </w:p>
        </w:tc>
        <w:tc>
          <w:tcPr>
            <w:tcW w:w="2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1,284</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1,182</w:t>
            </w:r>
          </w:p>
        </w:tc>
      </w:tr>
      <w:tr>
        <w:trPr>
          <w:trHeight w:val="163"/>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2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4,395</w:t>
            </w:r>
          </w:p>
        </w:tc>
      </w:tr>
      <w:tr>
        <w:trPr>
          <w:trHeight w:val="16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eliminations(e)</w:t>
            </w:r>
          </w:p>
        </w:tc>
        <w:tc>
          <w:tcPr>
            <w:tcW w:w="2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8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EBIT(loss)-adjusted</w:t>
            </w:r>
          </w:p>
        </w:tc>
        <w:tc>
          <w:tcPr>
            <w:tcW w:w="2260" w:type="dxa"/>
            <w:vAlign w:val="bottom"/>
            <w:tcBorders>
              <w:bottom w:val="single" w:sz="8" w:color="auto"/>
            </w:tcBorders>
            <w:shd w:val="clear" w:color="auto" w:fill="CCEEFF"/>
          </w:tcPr>
          <w:p>
            <w:pPr>
              <w:jc w:val="right"/>
              <w:ind w:right="2121"/>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4,044</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spacing w:after="0" w:line="9" w:lineRule="exact"/>
        <w:rPr>
          <w:rFonts w:ascii="Arial" w:cs="Arial" w:eastAsia="Arial" w:hAnsi="Arial"/>
          <w:sz w:val="11"/>
          <w:szCs w:val="11"/>
          <w:color w:val="auto"/>
        </w:rPr>
      </w:pPr>
    </w:p>
    <w:p>
      <w:pPr>
        <w:ind w:left="260" w:hanging="255"/>
        <w:spacing w:after="0" w:line="221" w:lineRule="auto"/>
        <w:tabs>
          <w:tab w:leader="none" w:pos="260" w:val="left"/>
        </w:tabs>
        <w:numPr>
          <w:ilvl w:val="0"/>
          <w:numId w:val="3"/>
        </w:numPr>
        <w:rPr>
          <w:rFonts w:ascii="Arial" w:cs="Arial" w:eastAsia="Arial" w:hAnsi="Arial"/>
          <w:sz w:val="13"/>
          <w:szCs w:val="13"/>
          <w:color w:val="auto"/>
        </w:rPr>
      </w:pPr>
      <w:r>
        <w:rPr>
          <w:rFonts w:ascii="Arial" w:cs="Arial" w:eastAsia="Arial" w:hAnsi="Arial"/>
          <w:sz w:val="11"/>
          <w:szCs w:val="11"/>
          <w:color w:val="auto"/>
        </w:rPr>
        <w:t>This adjustment was excluded because it relates to the resolution of substantially all potential royalty matters, accrued in the prior period, with respect to past-year vehicle sales.</w:t>
      </w:r>
    </w:p>
    <w:p>
      <w:pPr>
        <w:spacing w:after="0" w:line="1" w:lineRule="exact"/>
        <w:rPr>
          <w:rFonts w:ascii="Arial" w:cs="Arial" w:eastAsia="Arial" w:hAnsi="Arial"/>
          <w:sz w:val="13"/>
          <w:szCs w:val="13"/>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260" w:hanging="255"/>
        <w:spacing w:after="0" w:line="260"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Opel/Vauxhall Business (primarily pension costs), corporate expenditures and certain nonsegment 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Three Months Ended</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132"/>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1"/>
                <w:szCs w:val="11"/>
                <w:color w:val="auto"/>
              </w:rPr>
            </w:pPr>
          </w:p>
        </w:tc>
        <w:tc>
          <w:tcPr>
            <w:tcW w:w="1460" w:type="dxa"/>
            <w:vAlign w:val="bottom"/>
            <w:gridSpan w:val="5"/>
          </w:tcPr>
          <w:p>
            <w:pPr>
              <w:ind w:left="260"/>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1"/>
                <w:szCs w:val="11"/>
                <w:color w:val="auto"/>
              </w:rPr>
            </w:pPr>
          </w:p>
        </w:tc>
      </w:tr>
      <w:tr>
        <w:trPr>
          <w:trHeight w:val="129"/>
        </w:trPr>
        <w:tc>
          <w:tcPr>
            <w:tcW w:w="45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2020</w:t>
            </w:r>
          </w:p>
        </w:tc>
      </w:tr>
      <w:tr>
        <w:trPr>
          <w:trHeight w:val="165"/>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r>
      <w:tr>
        <w:trPr>
          <w:trHeight w:val="168"/>
        </w:trPr>
        <w:tc>
          <w:tcPr>
            <w:tcW w:w="45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4540" w:type="dxa"/>
            <w:vAlign w:val="bottom"/>
          </w:tcPr>
          <w:p>
            <w:pPr>
              <w:ind w:left="180"/>
              <w:spacing w:after="0"/>
              <w:rPr>
                <w:sz w:val="20"/>
                <w:szCs w:val="20"/>
                <w:color w:val="auto"/>
              </w:rPr>
            </w:pPr>
            <w:r>
              <w:rPr>
                <w:rFonts w:ascii="Arial" w:cs="Arial" w:eastAsia="Arial" w:hAnsi="Arial"/>
                <w:sz w:val="13"/>
                <w:szCs w:val="13"/>
                <w:color w:val="auto"/>
              </w:rPr>
              <w:t>Cruise compensation modification(a)</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Patent royalty matters(b)</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40" w:type="dxa"/>
            <w:vAlign w:val="bottom"/>
          </w:tcPr>
          <w:p>
            <w:pPr>
              <w:ind w:left="180"/>
              <w:spacing w:after="0"/>
              <w:rPr>
                <w:sz w:val="20"/>
                <w:szCs w:val="20"/>
                <w:color w:val="auto"/>
              </w:rPr>
            </w:pPr>
            <w:r>
              <w:rPr>
                <w:rFonts w:ascii="Arial" w:cs="Arial" w:eastAsia="Arial" w:hAnsi="Arial"/>
                <w:sz w:val="13"/>
                <w:szCs w:val="13"/>
                <w:color w:val="auto"/>
              </w:rPr>
              <w:t>GM Brazil indirect tax matters(c)</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Cadillac dealer strategy(d)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40" w:type="dxa"/>
            <w:vAlign w:val="bottom"/>
          </w:tcPr>
          <w:p>
            <w:pPr>
              <w:ind w:left="180"/>
              <w:spacing w:after="0"/>
              <w:rPr>
                <w:sz w:val="20"/>
                <w:szCs w:val="20"/>
                <w:color w:val="auto"/>
              </w:rPr>
            </w:pPr>
            <w:r>
              <w:rPr>
                <w:rFonts w:ascii="Arial" w:cs="Arial" w:eastAsia="Arial" w:hAnsi="Arial"/>
                <w:sz w:val="13"/>
                <w:szCs w:val="13"/>
                <w:color w:val="auto"/>
              </w:rPr>
              <w:t>GMI restructuring(e)</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2"/>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GM Korea wage litigation(f)</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Ignition switch recall and related legal matters(g)</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63"/>
        </w:trPr>
        <w:tc>
          <w:tcPr>
            <w:tcW w:w="4540" w:type="dxa"/>
            <w:vAlign w:val="bottom"/>
          </w:tcPr>
          <w:p>
            <w:pPr>
              <w:ind w:left="20"/>
              <w:spacing w:after="0"/>
              <w:rPr>
                <w:sz w:val="20"/>
                <w:szCs w:val="20"/>
                <w:color w:val="auto"/>
              </w:rPr>
            </w:pPr>
            <w:r>
              <w:rPr>
                <w:rFonts w:ascii="Arial" w:cs="Arial" w:eastAsia="Arial" w:hAnsi="Arial"/>
                <w:sz w:val="13"/>
                <w:szCs w:val="13"/>
                <w:color w:val="auto"/>
              </w:rPr>
              <w:t>EBIT (loss)-adjusted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3,712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5,284</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(536)</w:t>
            </w: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ind w:left="260" w:hanging="255"/>
        <w:spacing w:after="0" w:line="241"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potential royalties accrued with respect to past-year vehicle sales in the three months ended December 31, 2021, and the resolution of substantially all of these matters in the three months ended March 31, 2022.</w:t>
      </w:r>
    </w:p>
    <w:p>
      <w:pPr>
        <w:ind w:left="260" w:hanging="255"/>
        <w:spacing w:after="0" w:line="241" w:lineRule="auto"/>
        <w:tabs>
          <w:tab w:leader="none" w:pos="254"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a potential settlement with third parties in the three months ended December 31, 2021 relating to retrospective recoveries of indirect taxes in Brazil realized in prior periods.</w:t>
      </w:r>
    </w:p>
    <w:p>
      <w:pPr>
        <w:spacing w:after="0" w:line="127" w:lineRule="exact"/>
        <w:rPr>
          <w:rFonts w:ascii="Arial" w:cs="Arial" w:eastAsia="Arial" w:hAnsi="Arial"/>
          <w:sz w:val="11"/>
          <w:szCs w:val="11"/>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jc w:val="both"/>
        <w:ind w:left="260" w:hanging="255"/>
        <w:spacing w:after="0" w:line="241"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employee separation charges in the three months ended December 31, 2020, supplier claims in the three months ended September 30, 2020 and inventory provisions in the three months ended June 30, 2020.</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recent Supreme Court of Korea decisions related to our salaried workers.</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7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0"/>
                <w:szCs w:val="10"/>
                <w:b w:val="1"/>
                <w:bCs w:val="1"/>
                <w:color w:val="auto"/>
                <w:w w:val="97"/>
              </w:rPr>
              <w:t>Three Months Ended</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32"/>
        </w:trPr>
        <w:tc>
          <w:tcPr>
            <w:tcW w:w="57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0"/>
                <w:szCs w:val="10"/>
                <w:b w:val="1"/>
                <w:bCs w:val="1"/>
                <w:color w:val="auto"/>
              </w:rPr>
              <w:t>March 31, 2022</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March 31, 2021</w:t>
            </w:r>
          </w:p>
        </w:tc>
        <w:tc>
          <w:tcPr>
            <w:tcW w:w="940" w:type="dxa"/>
            <w:vAlign w:val="bottom"/>
            <w:tcBorders>
              <w:bottom w:val="single" w:sz="8" w:color="auto"/>
            </w:tcBorders>
          </w:tcPr>
          <w:p>
            <w:pPr>
              <w:spacing w:after="0"/>
              <w:rPr>
                <w:sz w:val="11"/>
                <w:szCs w:val="11"/>
                <w:color w:val="auto"/>
              </w:rPr>
            </w:pPr>
          </w:p>
        </w:tc>
      </w:tr>
      <w:tr>
        <w:trPr>
          <w:trHeight w:val="114"/>
        </w:trPr>
        <w:tc>
          <w:tcPr>
            <w:tcW w:w="574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8"/>
                <w:szCs w:val="8"/>
                <w:b w:val="1"/>
                <w:bCs w:val="1"/>
                <w:color w:val="auto"/>
              </w:rPr>
              <w:t>Amount</w:t>
            </w: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Per Share</w:t>
            </w: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8"/>
                <w:szCs w:val="8"/>
                <w:b w:val="1"/>
                <w:bCs w:val="1"/>
                <w:color w:val="auto"/>
              </w:rPr>
              <w:t>Amount</w:t>
            </w: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8"/>
                <w:szCs w:val="8"/>
                <w:b w:val="1"/>
                <w:bCs w:val="1"/>
                <w:color w:val="auto"/>
              </w:rPr>
              <w:t>Per Share</w:t>
            </w:r>
          </w:p>
        </w:tc>
      </w:tr>
      <w:tr>
        <w:trPr>
          <w:trHeight w:val="16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common share</w:t>
            </w: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r>
      <w:tr>
        <w:trPr>
          <w:trHeight w:val="168"/>
        </w:trPr>
        <w:tc>
          <w:tcPr>
            <w:tcW w:w="574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0.65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adjustments(b)</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740" w:type="dxa"/>
            <w:vAlign w:val="bottom"/>
          </w:tcPr>
          <w:p>
            <w:pPr>
              <w:ind w:left="20"/>
              <w:spacing w:after="0"/>
              <w:rPr>
                <w:sz w:val="20"/>
                <w:szCs w:val="20"/>
                <w:color w:val="auto"/>
              </w:rPr>
            </w:pPr>
            <w:r>
              <w:rPr>
                <w:rFonts w:ascii="Arial" w:cs="Arial" w:eastAsia="Arial" w:hAnsi="Arial"/>
                <w:sz w:val="13"/>
                <w:szCs w:val="13"/>
                <w:color w:val="auto"/>
              </w:rPr>
              <w:t>Tax adjustments(c)</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(0.33)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0.22</w:t>
            </w:r>
          </w:p>
        </w:tc>
      </w:tr>
      <w:tr>
        <w:trPr>
          <w:trHeight w:val="18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Deemed dividend adjustment(d)</w:t>
            </w: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5740" w:type="dxa"/>
            <w:vAlign w:val="bottom"/>
          </w:tcPr>
          <w:p>
            <w:pPr>
              <w:ind w:left="20"/>
              <w:spacing w:after="0"/>
              <w:rPr>
                <w:sz w:val="20"/>
                <w:szCs w:val="20"/>
                <w:color w:val="auto"/>
              </w:rPr>
            </w:pPr>
            <w:r>
              <w:rPr>
                <w:rFonts w:ascii="Arial" w:cs="Arial" w:eastAsia="Arial" w:hAnsi="Arial"/>
                <w:sz w:val="13"/>
                <w:szCs w:val="13"/>
                <w:color w:val="auto"/>
              </w:rPr>
              <w:t>EPS-diluted-adjusted</w:t>
            </w:r>
          </w:p>
        </w:tc>
        <w:tc>
          <w:tcPr>
            <w:tcW w:w="88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3,075</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3,292</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w:t>
            </w:r>
          </w:p>
        </w:tc>
      </w:tr>
      <w:tr>
        <w:trPr>
          <w:trHeight w:val="20"/>
        </w:trPr>
        <w:tc>
          <w:tcPr>
            <w:tcW w:w="5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jc w:val="both"/>
        <w:ind w:left="260" w:hanging="255"/>
        <w:spacing w:after="0" w:line="234" w:lineRule="auto"/>
        <w:tabs>
          <w:tab w:leader="none" w:pos="254"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These adjustments consist of tax benefit related to the release of a valuation allowance against deferred tax assets that are considered realizable as a result of Cruise tax reconsolidation in the three months ended March 31, 2022, and tax expense related to the establishment of a valuation allowance against deferred tax assets that were considered no longer realizable for Cruise in the three months ended March 31, 2021. These adjustments were excluded because significant impacts of valuation allowances are not considered part of our core operations.</w:t>
      </w:r>
    </w:p>
    <w:p>
      <w:pPr>
        <w:spacing w:after="0" w:line="1" w:lineRule="exact"/>
        <w:rPr>
          <w:rFonts w:ascii="Arial" w:cs="Arial" w:eastAsia="Arial" w:hAnsi="Arial"/>
          <w:sz w:val="11"/>
          <w:szCs w:val="11"/>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This adjustment consists of a deemed dividend related to the redemption of Cruise preferred shares from SoftBank in the three months ended March 31, 2022.</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137"/>
        </w:trPr>
        <w:tc>
          <w:tcPr>
            <w:tcW w:w="4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5"/>
          </w:tcPr>
          <w:p>
            <w:pPr>
              <w:ind w:left="62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5"/>
              </w:rPr>
              <w:t>March 31, 2022</w:t>
            </w: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March 31, 2021</w:t>
            </w: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tcPr>
          <w:p>
            <w:pPr>
              <w:spacing w:after="0" w:line="80" w:lineRule="exact"/>
              <w:rPr>
                <w:sz w:val="20"/>
                <w:szCs w:val="20"/>
                <w:color w:val="auto"/>
              </w:rPr>
            </w:pPr>
            <w:r>
              <w:rPr>
                <w:rFonts w:ascii="Arial" w:cs="Arial" w:eastAsia="Arial" w:hAnsi="Arial"/>
                <w:sz w:val="8"/>
                <w:szCs w:val="8"/>
                <w:b w:val="1"/>
                <w:bCs w:val="1"/>
                <w:color w:val="auto"/>
              </w:rPr>
              <w:t>Income before income</w:t>
            </w:r>
          </w:p>
        </w:tc>
        <w:tc>
          <w:tcPr>
            <w:tcW w:w="820" w:type="dxa"/>
            <w:vAlign w:val="bottom"/>
            <w:gridSpan w:val="2"/>
          </w:tcPr>
          <w:p>
            <w:pPr>
              <w:spacing w:after="0" w:line="80" w:lineRule="exact"/>
              <w:rPr>
                <w:sz w:val="20"/>
                <w:szCs w:val="20"/>
                <w:color w:val="auto"/>
              </w:rPr>
            </w:pPr>
            <w:r>
              <w:rPr>
                <w:rFonts w:ascii="Arial" w:cs="Arial" w:eastAsia="Arial" w:hAnsi="Arial"/>
                <w:sz w:val="8"/>
                <w:szCs w:val="8"/>
                <w:b w:val="1"/>
                <w:bCs w:val="1"/>
                <w:color w:val="auto"/>
              </w:rPr>
              <w:t>Income tax expense</w:t>
            </w:r>
          </w:p>
        </w:tc>
        <w:tc>
          <w:tcPr>
            <w:tcW w:w="100" w:type="dxa"/>
            <w:vAlign w:val="bottom"/>
          </w:tcPr>
          <w:p>
            <w:pPr>
              <w:spacing w:after="0"/>
              <w:rPr>
                <w:sz w:val="6"/>
                <w:szCs w:val="6"/>
                <w:color w:val="auto"/>
              </w:rPr>
            </w:pPr>
          </w:p>
        </w:tc>
        <w:tc>
          <w:tcPr>
            <w:tcW w:w="1120" w:type="dxa"/>
            <w:vAlign w:val="bottom"/>
            <w:vMerge w:val="restart"/>
          </w:tcPr>
          <w:p>
            <w:pPr>
              <w:jc w:val="right"/>
              <w:ind w:right="111"/>
              <w:spacing w:after="0"/>
              <w:rPr>
                <w:sz w:val="20"/>
                <w:szCs w:val="20"/>
                <w:color w:val="auto"/>
              </w:rPr>
            </w:pPr>
            <w:r>
              <w:rPr>
                <w:rFonts w:ascii="Arial" w:cs="Arial" w:eastAsia="Arial" w:hAnsi="Arial"/>
                <w:sz w:val="10"/>
                <w:szCs w:val="10"/>
                <w:b w:val="1"/>
                <w:bCs w:val="1"/>
                <w:color w:val="auto"/>
              </w:rPr>
              <w:t>Effective tax rate</w:t>
            </w:r>
          </w:p>
        </w:tc>
        <w:tc>
          <w:tcPr>
            <w:tcW w:w="100" w:type="dxa"/>
            <w:vAlign w:val="bottom"/>
            <w:vMerge w:val="restart"/>
          </w:tcPr>
          <w:p>
            <w:pPr>
              <w:spacing w:after="0"/>
              <w:rPr>
                <w:sz w:val="6"/>
                <w:szCs w:val="6"/>
                <w:color w:val="auto"/>
              </w:rPr>
            </w:pPr>
          </w:p>
        </w:tc>
        <w:tc>
          <w:tcPr>
            <w:tcW w:w="1060" w:type="dxa"/>
            <w:vAlign w:val="bottom"/>
            <w:gridSpan w:val="3"/>
          </w:tcPr>
          <w:p>
            <w:pPr>
              <w:ind w:left="40"/>
              <w:spacing w:after="0" w:line="80" w:lineRule="exact"/>
              <w:rPr>
                <w:sz w:val="20"/>
                <w:szCs w:val="20"/>
                <w:color w:val="auto"/>
              </w:rPr>
            </w:pPr>
            <w:r>
              <w:rPr>
                <w:rFonts w:ascii="Arial" w:cs="Arial" w:eastAsia="Arial" w:hAnsi="Arial"/>
                <w:sz w:val="8"/>
                <w:szCs w:val="8"/>
                <w:b w:val="1"/>
                <w:bCs w:val="1"/>
                <w:color w:val="auto"/>
              </w:rPr>
              <w:t>Income before income</w:t>
            </w:r>
          </w:p>
        </w:tc>
        <w:tc>
          <w:tcPr>
            <w:tcW w:w="940" w:type="dxa"/>
            <w:vAlign w:val="bottom"/>
            <w:gridSpan w:val="2"/>
          </w:tcPr>
          <w:p>
            <w:pPr>
              <w:jc w:val="right"/>
              <w:ind w:right="2"/>
              <w:spacing w:after="0" w:line="80" w:lineRule="exact"/>
              <w:rPr>
                <w:sz w:val="20"/>
                <w:szCs w:val="20"/>
                <w:color w:val="auto"/>
              </w:rPr>
            </w:pPr>
            <w:r>
              <w:rPr>
                <w:rFonts w:ascii="Arial" w:cs="Arial" w:eastAsia="Arial" w:hAnsi="Arial"/>
                <w:sz w:val="8"/>
                <w:szCs w:val="8"/>
                <w:b w:val="1"/>
                <w:bCs w:val="1"/>
                <w:color w:val="auto"/>
              </w:rPr>
              <w:t>Income tax expense</w:t>
            </w:r>
          </w:p>
        </w:tc>
        <w:tc>
          <w:tcPr>
            <w:tcW w:w="100" w:type="dxa"/>
            <w:vAlign w:val="bottom"/>
          </w:tcPr>
          <w:p>
            <w:pPr>
              <w:spacing w:after="0"/>
              <w:rPr>
                <w:sz w:val="6"/>
                <w:szCs w:val="6"/>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0"/>
                <w:szCs w:val="10"/>
                <w:b w:val="1"/>
                <w:bCs w:val="1"/>
                <w:color w:val="auto"/>
              </w:rPr>
              <w:t>Effective tax rate</w:t>
            </w:r>
          </w:p>
        </w:tc>
        <w:tc>
          <w:tcPr>
            <w:tcW w:w="0" w:type="dxa"/>
            <w:vAlign w:val="bottom"/>
          </w:tcPr>
          <w:p>
            <w:pPr>
              <w:spacing w:after="0"/>
              <w:rPr>
                <w:sz w:val="1"/>
                <w:szCs w:val="1"/>
                <w:color w:val="auto"/>
              </w:rPr>
            </w:pPr>
          </w:p>
        </w:tc>
      </w:tr>
      <w:tr>
        <w:trPr>
          <w:trHeight w:val="120"/>
        </w:trPr>
        <w:tc>
          <w:tcPr>
            <w:tcW w:w="45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85"/>
              <w:spacing w:after="0"/>
              <w:rPr>
                <w:sz w:val="20"/>
                <w:szCs w:val="20"/>
                <w:color w:val="auto"/>
              </w:rPr>
            </w:pPr>
            <w:r>
              <w:rPr>
                <w:rFonts w:ascii="Arial" w:cs="Arial" w:eastAsia="Arial" w:hAnsi="Arial"/>
                <w:sz w:val="8"/>
                <w:szCs w:val="8"/>
                <w:b w:val="1"/>
                <w:bCs w:val="1"/>
                <w:color w:val="auto"/>
              </w:rPr>
              <w:t>taxes</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2"/>
              <w:spacing w:after="0"/>
              <w:rPr>
                <w:sz w:val="20"/>
                <w:szCs w:val="20"/>
                <w:color w:val="auto"/>
              </w:rPr>
            </w:pPr>
            <w:r>
              <w:rPr>
                <w:rFonts w:ascii="Arial" w:cs="Arial" w:eastAsia="Arial" w:hAnsi="Arial"/>
                <w:sz w:val="8"/>
                <w:szCs w:val="8"/>
                <w:b w:val="1"/>
                <w:bCs w:val="1"/>
                <w:color w:val="auto"/>
              </w:rPr>
              <w:t>taxes</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2,779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4,191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28.1 %</w:t>
            </w:r>
          </w:p>
        </w:tc>
        <w:tc>
          <w:tcPr>
            <w:tcW w:w="0" w:type="dxa"/>
            <w:vAlign w:val="bottom"/>
          </w:tcPr>
          <w:p>
            <w:pPr>
              <w:spacing w:after="0"/>
              <w:rPr>
                <w:sz w:val="1"/>
                <w:szCs w:val="1"/>
                <w:color w:val="auto"/>
              </w:rPr>
            </w:pPr>
          </w:p>
        </w:tc>
      </w:tr>
      <w:tr>
        <w:trPr>
          <w:trHeight w:val="168"/>
        </w:trPr>
        <w:tc>
          <w:tcPr>
            <w:tcW w:w="452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80" w:type="dxa"/>
            <w:vAlign w:val="bottom"/>
          </w:tcPr>
          <w:p>
            <w:pPr>
              <w:spacing w:after="0"/>
              <w:rPr>
                <w:sz w:val="14"/>
                <w:szCs w:val="14"/>
                <w:color w:val="auto"/>
              </w:rPr>
            </w:pPr>
          </w:p>
        </w:tc>
        <w:tc>
          <w:tcPr>
            <w:tcW w:w="1000" w:type="dxa"/>
            <w:vAlign w:val="bottom"/>
          </w:tcPr>
          <w:p>
            <w:pPr>
              <w:jc w:val="right"/>
              <w:ind w:right="5"/>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adjustment(b)</w:t>
            </w: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2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color w:val="auto"/>
              </w:rPr>
              <w:t>3,832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19.6 %</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4,191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20.5 %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line="241" w:lineRule="auto"/>
        <w:tabs>
          <w:tab w:leader="none" w:pos="249"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within the previous section for adjustment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Four Quarters Ended</w:t>
            </w:r>
          </w:p>
        </w:tc>
        <w:tc>
          <w:tcPr>
            <w:tcW w:w="1240" w:type="dxa"/>
            <w:vAlign w:val="bottom"/>
            <w:tcBorders>
              <w:bottom w:val="single" w:sz="8" w:color="auto"/>
            </w:tcBorders>
          </w:tcPr>
          <w:p>
            <w:pPr>
              <w:spacing w:after="0"/>
              <w:rPr>
                <w:sz w:val="11"/>
                <w:szCs w:val="11"/>
                <w:color w:val="auto"/>
              </w:rPr>
            </w:pPr>
          </w:p>
        </w:tc>
      </w:tr>
      <w:tr>
        <w:trPr>
          <w:trHeight w:val="132"/>
        </w:trPr>
        <w:tc>
          <w:tcPr>
            <w:tcW w:w="77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March 31, 2021</w:t>
            </w:r>
          </w:p>
        </w:tc>
      </w:tr>
      <w:tr>
        <w:trPr>
          <w:trHeight w:val="16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260" w:type="dxa"/>
            <w:vAlign w:val="bottom"/>
            <w:shd w:val="clear" w:color="auto" w:fill="CCEEFF"/>
          </w:tcPr>
          <w:p>
            <w:pPr>
              <w:jc w:val="right"/>
              <w:ind w:right="1101"/>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260" w:type="dxa"/>
            <w:vAlign w:val="bottom"/>
          </w:tcPr>
          <w:p>
            <w:pPr>
              <w:jc w:val="right"/>
              <w:ind w:right="1101"/>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00"/>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100"/>
              <w:spacing w:after="0"/>
              <w:rPr>
                <w:sz w:val="20"/>
                <w:szCs w:val="20"/>
                <w:color w:val="auto"/>
              </w:rPr>
            </w:pPr>
            <w:r>
              <w:rPr>
                <w:rFonts w:ascii="Arial" w:cs="Arial" w:eastAsia="Arial" w:hAnsi="Arial"/>
                <w:sz w:val="13"/>
                <w:szCs w:val="13"/>
                <w:color w:val="auto"/>
              </w:rPr>
              <w:t>45.7</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2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16.7 %</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38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9"/>
              </w:rPr>
              <w:t>Four Quarters Ended</w:t>
            </w:r>
          </w:p>
        </w:tc>
        <w:tc>
          <w:tcPr>
            <w:tcW w:w="1240" w:type="dxa"/>
            <w:vAlign w:val="bottom"/>
            <w:tcBorders>
              <w:bottom w:val="single" w:sz="8" w:color="auto"/>
            </w:tcBorders>
          </w:tcPr>
          <w:p>
            <w:pPr>
              <w:spacing w:after="0"/>
              <w:rPr>
                <w:sz w:val="11"/>
                <w:szCs w:val="11"/>
                <w:color w:val="auto"/>
              </w:rPr>
            </w:pPr>
          </w:p>
        </w:tc>
      </w:tr>
      <w:tr>
        <w:trPr>
          <w:trHeight w:val="132"/>
        </w:trPr>
        <w:tc>
          <w:tcPr>
            <w:tcW w:w="77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March 31, 2021</w:t>
            </w:r>
          </w:p>
        </w:tc>
      </w:tr>
      <w:tr>
        <w:trPr>
          <w:trHeight w:val="165"/>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1260" w:type="dxa"/>
            <w:vAlign w:val="bottom"/>
            <w:shd w:val="clear" w:color="auto" w:fill="CCEEFF"/>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12.9</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260" w:type="dxa"/>
            <w:vAlign w:val="bottom"/>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tcPr>
          <w:p>
            <w:pPr>
              <w:ind w:left="60"/>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45.7</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260" w:type="dxa"/>
            <w:vAlign w:val="bottom"/>
            <w:shd w:val="clear" w:color="auto" w:fill="CCEEFF"/>
          </w:tcPr>
          <w:p>
            <w:pPr>
              <w:spacing w:after="0"/>
              <w:rPr>
                <w:sz w:val="14"/>
                <w:szCs w:val="14"/>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24.7</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2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98"/>
              <w:spacing w:after="0"/>
              <w:rPr>
                <w:sz w:val="20"/>
                <w:szCs w:val="20"/>
                <w:color w:val="auto"/>
              </w:rPr>
            </w:pPr>
            <w:r>
              <w:rPr>
                <w:rFonts w:ascii="Arial" w:cs="Arial" w:eastAsia="Arial" w:hAnsi="Arial"/>
                <w:sz w:val="13"/>
                <w:szCs w:val="13"/>
                <w:color w:val="auto"/>
              </w:rPr>
              <w:t>17.8</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2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(23.8)</w:t>
            </w:r>
          </w:p>
        </w:tc>
      </w:tr>
      <w:tr>
        <w:trPr>
          <w:trHeight w:val="163"/>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1260" w:type="dxa"/>
            <w:vAlign w:val="bottom"/>
            <w:tcBorders>
              <w:bottom w:val="single" w:sz="8" w:color="auto"/>
            </w:tcBorders>
          </w:tcPr>
          <w:p>
            <w:pPr>
              <w:jc w:val="right"/>
              <w:ind w:right="110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68.8</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64.4</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1260" w:type="dxa"/>
            <w:vAlign w:val="bottom"/>
            <w:shd w:val="clear" w:color="auto" w:fill="CCEEFF"/>
          </w:tcPr>
          <w:p>
            <w:pPr>
              <w:spacing w:after="0"/>
              <w:rPr>
                <w:sz w:val="13"/>
                <w:szCs w:val="13"/>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20.2 %</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 for adjustment details.</w:t>
      </w: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400" w:type="dxa"/>
            <w:vAlign w:val="bottom"/>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0"/>
                <w:szCs w:val="10"/>
                <w:b w:val="1"/>
                <w:bCs w:val="1"/>
                <w:color w:val="auto"/>
              </w:rPr>
              <w:t>Three Months Ended</w:t>
            </w:r>
          </w:p>
        </w:tc>
        <w:tc>
          <w:tcPr>
            <w:tcW w:w="1680" w:type="dxa"/>
            <w:vAlign w:val="bottom"/>
            <w:tcBorders>
              <w:bottom w:val="single" w:sz="8" w:color="auto"/>
            </w:tcBorders>
          </w:tcPr>
          <w:p>
            <w:pPr>
              <w:spacing w:after="0"/>
              <w:rPr>
                <w:sz w:val="11"/>
                <w:szCs w:val="11"/>
                <w:color w:val="auto"/>
              </w:rPr>
            </w:pPr>
          </w:p>
        </w:tc>
      </w:tr>
      <w:tr>
        <w:trPr>
          <w:trHeight w:val="132"/>
        </w:trPr>
        <w:tc>
          <w:tcPr>
            <w:tcW w:w="640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March 31, 2022</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0"/>
                <w:szCs w:val="10"/>
                <w:b w:val="1"/>
                <w:bCs w:val="1"/>
                <w:color w:val="auto"/>
              </w:rPr>
              <w:t>March 31, 2021</w:t>
            </w:r>
          </w:p>
        </w:tc>
      </w:tr>
      <w:tr>
        <w:trPr>
          <w:trHeight w:val="165"/>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1780" w:type="dxa"/>
            <w:vAlign w:val="bottom"/>
            <w:shd w:val="clear" w:color="auto" w:fill="CCEEFF"/>
          </w:tcPr>
          <w:p>
            <w:pPr>
              <w:jc w:val="right"/>
              <w:ind w:right="1521"/>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1,635</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w:t>
            </w:r>
          </w:p>
        </w:tc>
      </w:tr>
      <w:tr>
        <w:trPr>
          <w:trHeight w:val="168"/>
        </w:trPr>
        <w:tc>
          <w:tcPr>
            <w:tcW w:w="6400" w:type="dxa"/>
            <w:vAlign w:val="bottom"/>
          </w:tcPr>
          <w:p>
            <w:pPr>
              <w:ind w:left="140"/>
              <w:spacing w:after="0"/>
              <w:rPr>
                <w:sz w:val="20"/>
                <w:szCs w:val="20"/>
                <w:color w:val="auto"/>
              </w:rPr>
            </w:pPr>
            <w:r>
              <w:rPr>
                <w:rFonts w:ascii="Arial" w:cs="Arial" w:eastAsia="Arial" w:hAnsi="Arial"/>
                <w:sz w:val="13"/>
                <w:szCs w:val="13"/>
                <w:color w:val="auto"/>
              </w:rPr>
              <w:t>Less: Capital expenditures</w:t>
            </w:r>
          </w:p>
        </w:tc>
        <w:tc>
          <w:tcPr>
            <w:tcW w:w="1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(860)</w:t>
            </w: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7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8"/>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Add: GMI Korea Wage Litigation</w:t>
            </w:r>
          </w:p>
        </w:tc>
        <w:tc>
          <w:tcPr>
            <w:tcW w:w="1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automotive free cash flow</w:t>
            </w:r>
          </w:p>
        </w:tc>
        <w:tc>
          <w:tcPr>
            <w:tcW w:w="1780" w:type="dxa"/>
            <w:vAlign w:val="bottom"/>
            <w:tcBorders>
              <w:bottom w:val="single" w:sz="8" w:color="auto"/>
            </w:tcBorders>
            <w:shd w:val="clear" w:color="auto" w:fill="CCEEFF"/>
          </w:tcPr>
          <w:p>
            <w:pPr>
              <w:jc w:val="right"/>
              <w:ind w:right="1521"/>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698"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7"/>
                <w:szCs w:val="7"/>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7"/>
                <w:szCs w:val="7"/>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7"/>
                <w:szCs w:val="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7"/>
                <w:szCs w:val="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60" w:type="dxa"/>
            <w:vAlign w:val="bottom"/>
          </w:tcPr>
          <w:p>
            <w:pPr>
              <w:spacing w:after="0"/>
              <w:rPr>
                <w:sz w:val="7"/>
                <w:szCs w:val="7"/>
                <w:color w:val="auto"/>
              </w:rPr>
            </w:pPr>
          </w:p>
        </w:tc>
        <w:tc>
          <w:tcPr>
            <w:tcW w:w="520" w:type="dxa"/>
            <w:vAlign w:val="bottom"/>
            <w:vMerge w:val="restart"/>
          </w:tcPr>
          <w:p>
            <w:pPr>
              <w:jc w:val="right"/>
              <w:ind w:right="19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00" w:type="dxa"/>
            <w:vAlign w:val="bottom"/>
          </w:tcPr>
          <w:p>
            <w:pPr>
              <w:ind w:left="20"/>
              <w:spacing w:after="0"/>
              <w:rPr>
                <w:sz w:val="20"/>
                <w:szCs w:val="20"/>
                <w:color w:val="auto"/>
              </w:rPr>
            </w:pPr>
            <w:r>
              <w:rPr>
                <w:rFonts w:ascii="Arial" w:cs="Arial" w:eastAsia="Arial" w:hAnsi="Arial"/>
                <w:sz w:val="8"/>
                <w:szCs w:val="8"/>
                <w:b w:val="1"/>
                <w:bCs w:val="1"/>
                <w:color w:val="auto"/>
              </w:rPr>
              <w:t>Three Months Ended March 31, 2022</w:t>
            </w: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29,456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32,823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35,979</w:t>
            </w:r>
          </w:p>
        </w:tc>
        <w:tc>
          <w:tcPr>
            <w:tcW w:w="0" w:type="dxa"/>
            <w:vAlign w:val="bottom"/>
          </w:tcPr>
          <w:p>
            <w:pPr>
              <w:spacing w:after="0"/>
              <w:rPr>
                <w:sz w:val="1"/>
                <w:szCs w:val="1"/>
                <w:color w:val="auto"/>
              </w:rPr>
            </w:pPr>
          </w:p>
        </w:tc>
      </w:tr>
      <w:tr>
        <w:trPr>
          <w:trHeight w:val="131"/>
        </w:trPr>
        <w:tc>
          <w:tcPr>
            <w:tcW w:w="310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1,521</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1,645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1,661</w:t>
            </w:r>
          </w:p>
        </w:tc>
        <w:tc>
          <w:tcPr>
            <w:tcW w:w="0" w:type="dxa"/>
            <w:vAlign w:val="bottom"/>
          </w:tcPr>
          <w:p>
            <w:pPr>
              <w:spacing w:after="0"/>
              <w:rPr>
                <w:sz w:val="1"/>
                <w:szCs w:val="1"/>
                <w:color w:val="auto"/>
              </w:rPr>
            </w:pPr>
          </w:p>
        </w:tc>
      </w:tr>
      <w:tr>
        <w:trPr>
          <w:trHeight w:val="145"/>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2,891</w:t>
            </w:r>
          </w:p>
        </w:tc>
        <w:tc>
          <w:tcPr>
            <w:tcW w:w="0" w:type="dxa"/>
            <w:vAlign w:val="bottom"/>
          </w:tcPr>
          <w:p>
            <w:pPr>
              <w:spacing w:after="0"/>
              <w:rPr>
                <w:sz w:val="1"/>
                <w:szCs w:val="1"/>
                <w:color w:val="auto"/>
              </w:rPr>
            </w:pPr>
          </w:p>
        </w:tc>
      </w:tr>
      <w:tr>
        <w:trPr>
          <w:trHeight w:val="131"/>
        </w:trPr>
        <w:tc>
          <w:tcPr>
            <w:tcW w:w="310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GMNA</w:t>
            </w:r>
          </w:p>
        </w:tc>
        <w:tc>
          <w:tcPr>
            <w:tcW w:w="160" w:type="dxa"/>
            <w:vAlign w:val="bottom"/>
          </w:tcPr>
          <w:p>
            <w:pPr>
              <w:spacing w:after="0"/>
              <w:rPr>
                <w:sz w:val="24"/>
                <w:szCs w:val="24"/>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40" w:type="dxa"/>
            <w:vAlign w:val="bottom"/>
          </w:tcPr>
          <w:p>
            <w:pPr>
              <w:spacing w:after="0"/>
              <w:rPr>
                <w:sz w:val="24"/>
                <w:szCs w:val="2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4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GM</w:t>
            </w:r>
          </w:p>
        </w:tc>
        <w:tc>
          <w:tcPr>
            <w:tcW w:w="13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60" w:type="dxa"/>
            <w:vAlign w:val="bottom"/>
          </w:tcPr>
          <w:p>
            <w:pPr>
              <w:spacing w:after="0"/>
              <w:rPr>
                <w:sz w:val="24"/>
                <w:szCs w:val="24"/>
                <w:color w:val="auto"/>
              </w:rPr>
            </w:pPr>
          </w:p>
        </w:tc>
        <w:tc>
          <w:tcPr>
            <w:tcW w:w="520" w:type="dxa"/>
            <w:vAlign w:val="bottom"/>
            <w:vMerge w:val="restart"/>
          </w:tcPr>
          <w:p>
            <w:pPr>
              <w:jc w:val="right"/>
              <w:ind w:right="19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100" w:type="dxa"/>
            <w:vAlign w:val="bottom"/>
          </w:tcPr>
          <w:p>
            <w:pPr>
              <w:ind w:left="20"/>
              <w:spacing w:after="0"/>
              <w:rPr>
                <w:sz w:val="20"/>
                <w:szCs w:val="20"/>
                <w:color w:val="auto"/>
              </w:rPr>
            </w:pPr>
            <w:r>
              <w:rPr>
                <w:rFonts w:ascii="Arial" w:cs="Arial" w:eastAsia="Arial" w:hAnsi="Arial"/>
                <w:sz w:val="8"/>
                <w:szCs w:val="8"/>
                <w:b w:val="1"/>
                <w:bCs w:val="1"/>
                <w:color w:val="auto"/>
              </w:rPr>
              <w:t>Three Months Ended March 31, 2021</w:t>
            </w: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25,957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3,407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32,474</w:t>
            </w:r>
          </w:p>
        </w:tc>
        <w:tc>
          <w:tcPr>
            <w:tcW w:w="0" w:type="dxa"/>
            <w:vAlign w:val="bottom"/>
          </w:tcPr>
          <w:p>
            <w:pPr>
              <w:spacing w:after="0"/>
              <w:rPr>
                <w:sz w:val="1"/>
                <w:szCs w:val="1"/>
                <w:color w:val="auto"/>
              </w:rPr>
            </w:pPr>
          </w:p>
        </w:tc>
      </w:tr>
      <w:tr>
        <w:trPr>
          <w:trHeight w:val="131"/>
        </w:trPr>
        <w:tc>
          <w:tcPr>
            <w:tcW w:w="3100" w:type="dxa"/>
            <w:vAlign w:val="bottom"/>
          </w:tcPr>
          <w:p>
            <w:pPr>
              <w:ind w:left="20"/>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94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860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878</w:t>
            </w:r>
          </w:p>
        </w:tc>
        <w:tc>
          <w:tcPr>
            <w:tcW w:w="0" w:type="dxa"/>
            <w:vAlign w:val="bottom"/>
          </w:tcPr>
          <w:p>
            <w:pPr>
              <w:spacing w:after="0"/>
              <w:rPr>
                <w:sz w:val="1"/>
                <w:szCs w:val="1"/>
                <w:color w:val="auto"/>
              </w:rPr>
            </w:pPr>
          </w:p>
        </w:tc>
      </w:tr>
      <w:tr>
        <w:trPr>
          <w:trHeight w:val="145"/>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3,015</w:t>
            </w:r>
          </w:p>
        </w:tc>
        <w:tc>
          <w:tcPr>
            <w:tcW w:w="0" w:type="dxa"/>
            <w:vAlign w:val="bottom"/>
          </w:tcPr>
          <w:p>
            <w:pPr>
              <w:spacing w:after="0"/>
              <w:rPr>
                <w:sz w:val="1"/>
                <w:szCs w:val="1"/>
                <w:color w:val="auto"/>
              </w:rPr>
            </w:pPr>
          </w:p>
        </w:tc>
      </w:tr>
      <w:tr>
        <w:trPr>
          <w:trHeight w:val="131"/>
        </w:trPr>
        <w:tc>
          <w:tcPr>
            <w:tcW w:w="3100" w:type="dxa"/>
            <w:vAlign w:val="bottom"/>
          </w:tcPr>
          <w:p>
            <w:pPr>
              <w:ind w:left="20"/>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income (a)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Automotive China equity income of $234 million and $308 million in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698"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206"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 Also, as of March 2022, GM is no longer importing vehicles or parts to Russia, Belarus and other sanctioned provinces in Ukraine.</w:t>
      </w:r>
    </w:p>
    <w:p>
      <w:pPr>
        <w:spacing w:after="0" w:line="186"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three months ended March 31, 2022, 28.4% of our wholesale vehicle sales volume was generated outside the U.S. The following table summarizes wholesale vehicle sales by automotive segment (vehicles in thousands):</w:t>
      </w:r>
    </w:p>
    <w:p>
      <w:pPr>
        <w:spacing w:after="0" w:line="83" w:lineRule="exact"/>
        <w:rPr>
          <w:sz w:val="20"/>
          <w:szCs w:val="20"/>
          <w:color w:val="auto"/>
        </w:rPr>
      </w:pPr>
    </w:p>
    <w:p>
      <w:pPr>
        <w:ind w:left="842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6500" w:type="dxa"/>
            <w:vAlign w:val="bottom"/>
            <w:tcBorders>
              <w:bottom w:val="single" w:sz="8" w:color="CCEEFF"/>
            </w:tcBorders>
          </w:tcPr>
          <w:p>
            <w:pPr>
              <w:spacing w:after="0"/>
              <w:rPr>
                <w:sz w:val="12"/>
                <w:szCs w:val="12"/>
                <w:color w:val="auto"/>
              </w:rPr>
            </w:pPr>
          </w:p>
        </w:tc>
        <w:tc>
          <w:tcPr>
            <w:tcW w:w="18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0"/>
                <w:szCs w:val="10"/>
                <w:b w:val="1"/>
                <w:bCs w:val="1"/>
                <w:color w:val="auto"/>
              </w:rPr>
              <w:t>March 31, 2022</w:t>
            </w: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3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March 31, 2021</w:t>
            </w:r>
          </w:p>
        </w:tc>
      </w:tr>
      <w:tr>
        <w:trPr>
          <w:trHeight w:val="165"/>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GMNA</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8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r>
      <w:tr>
        <w:trPr>
          <w:trHeight w:val="168"/>
        </w:trPr>
        <w:tc>
          <w:tcPr>
            <w:tcW w:w="6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GMI</w:t>
            </w:r>
          </w:p>
        </w:tc>
        <w:tc>
          <w:tcPr>
            <w:tcW w:w="1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80" w:type="dxa"/>
            <w:vAlign w:val="bottom"/>
            <w:tcBorders>
              <w:bottom w:val="single" w:sz="8" w:color="CCEEFF"/>
            </w:tcBorders>
          </w:tcPr>
          <w:p>
            <w:pPr>
              <w:spacing w:after="0"/>
              <w:rPr>
                <w:sz w:val="14"/>
                <w:szCs w:val="14"/>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r>
      <w:tr>
        <w:trPr>
          <w:trHeight w:val="18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w:t>
            </w:r>
          </w:p>
        </w:tc>
        <w:tc>
          <w:tcPr>
            <w:tcW w:w="80" w:type="dxa"/>
            <w:vAlign w:val="bottom"/>
            <w:shd w:val="clear" w:color="auto" w:fill="CCEEFF"/>
          </w:tcPr>
          <w:p>
            <w:pPr>
              <w:spacing w:after="0"/>
              <w:rPr>
                <w:sz w:val="15"/>
                <w:szCs w:val="15"/>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698"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87" w:lineRule="exact"/>
        <w:rPr>
          <w:sz w:val="20"/>
          <w:szCs w:val="20"/>
          <w:color w:val="auto"/>
        </w:rPr>
      </w:pPr>
    </w:p>
    <w:p>
      <w:pPr>
        <w:ind w:left="842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40" w:type="dxa"/>
            <w:vAlign w:val="bottom"/>
          </w:tcPr>
          <w:p>
            <w:pPr>
              <w:spacing w:after="0"/>
              <w:rPr>
                <w:sz w:val="12"/>
                <w:szCs w:val="12"/>
                <w:color w:val="auto"/>
              </w:rPr>
            </w:pPr>
          </w:p>
        </w:tc>
        <w:tc>
          <w:tcPr>
            <w:tcW w:w="17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0"/>
                <w:szCs w:val="10"/>
                <w:b w:val="1"/>
                <w:bCs w:val="1"/>
                <w:color w:val="auto"/>
              </w:rPr>
              <w:t>March 31, 2022</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2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0"/>
                <w:szCs w:val="10"/>
                <w:b w:val="1"/>
                <w:bCs w:val="1"/>
                <w:color w:val="auto"/>
              </w:rPr>
              <w:t>March 31, 2021</w:t>
            </w:r>
          </w:p>
        </w:tc>
      </w:tr>
      <w:tr>
        <w:trPr>
          <w:trHeight w:val="152"/>
        </w:trPr>
        <w:tc>
          <w:tcPr>
            <w:tcW w:w="8280" w:type="dxa"/>
            <w:vAlign w:val="bottom"/>
            <w:gridSpan w:val="2"/>
          </w:tcPr>
          <w:p>
            <w:pPr>
              <w:ind w:left="20"/>
              <w:spacing w:after="0"/>
              <w:rPr>
                <w:sz w:val="20"/>
                <w:szCs w:val="20"/>
                <w:color w:val="auto"/>
              </w:rPr>
            </w:pPr>
            <w:r>
              <w:rPr>
                <w:rFonts w:ascii="Arial" w:cs="Arial" w:eastAsia="Arial" w:hAnsi="Arial"/>
                <w:sz w:val="13"/>
                <w:szCs w:val="13"/>
                <w:color w:val="auto"/>
              </w:rPr>
              <w:t>United States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2"/>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68"/>
        </w:trPr>
        <w:tc>
          <w:tcPr>
            <w:tcW w:w="8280" w:type="dxa"/>
            <w:vAlign w:val="bottom"/>
            <w:gridSpan w:val="2"/>
          </w:tcPr>
          <w:p>
            <w:pPr>
              <w:ind w:left="180"/>
              <w:spacing w:after="0"/>
              <w:rPr>
                <w:sz w:val="20"/>
                <w:szCs w:val="20"/>
                <w:color w:val="auto"/>
              </w:rPr>
            </w:pPr>
            <w:r>
              <w:rPr>
                <w:rFonts w:ascii="Arial" w:cs="Arial" w:eastAsia="Arial" w:hAnsi="Arial"/>
                <w:sz w:val="13"/>
                <w:szCs w:val="13"/>
                <w:color w:val="auto"/>
              </w:rPr>
              <w:t>Chevrolet – Trucks</w:t>
            </w:r>
          </w:p>
        </w:tc>
        <w:tc>
          <w:tcPr>
            <w:tcW w:w="58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72"/>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r>
      <w:tr>
        <w:trPr>
          <w:trHeight w:val="168"/>
        </w:trPr>
        <w:tc>
          <w:tcPr>
            <w:tcW w:w="8280" w:type="dxa"/>
            <w:vAlign w:val="bottom"/>
            <w:gridSpan w:val="2"/>
          </w:tcPr>
          <w:p>
            <w:pPr>
              <w:ind w:left="180"/>
              <w:spacing w:after="0"/>
              <w:rPr>
                <w:sz w:val="20"/>
                <w:szCs w:val="20"/>
                <w:color w:val="auto"/>
              </w:rPr>
            </w:pPr>
            <w:r>
              <w:rPr>
                <w:rFonts w:ascii="Arial" w:cs="Arial" w:eastAsia="Arial" w:hAnsi="Arial"/>
                <w:sz w:val="13"/>
                <w:szCs w:val="13"/>
                <w:color w:val="auto"/>
              </w:rPr>
              <w:t>Cadillac</w:t>
            </w:r>
          </w:p>
        </w:tc>
        <w:tc>
          <w:tcPr>
            <w:tcW w:w="5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72"/>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8"/>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r>
      <w:tr>
        <w:trPr>
          <w:trHeight w:val="163"/>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r>
      <w:tr>
        <w:trPr>
          <w:trHeight w:val="168"/>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r>
      <w:tr>
        <w:trPr>
          <w:trHeight w:val="160"/>
        </w:trPr>
        <w:tc>
          <w:tcPr>
            <w:tcW w:w="6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7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3"/>
                <w:szCs w:val="13"/>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w:t>
            </w:r>
          </w:p>
        </w:tc>
      </w:tr>
      <w:tr>
        <w:trPr>
          <w:trHeight w:val="150"/>
        </w:trPr>
        <w:tc>
          <w:tcPr>
            <w:tcW w:w="8280" w:type="dxa"/>
            <w:vAlign w:val="bottom"/>
            <w:gridSpan w:val="2"/>
          </w:tcPr>
          <w:p>
            <w:pPr>
              <w:ind w:left="20"/>
              <w:spacing w:after="0"/>
              <w:rPr>
                <w:sz w:val="20"/>
                <w:szCs w:val="20"/>
                <w:color w:val="auto"/>
              </w:rPr>
            </w:pPr>
            <w:r>
              <w:rPr>
                <w:rFonts w:ascii="Arial" w:cs="Arial" w:eastAsia="Arial" w:hAnsi="Arial"/>
                <w:sz w:val="13"/>
                <w:szCs w:val="13"/>
                <w:color w:val="auto"/>
              </w:rPr>
              <w:t>Asia/Pacific, Middle East and Africa</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2"/>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68"/>
        </w:trPr>
        <w:tc>
          <w:tcPr>
            <w:tcW w:w="8280" w:type="dxa"/>
            <w:vAlign w:val="bottom"/>
            <w:gridSpan w:val="2"/>
          </w:tcPr>
          <w:p>
            <w:pPr>
              <w:ind w:left="180"/>
              <w:spacing w:after="0"/>
              <w:rPr>
                <w:sz w:val="20"/>
                <w:szCs w:val="20"/>
                <w:color w:val="auto"/>
              </w:rPr>
            </w:pPr>
            <w:r>
              <w:rPr>
                <w:rFonts w:ascii="Arial" w:cs="Arial" w:eastAsia="Arial" w:hAnsi="Arial"/>
                <w:sz w:val="13"/>
                <w:szCs w:val="13"/>
                <w:color w:val="auto"/>
              </w:rPr>
              <w:t>Wuling</w:t>
            </w:r>
          </w:p>
        </w:tc>
        <w:tc>
          <w:tcPr>
            <w:tcW w:w="58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351</w:t>
            </w:r>
          </w:p>
        </w:tc>
      </w:tr>
      <w:tr>
        <w:trPr>
          <w:trHeight w:val="172"/>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r>
      <w:tr>
        <w:trPr>
          <w:trHeight w:val="168"/>
        </w:trPr>
        <w:tc>
          <w:tcPr>
            <w:tcW w:w="8280" w:type="dxa"/>
            <w:vAlign w:val="bottom"/>
            <w:gridSpan w:val="2"/>
          </w:tcPr>
          <w:p>
            <w:pPr>
              <w:ind w:left="180"/>
              <w:spacing w:after="0"/>
              <w:rPr>
                <w:sz w:val="20"/>
                <w:szCs w:val="20"/>
                <w:color w:val="auto"/>
              </w:rPr>
            </w:pPr>
            <w:r>
              <w:rPr>
                <w:rFonts w:ascii="Arial" w:cs="Arial" w:eastAsia="Arial" w:hAnsi="Arial"/>
                <w:sz w:val="13"/>
                <w:szCs w:val="13"/>
                <w:color w:val="auto"/>
              </w:rPr>
              <w:t>Baojun</w:t>
            </w: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72"/>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68"/>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3"/>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w:t>
            </w:r>
          </w:p>
        </w:tc>
      </w:tr>
      <w:tr>
        <w:trPr>
          <w:trHeight w:val="168"/>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r>
      <w:tr>
        <w:trPr>
          <w:trHeight w:val="16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r>
      <w:tr>
        <w:trPr>
          <w:trHeight w:val="168"/>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w:t>
            </w:r>
          </w:p>
        </w:tc>
        <w:tc>
          <w:tcPr>
            <w:tcW w:w="10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87" w:lineRule="exact"/>
        <w:rPr>
          <w:sz w:val="20"/>
          <w:szCs w:val="20"/>
          <w:color w:val="auto"/>
        </w:rPr>
      </w:pPr>
    </w:p>
    <w:p>
      <w:pPr>
        <w:ind w:left="842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40" w:type="dxa"/>
            <w:vAlign w:val="bottom"/>
            <w:tcBorders>
              <w:bottom w:val="single" w:sz="8" w:color="CCEEFF"/>
            </w:tcBorders>
          </w:tcPr>
          <w:p>
            <w:pPr>
              <w:spacing w:after="0"/>
              <w:rPr>
                <w:sz w:val="12"/>
                <w:szCs w:val="12"/>
                <w:color w:val="auto"/>
              </w:rPr>
            </w:pPr>
          </w:p>
        </w:tc>
        <w:tc>
          <w:tcPr>
            <w:tcW w:w="17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0"/>
                <w:szCs w:val="10"/>
                <w:b w:val="1"/>
                <w:bCs w:val="1"/>
                <w:color w:val="auto"/>
              </w:rPr>
              <w:t>March 31, 2022</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32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0"/>
                <w:szCs w:val="10"/>
                <w:b w:val="1"/>
                <w:bCs w:val="1"/>
                <w:color w:val="auto"/>
              </w:rPr>
              <w:t>March 31, 2021</w:t>
            </w:r>
          </w:p>
        </w:tc>
      </w:tr>
      <w:tr>
        <w:trPr>
          <w:trHeight w:val="165"/>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spacing w:after="0"/>
              <w:rPr>
                <w:sz w:val="14"/>
                <w:szCs w:val="14"/>
                <w:color w:val="auto"/>
              </w:rPr>
            </w:pPr>
          </w:p>
        </w:tc>
        <w:tc>
          <w:tcPr>
            <w:tcW w:w="23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347</w:t>
            </w:r>
          </w:p>
        </w:tc>
      </w:tr>
      <w:tr>
        <w:trPr>
          <w:trHeight w:val="165"/>
        </w:trPr>
        <w:tc>
          <w:tcPr>
            <w:tcW w:w="832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54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2320" w:type="dxa"/>
            <w:vAlign w:val="bottom"/>
          </w:tcPr>
          <w:p>
            <w:pPr>
              <w:jc w:val="right"/>
              <w:ind w:right="1"/>
              <w:spacing w:after="0"/>
              <w:rPr>
                <w:sz w:val="20"/>
                <w:szCs w:val="20"/>
                <w:color w:val="auto"/>
              </w:rPr>
            </w:pPr>
            <w:r>
              <w:rPr>
                <w:rFonts w:ascii="Arial" w:cs="Arial" w:eastAsia="Arial" w:hAnsi="Arial"/>
                <w:sz w:val="13"/>
                <w:szCs w:val="13"/>
                <w:color w:val="auto"/>
              </w:rPr>
              <w:t>433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698" w:right="3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Supplemental Material</w:t>
      </w:r>
    </w:p>
    <w:p>
      <w:pPr>
        <w:jc w:val="center"/>
        <w:ind w:right="20"/>
        <w:spacing w:after="0"/>
        <w:rPr>
          <w:sz w:val="20"/>
          <w:szCs w:val="20"/>
          <w:color w:val="auto"/>
        </w:rPr>
      </w:pPr>
      <w:r>
        <w:rPr>
          <w:rFonts w:ascii="Arial" w:cs="Arial" w:eastAsia="Arial" w:hAnsi="Arial"/>
          <w:sz w:val="13"/>
          <w:szCs w:val="13"/>
          <w:i w:val="1"/>
          <w:iCs w:val="1"/>
          <w:color w:val="auto"/>
        </w:rPr>
        <w:t>(Unaudited)</w:t>
      </w:r>
    </w:p>
    <w:p>
      <w:pPr>
        <w:spacing w:after="0" w:line="140" w:lineRule="exact"/>
        <w:rPr>
          <w:sz w:val="20"/>
          <w:szCs w:val="20"/>
          <w:color w:val="auto"/>
        </w:rPr>
      </w:pPr>
    </w:p>
    <w:p>
      <w:pPr>
        <w:ind w:left="8100"/>
        <w:spacing w:after="0"/>
        <w:rPr>
          <w:sz w:val="20"/>
          <w:szCs w:val="20"/>
          <w:color w:val="auto"/>
        </w:rPr>
      </w:pPr>
      <w:r>
        <w:rPr>
          <w:rFonts w:ascii="Arial" w:cs="Arial" w:eastAsia="Arial" w:hAnsi="Arial"/>
          <w:sz w:val="10"/>
          <w:szCs w:val="10"/>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140" w:type="dxa"/>
            <w:vAlign w:val="bottom"/>
          </w:tcPr>
          <w:p>
            <w:pPr>
              <w:spacing w:after="0"/>
              <w:rPr>
                <w:sz w:val="12"/>
                <w:szCs w:val="12"/>
                <w:color w:val="auto"/>
              </w:rPr>
            </w:pPr>
          </w:p>
        </w:tc>
        <w:tc>
          <w:tcPr>
            <w:tcW w:w="176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0"/>
                <w:szCs w:val="10"/>
                <w:b w:val="1"/>
                <w:bCs w:val="1"/>
                <w:color w:val="auto"/>
              </w:rPr>
              <w:t>March 31, 2022</w:t>
            </w:r>
          </w:p>
        </w:tc>
        <w:tc>
          <w:tcPr>
            <w:tcW w:w="6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0"/>
                <w:szCs w:val="10"/>
                <w:b w:val="1"/>
                <w:bCs w:val="1"/>
                <w:color w:val="auto"/>
              </w:rPr>
              <w:t>March 31, 2021</w:t>
            </w:r>
          </w:p>
        </w:tc>
      </w:tr>
      <w:tr>
        <w:trPr>
          <w:trHeight w:val="152"/>
        </w:trPr>
        <w:tc>
          <w:tcPr>
            <w:tcW w:w="7900" w:type="dxa"/>
            <w:vAlign w:val="bottom"/>
            <w:gridSpan w:val="2"/>
          </w:tcPr>
          <w:p>
            <w:pPr>
              <w:spacing w:after="0"/>
              <w:rPr>
                <w:sz w:val="20"/>
                <w:szCs w:val="20"/>
                <w:color w:val="auto"/>
              </w:rPr>
            </w:pPr>
            <w:r>
              <w:rPr>
                <w:rFonts w:ascii="Arial" w:cs="Arial" w:eastAsia="Arial" w:hAnsi="Arial"/>
                <w:sz w:val="13"/>
                <w:szCs w:val="13"/>
                <w:color w:val="auto"/>
              </w:rPr>
              <w:t>Market Share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72"/>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r>
      <w:tr>
        <w:trPr>
          <w:trHeight w:val="168"/>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United States – Trucks</w:t>
            </w:r>
          </w:p>
        </w:tc>
        <w:tc>
          <w:tcPr>
            <w:tcW w:w="640" w:type="dxa"/>
            <w:vAlign w:val="bottom"/>
          </w:tcPr>
          <w:p>
            <w:pPr>
              <w:jc w:val="right"/>
              <w:spacing w:after="0"/>
              <w:rPr>
                <w:sz w:val="20"/>
                <w:szCs w:val="20"/>
                <w:color w:val="auto"/>
              </w:rPr>
            </w:pPr>
            <w:r>
              <w:rPr>
                <w:rFonts w:ascii="Arial" w:cs="Arial" w:eastAsia="Arial" w:hAnsi="Arial"/>
                <w:sz w:val="13"/>
                <w:szCs w:val="13"/>
                <w:color w:val="auto"/>
              </w:rPr>
              <w:t>32.5 %</w:t>
            </w:r>
          </w:p>
        </w:tc>
        <w:tc>
          <w:tcPr>
            <w:tcW w:w="8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29.0 %</w:t>
            </w:r>
          </w:p>
        </w:tc>
      </w:tr>
      <w:tr>
        <w:trPr>
          <w:trHeight w:val="172"/>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13.1 %</w:t>
            </w:r>
          </w:p>
        </w:tc>
      </w:tr>
      <w:tr>
        <w:trPr>
          <w:trHeight w:val="168"/>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Total United States</w:t>
            </w:r>
          </w:p>
        </w:tc>
        <w:tc>
          <w:tcPr>
            <w:tcW w:w="640" w:type="dxa"/>
            <w:vAlign w:val="bottom"/>
          </w:tcPr>
          <w:p>
            <w:pPr>
              <w:jc w:val="right"/>
              <w:spacing w:after="0"/>
              <w:rPr>
                <w:sz w:val="20"/>
                <w:szCs w:val="20"/>
                <w:color w:val="auto"/>
              </w:rPr>
            </w:pPr>
            <w:r>
              <w:rPr>
                <w:rFonts w:ascii="Arial" w:cs="Arial" w:eastAsia="Arial" w:hAnsi="Arial"/>
                <w:sz w:val="13"/>
                <w:szCs w:val="13"/>
                <w:color w:val="auto"/>
              </w:rPr>
              <w:t>15.2 %</w:t>
            </w:r>
          </w:p>
        </w:tc>
        <w:tc>
          <w:tcPr>
            <w:tcW w:w="8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16.0 %</w:t>
            </w:r>
          </w:p>
        </w:tc>
      </w:tr>
      <w:tr>
        <w:trPr>
          <w:trHeight w:val="172"/>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14.8 %</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15.7 %</w:t>
            </w:r>
          </w:p>
        </w:tc>
      </w:tr>
      <w:tr>
        <w:trPr>
          <w:trHeight w:val="168"/>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640" w:type="dxa"/>
            <w:vAlign w:val="bottom"/>
          </w:tcPr>
          <w:p>
            <w:pPr>
              <w:jc w:val="right"/>
              <w:spacing w:after="0"/>
              <w:rPr>
                <w:sz w:val="20"/>
                <w:szCs w:val="20"/>
                <w:color w:val="auto"/>
              </w:rPr>
            </w:pPr>
            <w:r>
              <w:rPr>
                <w:rFonts w:ascii="Arial" w:cs="Arial" w:eastAsia="Arial" w:hAnsi="Arial"/>
                <w:sz w:val="13"/>
                <w:szCs w:val="13"/>
                <w:color w:val="auto"/>
              </w:rPr>
              <w:t>6.8 %</w:t>
            </w:r>
          </w:p>
        </w:tc>
        <w:tc>
          <w:tcPr>
            <w:tcW w:w="8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7.3 %</w:t>
            </w:r>
          </w:p>
        </w:tc>
      </w:tr>
      <w:tr>
        <w:trPr>
          <w:trHeight w:val="172"/>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11.4 %</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r>
      <w:tr>
        <w:trPr>
          <w:trHeight w:val="168"/>
        </w:trPr>
        <w:tc>
          <w:tcPr>
            <w:tcW w:w="7900" w:type="dxa"/>
            <w:vAlign w:val="bottom"/>
            <w:gridSpan w:val="2"/>
          </w:tcPr>
          <w:p>
            <w:pPr>
              <w:spacing w:after="0"/>
              <w:rPr>
                <w:sz w:val="20"/>
                <w:szCs w:val="20"/>
                <w:color w:val="auto"/>
              </w:rPr>
            </w:pPr>
            <w:r>
              <w:rPr>
                <w:rFonts w:ascii="Arial" w:cs="Arial" w:eastAsia="Arial" w:hAnsi="Arial"/>
                <w:sz w:val="13"/>
                <w:szCs w:val="13"/>
                <w:color w:val="auto"/>
              </w:rPr>
              <w:t>Total GM Market</w:t>
            </w:r>
          </w:p>
        </w:tc>
        <w:tc>
          <w:tcPr>
            <w:tcW w:w="640" w:type="dxa"/>
            <w:vAlign w:val="bottom"/>
          </w:tcPr>
          <w:p>
            <w:pPr>
              <w:jc w:val="right"/>
              <w:spacing w:after="0"/>
              <w:rPr>
                <w:sz w:val="20"/>
                <w:szCs w:val="20"/>
                <w:color w:val="auto"/>
              </w:rPr>
            </w:pPr>
            <w:r>
              <w:rPr>
                <w:rFonts w:ascii="Arial" w:cs="Arial" w:eastAsia="Arial" w:hAnsi="Arial"/>
                <w:sz w:val="13"/>
                <w:szCs w:val="13"/>
                <w:color w:val="auto"/>
              </w:rPr>
              <w:t>9.1 %</w:t>
            </w:r>
          </w:p>
        </w:tc>
        <w:tc>
          <w:tcPr>
            <w:tcW w:w="8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9.9 %</w:t>
            </w:r>
          </w:p>
        </w:tc>
      </w:tr>
      <w:tr>
        <w:trPr>
          <w:trHeight w:val="172"/>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Worldwide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r>
      <w:tr>
        <w:trPr>
          <w:trHeight w:val="85"/>
        </w:trPr>
        <w:tc>
          <w:tcPr>
            <w:tcW w:w="61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tcPr>
          <w:p>
            <w:pPr>
              <w:spacing w:after="0"/>
              <w:rPr>
                <w:sz w:val="7"/>
                <w:szCs w:val="7"/>
                <w:color w:val="auto"/>
              </w:rPr>
            </w:pPr>
          </w:p>
        </w:tc>
      </w:tr>
      <w:tr>
        <w:trPr>
          <w:trHeight w:val="170"/>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fleet sales as a percentage of retail vehicle sales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23.8 %</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17.3 %</w:t>
            </w:r>
          </w:p>
        </w:tc>
      </w:tr>
      <w:tr>
        <w:trPr>
          <w:trHeight w:val="85"/>
        </w:trPr>
        <w:tc>
          <w:tcPr>
            <w:tcW w:w="61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tcPr>
          <w:p>
            <w:pPr>
              <w:spacing w:after="0"/>
              <w:rPr>
                <w:sz w:val="7"/>
                <w:szCs w:val="7"/>
                <w:color w:val="auto"/>
              </w:rPr>
            </w:pPr>
          </w:p>
        </w:tc>
      </w:tr>
      <w:tr>
        <w:trPr>
          <w:trHeight w:val="170"/>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North America capacity two-shift utilization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96.2 %</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020"/>
          </w:cols>
          <w:pgMar w:left="440" w:top="698" w:right="439" w:bottom="1440" w:gutter="0" w:footer="0" w:header="0"/>
        </w:sectPr>
      </w:pPr>
    </w:p>
    <w:bookmarkStart w:id="19" w:name="page20"/>
    <w:bookmarkEnd w:id="19"/>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3"/>
          <w:szCs w:val="13"/>
          <w:i w:val="1"/>
          <w:iCs w:val="1"/>
          <w:color w:val="auto"/>
        </w:rPr>
        <w:t>(In millions)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6"/>
          </w:tcPr>
          <w:p>
            <w:pPr>
              <w:ind w:left="540"/>
              <w:spacing w:after="0"/>
              <w:rPr>
                <w:sz w:val="20"/>
                <w:szCs w:val="20"/>
                <w:color w:val="auto"/>
              </w:rPr>
            </w:pPr>
            <w:r>
              <w:rPr>
                <w:rFonts w:ascii="Arial" w:cs="Arial" w:eastAsia="Arial" w:hAnsi="Arial"/>
                <w:sz w:val="8"/>
                <w:szCs w:val="8"/>
                <w:b w:val="1"/>
                <w:bCs w:val="1"/>
                <w:color w:val="auto"/>
              </w:rPr>
              <w:t>Three Months Ended March 31, 2022</w:t>
            </w: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6"/>
          </w:tcPr>
          <w:p>
            <w:pPr>
              <w:ind w:left="500"/>
              <w:spacing w:after="0"/>
              <w:rPr>
                <w:sz w:val="20"/>
                <w:szCs w:val="20"/>
                <w:color w:val="auto"/>
              </w:rPr>
            </w:pPr>
            <w:r>
              <w:rPr>
                <w:rFonts w:ascii="Arial" w:cs="Arial" w:eastAsia="Arial" w:hAnsi="Arial"/>
                <w:sz w:val="8"/>
                <w:szCs w:val="8"/>
                <w:b w:val="1"/>
                <w:bCs w:val="1"/>
                <w:color w:val="auto"/>
              </w:rPr>
              <w:t>Three Months Ended March 31, 2021</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65"/>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660" w:type="dxa"/>
            <w:vAlign w:val="bottom"/>
          </w:tcPr>
          <w:p>
            <w:pPr>
              <w:jc w:val="right"/>
              <w:ind w:right="185"/>
              <w:spacing w:after="0"/>
              <w:rPr>
                <w:sz w:val="20"/>
                <w:szCs w:val="20"/>
                <w:color w:val="auto"/>
              </w:rPr>
            </w:pPr>
            <w:r>
              <w:rPr>
                <w:rFonts w:ascii="Arial" w:cs="Arial" w:eastAsia="Arial" w:hAnsi="Arial"/>
                <w:sz w:val="8"/>
                <w:szCs w:val="8"/>
                <w:b w:val="1"/>
                <w:bCs w:val="1"/>
                <w:color w:val="auto"/>
              </w:rPr>
              <w:t>Cruise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85"/>
              <w:spacing w:after="0"/>
              <w:rPr>
                <w:sz w:val="20"/>
                <w:szCs w:val="20"/>
                <w:color w:val="auto"/>
              </w:rPr>
            </w:pPr>
            <w:r>
              <w:rPr>
                <w:rFonts w:ascii="Arial" w:cs="Arial" w:eastAsia="Arial" w:hAnsi="Arial"/>
                <w:sz w:val="8"/>
                <w:szCs w:val="8"/>
                <w:b w:val="1"/>
                <w:bCs w:val="1"/>
                <w:color w:val="auto"/>
              </w:rPr>
              <w:t>GM Financial</w:t>
            </w:r>
          </w:p>
        </w:tc>
        <w:tc>
          <w:tcPr>
            <w:tcW w:w="1260" w:type="dxa"/>
            <w:vAlign w:val="bottom"/>
            <w:gridSpan w:val="3"/>
          </w:tcPr>
          <w:p>
            <w:pPr>
              <w:jc w:val="right"/>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0"/>
                <w:szCs w:val="10"/>
                <w:color w:val="auto"/>
              </w:rPr>
            </w:pPr>
          </w:p>
        </w:tc>
        <w:tc>
          <w:tcPr>
            <w:tcW w:w="760" w:type="dxa"/>
            <w:vAlign w:val="bottom"/>
          </w:tcPr>
          <w:p>
            <w:pPr>
              <w:jc w:val="right"/>
              <w:ind w:right="184"/>
              <w:spacing w:after="0"/>
              <w:rPr>
                <w:sz w:val="20"/>
                <w:szCs w:val="20"/>
                <w:color w:val="auto"/>
              </w:rPr>
            </w:pPr>
            <w:r>
              <w:rPr>
                <w:rFonts w:ascii="Arial" w:cs="Arial" w:eastAsia="Arial" w:hAnsi="Arial"/>
                <w:sz w:val="8"/>
                <w:szCs w:val="8"/>
                <w:b w:val="1"/>
                <w:bCs w:val="1"/>
                <w:color w:val="auto"/>
              </w:rPr>
              <w:t>Combined</w:t>
            </w:r>
          </w:p>
        </w:tc>
        <w:tc>
          <w:tcPr>
            <w:tcW w:w="140" w:type="dxa"/>
            <w:vAlign w:val="bottom"/>
          </w:tcPr>
          <w:p>
            <w:pPr>
              <w:spacing w:after="0"/>
              <w:rPr>
                <w:sz w:val="10"/>
                <w:szCs w:val="10"/>
                <w:color w:val="auto"/>
              </w:rPr>
            </w:pPr>
          </w:p>
        </w:tc>
        <w:tc>
          <w:tcPr>
            <w:tcW w:w="820" w:type="dxa"/>
            <w:vAlign w:val="bottom"/>
          </w:tcPr>
          <w:p>
            <w:pPr>
              <w:jc w:val="right"/>
              <w:ind w:right="185"/>
              <w:spacing w:after="0"/>
              <w:rPr>
                <w:sz w:val="20"/>
                <w:szCs w:val="20"/>
                <w:color w:val="auto"/>
              </w:rPr>
            </w:pPr>
            <w:r>
              <w:rPr>
                <w:rFonts w:ascii="Arial" w:cs="Arial" w:eastAsia="Arial" w:hAnsi="Arial"/>
                <w:sz w:val="8"/>
                <w:szCs w:val="8"/>
                <w:b w:val="1"/>
                <w:bCs w:val="1"/>
                <w:color w:val="auto"/>
              </w:rPr>
              <w:t>Automotive</w:t>
            </w:r>
          </w:p>
        </w:tc>
        <w:tc>
          <w:tcPr>
            <w:tcW w:w="80" w:type="dxa"/>
            <w:vAlign w:val="bottom"/>
          </w:tcPr>
          <w:p>
            <w:pPr>
              <w:spacing w:after="0"/>
              <w:rPr>
                <w:sz w:val="10"/>
                <w:szCs w:val="10"/>
                <w:color w:val="auto"/>
              </w:rPr>
            </w:pPr>
          </w:p>
        </w:tc>
        <w:tc>
          <w:tcPr>
            <w:tcW w:w="560" w:type="dxa"/>
            <w:vAlign w:val="bottom"/>
          </w:tcPr>
          <w:p>
            <w:pPr>
              <w:jc w:val="right"/>
              <w:ind w:right="145"/>
              <w:spacing w:after="0"/>
              <w:rPr>
                <w:sz w:val="20"/>
                <w:szCs w:val="20"/>
                <w:color w:val="auto"/>
              </w:rPr>
            </w:pPr>
            <w:r>
              <w:rPr>
                <w:rFonts w:ascii="Arial" w:cs="Arial" w:eastAsia="Arial" w:hAnsi="Arial"/>
                <w:sz w:val="8"/>
                <w:szCs w:val="8"/>
                <w:b w:val="1"/>
                <w:bCs w:val="1"/>
                <w:color w:val="auto"/>
              </w:rPr>
              <w:t>Cruise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85"/>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4"/>
          </w:tcPr>
          <w:p>
            <w:pPr>
              <w:jc w:val="right"/>
              <w:ind w:right="120"/>
              <w:spacing w:after="0"/>
              <w:rPr>
                <w:sz w:val="20"/>
                <w:szCs w:val="20"/>
                <w:color w:val="auto"/>
              </w:rPr>
            </w:pPr>
            <w:r>
              <w:rPr>
                <w:rFonts w:ascii="Arial" w:cs="Arial" w:eastAsia="Arial" w:hAnsi="Arial"/>
                <w:sz w:val="8"/>
                <w:szCs w:val="8"/>
                <w:b w:val="1"/>
                <w:bCs w:val="1"/>
                <w:color w:val="auto"/>
              </w:rPr>
              <w:t>Reclassifications/Eliminations</w:t>
            </w:r>
          </w:p>
        </w:tc>
        <w:tc>
          <w:tcPr>
            <w:tcW w:w="760" w:type="dxa"/>
            <w:vAlign w:val="bottom"/>
          </w:tcPr>
          <w:p>
            <w:pPr>
              <w:jc w:val="right"/>
              <w:ind w:right="18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208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0"/>
                <w:szCs w:val="10"/>
                <w:color w:val="auto"/>
              </w:rPr>
              <w:t>Automotive</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32,823</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w:t>
            </w:r>
          </w:p>
        </w:tc>
        <w:tc>
          <w:tcPr>
            <w:tcW w:w="1460" w:type="dxa"/>
            <w:vAlign w:val="bottom"/>
            <w:gridSpan w:val="3"/>
            <w:shd w:val="clear" w:color="auto" w:fill="CCEEFF"/>
          </w:tcPr>
          <w:p>
            <w:pPr>
              <w:jc w:val="right"/>
              <w:ind w:right="76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32,824</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29,062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1500" w:type="dxa"/>
            <w:vAlign w:val="bottom"/>
            <w:gridSpan w:val="3"/>
            <w:shd w:val="clear" w:color="auto" w:fill="CCEEFF"/>
          </w:tcPr>
          <w:p>
            <w:pPr>
              <w:jc w:val="right"/>
              <w:ind w:right="780"/>
              <w:spacing w:after="0"/>
              <w:rPr>
                <w:sz w:val="20"/>
                <w:szCs w:val="20"/>
                <w:color w:val="auto"/>
              </w:rPr>
            </w:pPr>
            <w:r>
              <w:rPr>
                <w:rFonts w:ascii="Arial" w:cs="Arial" w:eastAsia="Arial" w:hAnsi="Arial"/>
                <w:sz w:val="11"/>
                <w:szCs w:val="11"/>
                <w:color w:val="auto"/>
              </w:rPr>
              <w:t>— $</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29,067</w:t>
            </w:r>
          </w:p>
        </w:tc>
        <w:tc>
          <w:tcPr>
            <w:tcW w:w="0" w:type="dxa"/>
            <w:vAlign w:val="bottom"/>
          </w:tcPr>
          <w:p>
            <w:pPr>
              <w:spacing w:after="0"/>
              <w:rPr>
                <w:sz w:val="1"/>
                <w:szCs w:val="1"/>
                <w:color w:val="auto"/>
              </w:rPr>
            </w:pPr>
          </w:p>
        </w:tc>
      </w:tr>
      <w:tr>
        <w:trPr>
          <w:trHeight w:val="149"/>
        </w:trPr>
        <w:tc>
          <w:tcPr>
            <w:tcW w:w="2080" w:type="dxa"/>
            <w:vAlign w:val="bottom"/>
            <w:gridSpan w:val="2"/>
          </w:tcPr>
          <w:p>
            <w:pPr>
              <w:ind w:left="60"/>
              <w:spacing w:after="0"/>
              <w:rPr>
                <w:sz w:val="20"/>
                <w:szCs w:val="20"/>
                <w:color w:val="auto"/>
              </w:rPr>
            </w:pPr>
            <w:r>
              <w:rPr>
                <w:rFonts w:ascii="Arial" w:cs="Arial" w:eastAsia="Arial" w:hAnsi="Arial"/>
                <w:sz w:val="10"/>
                <w:szCs w:val="10"/>
                <w:color w:val="auto"/>
              </w:rPr>
              <w:t>GM Financial</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3,156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3,155</w:t>
            </w:r>
          </w:p>
        </w:tc>
        <w:tc>
          <w:tcPr>
            <w:tcW w:w="14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3,407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3,407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net sales and revenue</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32,823</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3,156</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35,979</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29,062</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3,407</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32,474</w:t>
            </w:r>
          </w:p>
        </w:tc>
        <w:tc>
          <w:tcPr>
            <w:tcW w:w="0" w:type="dxa"/>
            <w:vAlign w:val="bottom"/>
          </w:tcPr>
          <w:p>
            <w:pPr>
              <w:spacing w:after="0"/>
              <w:rPr>
                <w:sz w:val="1"/>
                <w:szCs w:val="1"/>
                <w:color w:val="auto"/>
              </w:rPr>
            </w:pPr>
          </w:p>
        </w:tc>
      </w:tr>
      <w:tr>
        <w:trPr>
          <w:trHeight w:val="134"/>
        </w:trPr>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Costs and expenses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4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28,222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1,132</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29,353</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24,888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25,115</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tcPr>
          <w:p>
            <w:pPr>
              <w:ind w:left="120"/>
              <w:spacing w:after="0" w:line="102" w:lineRule="exact"/>
              <w:rPr>
                <w:sz w:val="20"/>
                <w:szCs w:val="20"/>
                <w:color w:val="auto"/>
              </w:rPr>
            </w:pPr>
            <w:r>
              <w:rPr>
                <w:rFonts w:ascii="Arial" w:cs="Arial" w:eastAsia="Arial" w:hAnsi="Arial"/>
                <w:sz w:val="10"/>
                <w:szCs w:val="10"/>
                <w:color w:val="auto"/>
                <w:w w:val="99"/>
              </w:rPr>
              <w:t>GM Financial interest, operating and other</w:t>
            </w:r>
          </w:p>
        </w:tc>
        <w:tc>
          <w:tcPr>
            <w:tcW w:w="14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1,926</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1"/>
                <w:szCs w:val="11"/>
                <w:color w:val="auto"/>
              </w:rPr>
              <w:t>1,926</w:t>
            </w:r>
          </w:p>
        </w:tc>
        <w:tc>
          <w:tcPr>
            <w:tcW w:w="140" w:type="dxa"/>
            <w:vAlign w:val="bottom"/>
          </w:tcPr>
          <w:p>
            <w:pPr>
              <w:spacing w:after="0"/>
              <w:rPr>
                <w:sz w:val="8"/>
                <w:szCs w:val="8"/>
                <w:color w:val="auto"/>
              </w:rPr>
            </w:pPr>
          </w:p>
        </w:tc>
        <w:tc>
          <w:tcPr>
            <w:tcW w:w="82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2,279</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4"/>
              <w:spacing w:after="0"/>
              <w:rPr>
                <w:sz w:val="20"/>
                <w:szCs w:val="20"/>
                <w:color w:val="auto"/>
              </w:rPr>
            </w:pPr>
            <w:r>
              <w:rPr>
                <w:rFonts w:ascii="Arial" w:cs="Arial" w:eastAsia="Arial" w:hAnsi="Arial"/>
                <w:sz w:val="11"/>
                <w:szCs w:val="11"/>
                <w:color w:val="auto"/>
              </w:rPr>
              <w:t>2,279</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120"/>
              <w:spacing w:after="0" w:line="102" w:lineRule="exact"/>
              <w:rPr>
                <w:sz w:val="20"/>
                <w:szCs w:val="20"/>
                <w:color w:val="auto"/>
              </w:rPr>
            </w:pPr>
            <w:r>
              <w:rPr>
                <w:rFonts w:ascii="Arial" w:cs="Arial" w:eastAsia="Arial" w:hAnsi="Arial"/>
                <w:sz w:val="10"/>
                <w:szCs w:val="10"/>
                <w:color w:val="auto"/>
              </w:rPr>
              <w:t>Automotive and other selling, general and</w:t>
            </w:r>
          </w:p>
        </w:tc>
        <w:tc>
          <w:tcPr>
            <w:tcW w:w="140" w:type="dxa"/>
            <w:vAlign w:val="bottom"/>
            <w:shd w:val="clear" w:color="auto" w:fill="CCEEFF"/>
          </w:tcPr>
          <w:p>
            <w:pPr>
              <w:spacing w:after="0"/>
              <w:rPr>
                <w:sz w:val="8"/>
                <w:szCs w:val="8"/>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2,106</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2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6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2,504</w:t>
            </w:r>
          </w:p>
        </w:tc>
        <w:tc>
          <w:tcPr>
            <w:tcW w:w="140" w:type="dxa"/>
            <w:vAlign w:val="bottom"/>
            <w:shd w:val="clear" w:color="auto" w:fill="CCEEFF"/>
          </w:tcPr>
          <w:p>
            <w:pPr>
              <w:spacing w:after="0"/>
              <w:rPr>
                <w:sz w:val="8"/>
                <w:szCs w:val="8"/>
                <w:color w:val="auto"/>
              </w:rPr>
            </w:pPr>
          </w:p>
        </w:tc>
        <w:tc>
          <w:tcPr>
            <w:tcW w:w="82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1,741</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8"/>
                <w:szCs w:val="8"/>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1,803</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40" w:type="dxa"/>
            <w:vAlign w:val="bottom"/>
            <w:shd w:val="clear" w:color="auto" w:fill="CCEEFF"/>
          </w:tcPr>
          <w:p>
            <w:pPr>
              <w:spacing w:after="0"/>
              <w:rPr>
                <w:sz w:val="11"/>
                <w:szCs w:val="11"/>
                <w:color w:val="auto"/>
              </w:rPr>
            </w:pPr>
          </w:p>
        </w:tc>
        <w:tc>
          <w:tcPr>
            <w:tcW w:w="80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bottom w:val="single" w:sz="8" w:color="auto"/>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30,328</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1,530</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1,926</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33,783</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26,629</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2,279</w:t>
            </w: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29,197</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4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2,495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(1,504)</w:t>
            </w: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1,230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2,196</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2,433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3,277</w:t>
            </w: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rPr>
                <w:sz w:val="20"/>
                <w:szCs w:val="20"/>
                <w:color w:val="auto"/>
              </w:rPr>
            </w:pPr>
            <w:r>
              <w:rPr>
                <w:rFonts w:ascii="Arial" w:cs="Arial" w:eastAsia="Arial" w:hAnsi="Arial"/>
                <w:sz w:val="10"/>
                <w:szCs w:val="10"/>
                <w:color w:val="auto"/>
              </w:rPr>
              <w:t>Automotive interest expense</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226</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226</w:t>
            </w:r>
          </w:p>
        </w:tc>
        <w:tc>
          <w:tcPr>
            <w:tcW w:w="14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00" w:type="dxa"/>
            <w:vAlign w:val="bottom"/>
            <w:shd w:val="clear" w:color="auto" w:fill="CCEEFF"/>
          </w:tcPr>
          <w:p>
            <w:pPr>
              <w:ind w:left="20"/>
              <w:spacing w:after="0" w:line="102" w:lineRule="exact"/>
              <w:rPr>
                <w:sz w:val="20"/>
                <w:szCs w:val="20"/>
                <w:color w:val="auto"/>
              </w:rPr>
            </w:pPr>
            <w:r>
              <w:rPr>
                <w:rFonts w:ascii="Arial" w:cs="Arial" w:eastAsia="Arial" w:hAnsi="Arial"/>
                <w:sz w:val="10"/>
                <w:szCs w:val="10"/>
                <w:color w:val="auto"/>
              </w:rPr>
              <w:t>Interest income and other non-operating</w:t>
            </w:r>
          </w:p>
        </w:tc>
        <w:tc>
          <w:tcPr>
            <w:tcW w:w="140" w:type="dxa"/>
            <w:vAlign w:val="bottom"/>
            <w:shd w:val="clear" w:color="auto" w:fill="CCEEFF"/>
          </w:tcPr>
          <w:p>
            <w:pPr>
              <w:spacing w:after="0"/>
              <w:rPr>
                <w:sz w:val="8"/>
                <w:szCs w:val="8"/>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492</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6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27</w:t>
            </w:r>
          </w:p>
        </w:tc>
        <w:tc>
          <w:tcPr>
            <w:tcW w:w="1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517</w:t>
            </w:r>
          </w:p>
        </w:tc>
        <w:tc>
          <w:tcPr>
            <w:tcW w:w="140" w:type="dxa"/>
            <w:vAlign w:val="bottom"/>
            <w:shd w:val="clear" w:color="auto" w:fill="CCEEFF"/>
          </w:tcPr>
          <w:p>
            <w:pPr>
              <w:spacing w:after="0"/>
              <w:rPr>
                <w:sz w:val="8"/>
                <w:szCs w:val="8"/>
                <w:color w:val="auto"/>
              </w:rPr>
            </w:pPr>
          </w:p>
        </w:tc>
        <w:tc>
          <w:tcPr>
            <w:tcW w:w="820" w:type="dxa"/>
            <w:vAlign w:val="bottom"/>
            <w:tcBorders>
              <w:right w:val="single" w:sz="8" w:color="CCEEFF"/>
            </w:tcBorders>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772</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799</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(loss), net</w:t>
            </w:r>
          </w:p>
        </w:tc>
        <w:tc>
          <w:tcPr>
            <w:tcW w:w="140" w:type="dxa"/>
            <w:vAlign w:val="bottom"/>
            <w:shd w:val="clear" w:color="auto" w:fill="CCEEFF"/>
          </w:tcPr>
          <w:p>
            <w:pPr>
              <w:spacing w:after="0"/>
              <w:rPr>
                <w:sz w:val="11"/>
                <w:szCs w:val="11"/>
                <w:color w:val="auto"/>
              </w:rPr>
            </w:pPr>
          </w:p>
        </w:tc>
        <w:tc>
          <w:tcPr>
            <w:tcW w:w="8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rPr>
                <w:sz w:val="20"/>
                <w:szCs w:val="20"/>
                <w:color w:val="auto"/>
              </w:rPr>
            </w:pPr>
            <w:r>
              <w:rPr>
                <w:rFonts w:ascii="Arial" w:cs="Arial" w:eastAsia="Arial" w:hAnsi="Arial"/>
                <w:sz w:val="10"/>
                <w:szCs w:val="10"/>
                <w:color w:val="auto"/>
              </w:rPr>
              <w:t>Equity income (loss)</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292</w:t>
            </w:r>
          </w:p>
        </w:tc>
        <w:tc>
          <w:tcPr>
            <w:tcW w:w="14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311</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0" w:type="dxa"/>
            <w:vAlign w:val="bottom"/>
          </w:tcPr>
          <w:p>
            <w:pPr>
              <w:spacing w:after="0"/>
              <w:rPr>
                <w:sz w:val="12"/>
                <w:szCs w:val="12"/>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2,999</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(1,508)$</w:t>
            </w:r>
          </w:p>
        </w:tc>
        <w:tc>
          <w:tcPr>
            <w:tcW w:w="66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1,284</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2,779</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3,266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(248)$</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1,182</w:t>
            </w:r>
          </w:p>
        </w:tc>
        <w:tc>
          <w:tcPr>
            <w:tcW w:w="100" w:type="dxa"/>
            <w:vAlign w:val="bottom"/>
            <w:shd w:val="clear" w:color="auto" w:fill="CCEEFF"/>
          </w:tcPr>
          <w:p>
            <w:pPr>
              <w:jc w:val="right"/>
              <w:ind w:right="2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4,191</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00" w:type="dxa"/>
            <w:vAlign w:val="bottom"/>
          </w:tcPr>
          <w:p>
            <w:pPr>
              <w:ind w:left="20"/>
              <w:spacing w:after="0"/>
              <w:rPr>
                <w:sz w:val="20"/>
                <w:szCs w:val="20"/>
                <w:color w:val="auto"/>
              </w:rPr>
            </w:pPr>
            <w:r>
              <w:rPr>
                <w:rFonts w:ascii="Arial" w:cs="Arial" w:eastAsia="Arial" w:hAnsi="Arial"/>
                <w:sz w:val="10"/>
                <w:szCs w:val="10"/>
                <w:color w:val="auto"/>
              </w:rPr>
              <w:t>Income tax expense (benefit)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1,177</w:t>
            </w:r>
          </w:p>
        </w:tc>
        <w:tc>
          <w:tcPr>
            <w:tcW w:w="0" w:type="dxa"/>
            <w:vAlign w:val="bottom"/>
          </w:tcPr>
          <w:p>
            <w:pPr>
              <w:spacing w:after="0"/>
              <w:rPr>
                <w:sz w:val="1"/>
                <w:szCs w:val="1"/>
                <w:color w:val="auto"/>
              </w:rPr>
            </w:pPr>
          </w:p>
        </w:tc>
      </w:tr>
      <w:tr>
        <w:trPr>
          <w:trHeight w:val="139"/>
        </w:trPr>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Net income (loss)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2,807</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3,014</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140" w:type="dxa"/>
            <w:vAlign w:val="bottom"/>
            <w:gridSpan w:val="2"/>
          </w:tcPr>
          <w:p>
            <w:pPr>
              <w:ind w:left="20"/>
              <w:spacing w:after="0" w:line="102" w:lineRule="exact"/>
              <w:rPr>
                <w:sz w:val="20"/>
                <w:szCs w:val="20"/>
                <w:color w:val="auto"/>
              </w:rPr>
            </w:pPr>
            <w:r>
              <w:rPr>
                <w:rFonts w:ascii="Arial" w:cs="Arial" w:eastAsia="Arial" w:hAnsi="Arial"/>
                <w:sz w:val="10"/>
                <w:szCs w:val="10"/>
                <w:color w:val="auto"/>
              </w:rPr>
              <w:t>Net loss (income) attributable to noncontrolling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1"/>
                <w:szCs w:val="11"/>
                <w:color w:val="auto"/>
              </w:rPr>
              <w:t>131</w:t>
            </w: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interests</w:t>
            </w: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6" w:lineRule="exact"/>
              <w:rPr>
                <w:sz w:val="20"/>
                <w:szCs w:val="20"/>
                <w:color w:val="auto"/>
              </w:rPr>
            </w:pPr>
            <w:r>
              <w:rPr>
                <w:rFonts w:ascii="Arial" w:cs="Arial" w:eastAsia="Arial" w:hAnsi="Arial"/>
                <w:sz w:val="7"/>
                <w:szCs w:val="7"/>
                <w:b w:val="1"/>
                <w:bCs w:val="1"/>
                <w:color w:val="auto"/>
              </w:rPr>
              <w:t>Net income (loss) attributable to</w:t>
            </w:r>
          </w:p>
        </w:tc>
        <w:tc>
          <w:tcPr>
            <w:tcW w:w="140" w:type="dxa"/>
            <w:vAlign w:val="bottom"/>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6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2,939</w:t>
            </w:r>
          </w:p>
        </w:tc>
        <w:tc>
          <w:tcPr>
            <w:tcW w:w="140" w:type="dxa"/>
            <w:vAlign w:val="bottom"/>
            <w:shd w:val="clear" w:color="auto" w:fill="CCEEFF"/>
          </w:tcPr>
          <w:p>
            <w:pPr>
              <w:spacing w:after="0"/>
              <w:rPr>
                <w:sz w:val="6"/>
                <w:szCs w:val="6"/>
                <w:color w:val="auto"/>
              </w:rPr>
            </w:pPr>
          </w:p>
        </w:tc>
        <w:tc>
          <w:tcPr>
            <w:tcW w:w="82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3,022</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4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6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vMerge w:val="continue"/>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80" w:type="dxa"/>
            <w:vAlign w:val="bottom"/>
          </w:tcPr>
          <w:p>
            <w:pPr>
              <w:spacing w:after="0"/>
              <w:rPr>
                <w:sz w:val="6"/>
                <w:szCs w:val="6"/>
                <w:color w:val="auto"/>
              </w:rPr>
            </w:pPr>
          </w:p>
        </w:tc>
        <w:tc>
          <w:tcPr>
            <w:tcW w:w="200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income (loss) attributable to common</w:t>
            </w:r>
          </w:p>
        </w:tc>
        <w:tc>
          <w:tcPr>
            <w:tcW w:w="140" w:type="dxa"/>
            <w:vAlign w:val="bottom"/>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6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1,987</w:t>
            </w:r>
          </w:p>
        </w:tc>
        <w:tc>
          <w:tcPr>
            <w:tcW w:w="140" w:type="dxa"/>
            <w:vAlign w:val="bottom"/>
            <w:shd w:val="clear" w:color="auto" w:fill="CCEEFF"/>
          </w:tcPr>
          <w:p>
            <w:pPr>
              <w:spacing w:after="0"/>
              <w:rPr>
                <w:sz w:val="6"/>
                <w:szCs w:val="6"/>
                <w:color w:val="auto"/>
              </w:rPr>
            </w:pPr>
          </w:p>
        </w:tc>
        <w:tc>
          <w:tcPr>
            <w:tcW w:w="82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2,976</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4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-572135</wp:posOffset>
            </wp:positionV>
            <wp:extent cx="7080885" cy="100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0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220" w:top="698" w:right="439" w:bottom="1440" w:gutter="0" w:footer="0" w:header="0"/>
        </w:sectPr>
      </w:pPr>
    </w:p>
    <w:bookmarkStart w:id="20" w:name="page21"/>
    <w:bookmarkEnd w:id="20"/>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4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Three Months Ended</w:t>
            </w:r>
          </w:p>
        </w:tc>
        <w:tc>
          <w:tcPr>
            <w:tcW w:w="1760" w:type="dxa"/>
            <w:vAlign w:val="bottom"/>
            <w:tcBorders>
              <w:bottom w:val="single" w:sz="8" w:color="auto"/>
            </w:tcBorders>
          </w:tcPr>
          <w:p>
            <w:pPr>
              <w:spacing w:after="0"/>
              <w:rPr>
                <w:sz w:val="11"/>
                <w:szCs w:val="11"/>
                <w:color w:val="auto"/>
              </w:rPr>
            </w:pPr>
          </w:p>
        </w:tc>
      </w:tr>
      <w:tr>
        <w:trPr>
          <w:trHeight w:val="127"/>
        </w:trPr>
        <w:tc>
          <w:tcPr>
            <w:tcW w:w="4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0"/>
                <w:szCs w:val="10"/>
                <w:b w:val="1"/>
                <w:bCs w:val="1"/>
                <w:color w:val="auto"/>
              </w:rPr>
              <w:t>March 31, 2022</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798"/>
              <w:spacing w:after="0"/>
              <w:rPr>
                <w:sz w:val="20"/>
                <w:szCs w:val="20"/>
                <w:color w:val="auto"/>
              </w:rPr>
            </w:pPr>
            <w:r>
              <w:rPr>
                <w:rFonts w:ascii="Arial" w:cs="Arial" w:eastAsia="Arial" w:hAnsi="Arial"/>
                <w:sz w:val="10"/>
                <w:szCs w:val="10"/>
                <w:b w:val="1"/>
                <w:bCs w:val="1"/>
                <w:color w:val="auto"/>
              </w:rPr>
              <w:t>March 31, 2021</w:t>
            </w:r>
          </w:p>
        </w:tc>
      </w:tr>
      <w:tr>
        <w:trPr>
          <w:trHeight w:val="137"/>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1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stockholders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r>
      <w:tr>
        <w:trPr>
          <w:trHeight w:val="170"/>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cumulative dividends on subsidiary preferred stock(a)</w:t>
            </w:r>
          </w:p>
        </w:tc>
        <w:tc>
          <w:tcPr>
            <w:tcW w:w="16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r>
      <w:tr>
        <w:trPr>
          <w:trHeight w:val="185"/>
        </w:trPr>
        <w:tc>
          <w:tcPr>
            <w:tcW w:w="4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w:t>
            </w:r>
          </w:p>
        </w:tc>
        <w:tc>
          <w:tcPr>
            <w:tcW w:w="16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r>
      <w:tr>
        <w:trPr>
          <w:trHeight w:val="85"/>
        </w:trPr>
        <w:tc>
          <w:tcPr>
            <w:tcW w:w="4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6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 earnings per common share</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r>
      <w:tr>
        <w:trPr>
          <w:trHeight w:val="149"/>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1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 – diluted</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2,976</w:t>
            </w:r>
          </w:p>
        </w:tc>
      </w:tr>
      <w:tr>
        <w:trPr>
          <w:trHeight w:val="85"/>
        </w:trPr>
        <w:tc>
          <w:tcPr>
            <w:tcW w:w="4880" w:type="dxa"/>
            <w:vAlign w:val="bottom"/>
            <w:tcBorders>
              <w:bottom w:val="single" w:sz="8" w:color="CCEEFF"/>
            </w:tcBorders>
          </w:tcPr>
          <w:p>
            <w:pPr>
              <w:spacing w:after="0"/>
              <w:rPr>
                <w:sz w:val="7"/>
                <w:szCs w:val="7"/>
                <w:color w:val="auto"/>
              </w:rPr>
            </w:pPr>
          </w:p>
        </w:tc>
        <w:tc>
          <w:tcPr>
            <w:tcW w:w="1660" w:type="dxa"/>
            <w:vAlign w:val="bottom"/>
            <w:tcBorders>
              <w:bottom w:val="single" w:sz="8" w:color="CCEEFF"/>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r>
      <w:tr>
        <w:trPr>
          <w:trHeight w:val="185"/>
        </w:trPr>
        <w:tc>
          <w:tcPr>
            <w:tcW w:w="4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 – diluted</w:t>
            </w:r>
          </w:p>
        </w:tc>
        <w:tc>
          <w:tcPr>
            <w:tcW w:w="16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70"/>
        </w:trPr>
        <w:tc>
          <w:tcPr>
            <w:tcW w:w="4880" w:type="dxa"/>
            <w:vAlign w:val="bottom"/>
            <w:shd w:val="clear" w:color="auto" w:fill="CCEEFF"/>
          </w:tcPr>
          <w:p>
            <w:pPr>
              <w:spacing w:after="0"/>
              <w:rPr>
                <w:sz w:val="20"/>
                <w:szCs w:val="20"/>
                <w:color w:val="auto"/>
              </w:rPr>
            </w:pPr>
            <w:r>
              <w:rPr>
                <w:rFonts w:ascii="Arial" w:cs="Arial" w:eastAsia="Arial" w:hAnsi="Arial"/>
                <w:sz w:val="11"/>
                <w:szCs w:val="11"/>
                <w:color w:val="auto"/>
              </w:rPr>
              <w:t>Diluted earnings per common share</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r>
      <w:tr>
        <w:trPr>
          <w:trHeight w:val="172"/>
        </w:trPr>
        <w:tc>
          <w:tcPr>
            <w:tcW w:w="4880" w:type="dxa"/>
            <w:vAlign w:val="bottom"/>
          </w:tcPr>
          <w:p>
            <w:pPr>
              <w:spacing w:after="0"/>
              <w:rPr>
                <w:sz w:val="20"/>
                <w:szCs w:val="20"/>
                <w:color w:val="auto"/>
              </w:rPr>
            </w:pPr>
            <w:r>
              <w:rPr>
                <w:rFonts w:ascii="Arial" w:cs="Arial" w:eastAsia="Arial" w:hAnsi="Arial"/>
                <w:sz w:val="11"/>
                <w:szCs w:val="11"/>
                <w:color w:val="auto"/>
              </w:rPr>
              <w:t>Potentially dilutive securities(b)</w:t>
            </w: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2</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20" w:hanging="235"/>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 $909 million deemed dividend related to the redemption of Cruise preferred shares from SoftBank in the three months ended March 31, 2022.</w:t>
      </w:r>
    </w:p>
    <w:p>
      <w:pPr>
        <w:ind w:left="340" w:hanging="255"/>
        <w:spacing w:after="0" w:line="260" w:lineRule="auto"/>
        <w:tabs>
          <w:tab w:leader="none" w:pos="329"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at March 31, 2022 and 2021 and RSUs at March 31, 2022, were excluded from the computation of diluted earnings per share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60"/>
          </w:cols>
          <w:pgMar w:left="220" w:top="698" w:right="319" w:bottom="1440" w:gutter="0" w:footer="0" w:header="0"/>
        </w:sectPr>
      </w:pPr>
    </w:p>
    <w:bookmarkStart w:id="21" w:name="page22"/>
    <w:bookmarkEnd w:id="21"/>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March 31, 2022</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2021</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13"/>
        </w:trPr>
        <w:tc>
          <w:tcPr>
            <w:tcW w:w="2260" w:type="dxa"/>
            <w:vAlign w:val="bottom"/>
          </w:tcPr>
          <w:p>
            <w:pPr>
              <w:ind w:left="940"/>
              <w:spacing w:after="0" w:line="113" w:lineRule="exact"/>
              <w:rPr>
                <w:sz w:val="20"/>
                <w:szCs w:val="20"/>
                <w:color w:val="auto"/>
              </w:rPr>
            </w:pPr>
            <w:r>
              <w:rPr>
                <w:rFonts w:ascii="Arial" w:cs="Arial" w:eastAsia="Arial" w:hAnsi="Arial"/>
                <w:sz w:val="10"/>
                <w:szCs w:val="10"/>
                <w:b w:val="1"/>
                <w:bCs w:val="1"/>
                <w:color w:val="auto"/>
              </w:rPr>
              <w:t>ASSETS</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4,483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16,349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14,541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20,067</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8,390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9,907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7,076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8,609</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net(a)</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1,047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11,946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7,394</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GM Financial receivables, net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28,562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28,440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26,812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26,649</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14,838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12,988</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2,417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4,807</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7,113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2,167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6,396</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assets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38,899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88,594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44,326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35,592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82,103</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36,408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36,408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w w:val="99"/>
              </w:rPr>
              <w:t>Equity in net assets of nonconsolidated affiliates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8,623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1,779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10,402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7,960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1,717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9,677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41,460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41,708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40,858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41,115</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2,978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1,346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5,058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3,012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5,087</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36,581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36,581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21,282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795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(789)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21,287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21,653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21,152</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10,180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940</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11,454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10,358</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812</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11,488</w:t>
            </w:r>
          </w:p>
        </w:tc>
        <w:tc>
          <w:tcPr>
            <w:tcW w:w="0" w:type="dxa"/>
            <w:vAlign w:val="bottom"/>
          </w:tcPr>
          <w:p>
            <w:pPr>
              <w:spacing w:after="0"/>
              <w:rPr>
                <w:sz w:val="1"/>
                <w:szCs w:val="1"/>
                <w:color w:val="auto"/>
              </w:rPr>
            </w:pPr>
          </w:p>
        </w:tc>
      </w:tr>
      <w:tr>
        <w:trPr>
          <w:trHeight w:val="129"/>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assets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84,523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76,413</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162,898</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83,842</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77,615</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162,615</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131,060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6,310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115,312</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251,492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128,167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0"/>
                <w:szCs w:val="10"/>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Accounts payable (principally trade)(a)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24,968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126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838</w:t>
            </w:r>
          </w:p>
        </w:tc>
        <w:tc>
          <w:tcPr>
            <w:tcW w:w="1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(692)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25,240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20,065</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855</w:t>
            </w:r>
          </w:p>
        </w:tc>
        <w:tc>
          <w:tcPr>
            <w:tcW w:w="1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(669)</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20,391</w:t>
            </w:r>
          </w:p>
        </w:tc>
        <w:tc>
          <w:tcPr>
            <w:tcW w:w="0" w:type="dxa"/>
            <w:vAlign w:val="bottom"/>
          </w:tcPr>
          <w:p>
            <w:pPr>
              <w:spacing w:after="0"/>
              <w:rPr>
                <w:sz w:val="1"/>
                <w:szCs w:val="1"/>
                <w:color w:val="auto"/>
              </w:rPr>
            </w:pPr>
          </w:p>
        </w:tc>
      </w:tr>
      <w:tr>
        <w:trPr>
          <w:trHeight w:val="109"/>
        </w:trPr>
        <w:tc>
          <w:tcPr>
            <w:tcW w:w="22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9"/>
              </w:rPr>
              <w:t>Short-term debt and current portion of long-term</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737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463</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32,300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32,300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33,257</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16,537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1,229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3,837</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21,277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16,879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3,439</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20,297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42,363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36,975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79,555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37,568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74,408</w:t>
            </w:r>
          </w:p>
        </w:tc>
        <w:tc>
          <w:tcPr>
            <w:tcW w:w="0" w:type="dxa"/>
            <w:vAlign w:val="bottom"/>
          </w:tcPr>
          <w:p>
            <w:pPr>
              <w:spacing w:after="0"/>
              <w:rPr>
                <w:sz w:val="1"/>
                <w:szCs w:val="1"/>
                <w:color w:val="auto"/>
              </w:rPr>
            </w:pPr>
          </w:p>
        </w:tc>
      </w:tr>
      <w:tr>
        <w:trPr>
          <w:trHeight w:val="134"/>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16,149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16,155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16,348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16,355</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60,613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60,613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0" w:type="dxa"/>
            <w:vAlign w:val="bottom"/>
          </w:tcPr>
          <w:p>
            <w:pPr>
              <w:spacing w:after="0"/>
              <w:rPr>
                <w:sz w:val="1"/>
                <w:szCs w:val="1"/>
                <w:color w:val="auto"/>
              </w:rPr>
            </w:pPr>
          </w:p>
        </w:tc>
      </w:tr>
      <w:tr>
        <w:trPr>
          <w:trHeight w:val="131"/>
        </w:trPr>
        <w:tc>
          <w:tcPr>
            <w:tcW w:w="226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5,722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5,722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5,743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5,743</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7,782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8,008</w:t>
            </w:r>
          </w:p>
        </w:tc>
        <w:tc>
          <w:tcPr>
            <w:tcW w:w="0" w:type="dxa"/>
            <w:vAlign w:val="bottom"/>
          </w:tcPr>
          <w:p>
            <w:pPr>
              <w:spacing w:after="0"/>
              <w:rPr>
                <w:sz w:val="1"/>
                <w:szCs w:val="1"/>
                <w:color w:val="auto"/>
              </w:rPr>
            </w:pPr>
          </w:p>
        </w:tc>
      </w:tr>
      <w:tr>
        <w:trPr>
          <w:trHeight w:val="131"/>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11,903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2,215</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14,601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12,560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2,058</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15,085</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41,550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501</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62,833</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104,873</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42,654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61,368</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104,495</w:t>
            </w:r>
          </w:p>
        </w:tc>
        <w:tc>
          <w:tcPr>
            <w:tcW w:w="0" w:type="dxa"/>
            <w:vAlign w:val="bottom"/>
          </w:tcPr>
          <w:p>
            <w:pPr>
              <w:spacing w:after="0"/>
              <w:rPr>
                <w:sz w:val="1"/>
                <w:szCs w:val="1"/>
                <w:color w:val="auto"/>
              </w:rPr>
            </w:pPr>
          </w:p>
        </w:tc>
      </w:tr>
      <w:tr>
        <w:trPr>
          <w:trHeight w:val="121"/>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83,913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1,885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99,809</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(1,178)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184,429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80,222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892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98,918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178,903</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60" w:type="dxa"/>
            <w:vAlign w:val="bottom"/>
          </w:tcPr>
          <w:p>
            <w:pPr>
              <w:ind w:left="120"/>
              <w:spacing w:after="0" w:line="102" w:lineRule="exact"/>
              <w:rPr>
                <w:sz w:val="20"/>
                <w:szCs w:val="20"/>
                <w:color w:val="auto"/>
              </w:rPr>
            </w:pPr>
            <w:r>
              <w:rPr>
                <w:rFonts w:ascii="Arial" w:cs="Arial" w:eastAsia="Arial" w:hAnsi="Arial"/>
                <w:sz w:val="10"/>
                <w:szCs w:val="10"/>
                <w:color w:val="auto"/>
              </w:rPr>
              <w:t>Noncontrolling interest - Cruise Stock Incentive</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60" w:type="dxa"/>
            <w:vAlign w:val="bottom"/>
          </w:tcPr>
          <w:p>
            <w:pPr>
              <w:ind w:left="240"/>
              <w:spacing w:after="0"/>
              <w:rPr>
                <w:sz w:val="20"/>
                <w:szCs w:val="20"/>
                <w:color w:val="auto"/>
              </w:rPr>
            </w:pPr>
            <w:r>
              <w:rPr>
                <w:rFonts w:ascii="Arial" w:cs="Arial" w:eastAsia="Arial" w:hAnsi="Arial"/>
                <w:sz w:val="10"/>
                <w:szCs w:val="10"/>
                <w:color w:val="auto"/>
              </w:rPr>
              <w:t>Awards</w:t>
            </w:r>
          </w:p>
        </w:tc>
        <w:tc>
          <w:tcPr>
            <w:tcW w:w="100" w:type="dxa"/>
            <w:vAlign w:val="bottom"/>
          </w:tcPr>
          <w:p>
            <w:pPr>
              <w:spacing w:after="0"/>
              <w:rPr>
                <w:sz w:val="10"/>
                <w:szCs w:val="1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289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0"/>
                <w:szCs w:val="1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289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0"/>
                <w:szCs w:val="1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Equity</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Common stock, $0.01 par value</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capital(b)</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1,551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27,015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27,065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27,061</w:t>
            </w:r>
          </w:p>
        </w:tc>
        <w:tc>
          <w:tcPr>
            <w:tcW w:w="0" w:type="dxa"/>
            <w:vAlign w:val="bottom"/>
          </w:tcPr>
          <w:p>
            <w:pPr>
              <w:spacing w:after="0"/>
              <w:rPr>
                <w:sz w:val="1"/>
                <w:szCs w:val="1"/>
                <w:color w:val="auto"/>
              </w:rPr>
            </w:pPr>
          </w:p>
        </w:tc>
      </w:tr>
      <w:tr>
        <w:trPr>
          <w:trHeight w:val="131"/>
        </w:trPr>
        <w:tc>
          <w:tcPr>
            <w:tcW w:w="226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26,978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1,946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14,961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43,879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27,920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13,985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41,937</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(9,269)</w:t>
            </w:r>
          </w:p>
        </w:tc>
        <w:tc>
          <w:tcPr>
            <w:tcW w:w="0" w:type="dxa"/>
            <w:vAlign w:val="bottom"/>
          </w:tcPr>
          <w:p>
            <w:pPr>
              <w:spacing w:after="0"/>
              <w:rPr>
                <w:sz w:val="1"/>
                <w:szCs w:val="1"/>
                <w:color w:val="auto"/>
              </w:rPr>
            </w:pPr>
          </w:p>
        </w:tc>
      </w:tr>
      <w:tr>
        <w:trPr>
          <w:trHeight w:val="129"/>
        </w:trPr>
        <w:tc>
          <w:tcPr>
            <w:tcW w:w="226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46,225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1,908</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15,503</w:t>
            </w: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(1,540)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62,095</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46,974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14,288</w:t>
            </w: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(1,620)</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59,744</w:t>
            </w:r>
          </w:p>
        </w:tc>
        <w:tc>
          <w:tcPr>
            <w:tcW w:w="0" w:type="dxa"/>
            <w:vAlign w:val="bottom"/>
          </w:tcPr>
          <w:p>
            <w:pPr>
              <w:spacing w:after="0"/>
              <w:rPr>
                <w:sz w:val="1"/>
                <w:szCs w:val="1"/>
                <w:color w:val="auto"/>
              </w:rPr>
            </w:pPr>
          </w:p>
        </w:tc>
      </w:tr>
      <w:tr>
        <w:trPr>
          <w:trHeight w:val="145"/>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interests(b)</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6,071</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47,148</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4,136</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15,503</w:t>
            </w: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66,774</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47,945</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3,597</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14,289</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65,815</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131,060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6,310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115,312</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251,492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128,167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3" w:lineRule="exact"/>
        <w:rPr>
          <w:sz w:val="20"/>
          <w:szCs w:val="20"/>
          <w:color w:val="auto"/>
        </w:rPr>
      </w:pPr>
    </w:p>
    <w:p>
      <w:pPr>
        <w:ind w:left="260" w:hanging="255"/>
        <w:spacing w:after="0" w:line="249" w:lineRule="auto"/>
        <w:tabs>
          <w:tab w:leader="none" w:pos="257"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of $397 million offset by Automotive accounts payable and Automotive accounts receivable of $243 million offset by GM Financial accounts payable at March 31, 2022; and GM Financial accounts and notes receivable of $301 million offset by Automotive accounts payable and Automotive accounts receivable of $313 million offset by GM Financial accounts payable at December 31, 2021.</w:t>
      </w: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9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698" w:right="319" w:bottom="1440" w:gutter="0" w:footer="0" w:header="0"/>
        </w:sectPr>
      </w:pPr>
    </w:p>
    <w:bookmarkStart w:id="22" w:name="page23"/>
    <w:bookmarkEnd w:id="22"/>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6"/>
          </w:tcPr>
          <w:p>
            <w:pPr>
              <w:ind w:left="360"/>
              <w:spacing w:after="0"/>
              <w:rPr>
                <w:sz w:val="20"/>
                <w:szCs w:val="20"/>
                <w:color w:val="auto"/>
              </w:rPr>
            </w:pPr>
            <w:r>
              <w:rPr>
                <w:rFonts w:ascii="Arial" w:cs="Arial" w:eastAsia="Arial" w:hAnsi="Arial"/>
                <w:sz w:val="10"/>
                <w:szCs w:val="10"/>
                <w:b w:val="1"/>
                <w:bCs w:val="1"/>
                <w:color w:val="auto"/>
              </w:rPr>
              <w:t>Three Months Ended March 31, 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6"/>
          </w:tcPr>
          <w:p>
            <w:pPr>
              <w:ind w:left="360"/>
              <w:spacing w:after="0"/>
              <w:rPr>
                <w:sz w:val="20"/>
                <w:szCs w:val="20"/>
                <w:color w:val="auto"/>
              </w:rPr>
            </w:pPr>
            <w:r>
              <w:rPr>
                <w:rFonts w:ascii="Arial" w:cs="Arial" w:eastAsia="Arial" w:hAnsi="Arial"/>
                <w:sz w:val="10"/>
                <w:szCs w:val="10"/>
                <w:b w:val="1"/>
                <w:bCs w:val="1"/>
                <w:color w:val="auto"/>
              </w:rPr>
              <w:t>Three Months Ended March 31, 2021</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740" w:type="dxa"/>
            <w:vAlign w:val="bottom"/>
            <w:gridSpan w:val="3"/>
          </w:tcPr>
          <w:p>
            <w:pPr>
              <w:ind w:left="6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10"/>
                <w:szCs w:val="10"/>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0"/>
        </w:trPr>
        <w:tc>
          <w:tcPr>
            <w:tcW w:w="238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Cash flows from operating activities</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966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889</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w:t>
            </w:r>
          </w:p>
        </w:tc>
        <w:tc>
          <w:tcPr>
            <w:tcW w:w="0" w:type="dxa"/>
            <w:vAlign w:val="bottom"/>
          </w:tcPr>
          <w:p>
            <w:pPr>
              <w:spacing w:after="0"/>
              <w:rPr>
                <w:sz w:val="1"/>
                <w:szCs w:val="1"/>
                <w:color w:val="auto"/>
              </w:rPr>
            </w:pPr>
          </w:p>
        </w:tc>
      </w:tr>
      <w:tr>
        <w:trPr>
          <w:trHeight w:val="101"/>
        </w:trPr>
        <w:tc>
          <w:tcPr>
            <w:tcW w:w="2380" w:type="dxa"/>
            <w:vAlign w:val="bottom"/>
          </w:tcPr>
          <w:p>
            <w:pPr>
              <w:ind w:left="120"/>
              <w:spacing w:after="0" w:line="102" w:lineRule="exact"/>
              <w:rPr>
                <w:sz w:val="20"/>
                <w:szCs w:val="20"/>
                <w:color w:val="auto"/>
              </w:rPr>
            </w:pPr>
            <w:r>
              <w:rPr>
                <w:rFonts w:ascii="Arial" w:cs="Arial" w:eastAsia="Arial" w:hAnsi="Arial"/>
                <w:sz w:val="10"/>
                <w:szCs w:val="10"/>
                <w:color w:val="auto"/>
              </w:rPr>
              <w:t>Depreciation and impairment of Equipment on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80" w:type="dxa"/>
            <w:vAlign w:val="bottom"/>
          </w:tcPr>
          <w:p>
            <w:pPr>
              <w:ind w:left="240"/>
              <w:spacing w:after="0"/>
              <w:rPr>
                <w:sz w:val="20"/>
                <w:szCs w:val="20"/>
                <w:color w:val="auto"/>
              </w:rPr>
            </w:pPr>
            <w:r>
              <w:rPr>
                <w:rFonts w:ascii="Arial" w:cs="Arial" w:eastAsia="Arial" w:hAnsi="Arial"/>
                <w:sz w:val="10"/>
                <w:szCs w:val="10"/>
                <w:color w:val="auto"/>
              </w:rPr>
              <w:t>operating leases, net</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1,223</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1,223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1,653</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1,653</w:t>
            </w: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9"/>
              </w:rPr>
              <w:t>Depreciation, amortization and impairment charges</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on Property, net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1,362</w:t>
            </w:r>
          </w:p>
        </w:tc>
        <w:tc>
          <w:tcPr>
            <w:tcW w:w="0" w:type="dxa"/>
            <w:vAlign w:val="bottom"/>
          </w:tcPr>
          <w:p>
            <w:pPr>
              <w:spacing w:after="0"/>
              <w:rPr>
                <w:sz w:val="1"/>
                <w:szCs w:val="1"/>
                <w:color w:val="auto"/>
              </w:rPr>
            </w:pPr>
          </w:p>
        </w:tc>
      </w:tr>
      <w:tr>
        <w:trPr>
          <w:trHeight w:val="101"/>
        </w:trPr>
        <w:tc>
          <w:tcPr>
            <w:tcW w:w="2380" w:type="dxa"/>
            <w:vAlign w:val="bottom"/>
          </w:tcPr>
          <w:p>
            <w:pPr>
              <w:ind w:left="120"/>
              <w:spacing w:after="0" w:line="102" w:lineRule="exact"/>
              <w:rPr>
                <w:sz w:val="20"/>
                <w:szCs w:val="20"/>
                <w:color w:val="auto"/>
              </w:rPr>
            </w:pPr>
            <w:r>
              <w:rPr>
                <w:rFonts w:ascii="Arial" w:cs="Arial" w:eastAsia="Arial" w:hAnsi="Arial"/>
                <w:sz w:val="10"/>
                <w:szCs w:val="10"/>
                <w:color w:val="auto"/>
              </w:rPr>
              <w:t>Foreign currency remeasurement and transaction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80" w:type="dxa"/>
            <w:vAlign w:val="bottom"/>
          </w:tcPr>
          <w:p>
            <w:pPr>
              <w:ind w:left="240"/>
              <w:spacing w:after="0"/>
              <w:rPr>
                <w:sz w:val="20"/>
                <w:szCs w:val="20"/>
                <w:color w:val="auto"/>
              </w:rPr>
            </w:pPr>
            <w:r>
              <w:rPr>
                <w:rFonts w:ascii="Arial" w:cs="Arial" w:eastAsia="Arial" w:hAnsi="Arial"/>
                <w:sz w:val="10"/>
                <w:szCs w:val="10"/>
                <w:color w:val="auto"/>
              </w:rPr>
              <w:t>(gains) losses</w:t>
            </w:r>
          </w:p>
        </w:tc>
        <w:tc>
          <w:tcPr>
            <w:tcW w:w="10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0"/>
                <w:szCs w:val="1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Undistributed (earnings) loss of nonconsolidated</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affiliates, net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w:t>
            </w: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(222)</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304</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316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204</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1,085</w:t>
            </w: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Change in other operating assets and liabilities(a)</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(2,292)</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1,191</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(1,203)</w:t>
            </w:r>
          </w:p>
        </w:tc>
        <w:tc>
          <w:tcPr>
            <w:tcW w:w="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(2,784)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(1,181)</w:t>
            </w:r>
          </w:p>
        </w:tc>
        <w:tc>
          <w:tcPr>
            <w:tcW w:w="10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1,044</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(4,807)</w:t>
            </w:r>
          </w:p>
        </w:tc>
        <w:tc>
          <w:tcPr>
            <w:tcW w:w="0" w:type="dxa"/>
            <w:vAlign w:val="bottom"/>
          </w:tcPr>
          <w:p>
            <w:pPr>
              <w:spacing w:after="0"/>
              <w:rPr>
                <w:sz w:val="1"/>
                <w:szCs w:val="1"/>
                <w:color w:val="auto"/>
              </w:rPr>
            </w:pPr>
          </w:p>
        </w:tc>
      </w:tr>
      <w:tr>
        <w:trPr>
          <w:trHeight w:val="75"/>
        </w:trPr>
        <w:tc>
          <w:tcPr>
            <w:tcW w:w="238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operating</w:t>
            </w: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(305)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1,248</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2,104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1,524</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1,036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1,266</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Expenditures for property</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(878)</w:t>
            </w: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Available-for-sale marketable securities,</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acquisitions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(2,366)</w:t>
            </w:r>
          </w:p>
        </w:tc>
        <w:tc>
          <w:tcPr>
            <w:tcW w:w="0" w:type="dxa"/>
            <w:vAlign w:val="bottom"/>
          </w:tcPr>
          <w:p>
            <w:pPr>
              <w:spacing w:after="0"/>
              <w:rPr>
                <w:sz w:val="1"/>
                <w:szCs w:val="1"/>
                <w:color w:val="auto"/>
              </w:rPr>
            </w:pPr>
          </w:p>
        </w:tc>
      </w:tr>
      <w:tr>
        <w:trPr>
          <w:trHeight w:val="101"/>
        </w:trPr>
        <w:tc>
          <w:tcPr>
            <w:tcW w:w="2380" w:type="dxa"/>
            <w:vAlign w:val="bottom"/>
          </w:tcPr>
          <w:p>
            <w:pPr>
              <w:ind w:left="120"/>
              <w:spacing w:after="0" w:line="102" w:lineRule="exact"/>
              <w:rPr>
                <w:sz w:val="20"/>
                <w:szCs w:val="20"/>
                <w:color w:val="auto"/>
              </w:rPr>
            </w:pPr>
            <w:r>
              <w:rPr>
                <w:rFonts w:ascii="Arial" w:cs="Arial" w:eastAsia="Arial" w:hAnsi="Arial"/>
                <w:sz w:val="10"/>
                <w:szCs w:val="10"/>
                <w:color w:val="auto"/>
              </w:rPr>
              <w:t>Available-for-sale marketable securities,</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80" w:type="dxa"/>
            <w:vAlign w:val="bottom"/>
          </w:tcPr>
          <w:p>
            <w:pPr>
              <w:ind w:left="240"/>
              <w:spacing w:after="0"/>
              <w:rPr>
                <w:sz w:val="20"/>
                <w:szCs w:val="20"/>
                <w:color w:val="auto"/>
              </w:rPr>
            </w:pPr>
            <w:r>
              <w:rPr>
                <w:rFonts w:ascii="Arial" w:cs="Arial" w:eastAsia="Arial" w:hAnsi="Arial"/>
                <w:sz w:val="10"/>
                <w:szCs w:val="10"/>
                <w:color w:val="auto"/>
              </w:rPr>
              <w:t>liquidations</w:t>
            </w:r>
          </w:p>
        </w:tc>
        <w:tc>
          <w:tcPr>
            <w:tcW w:w="10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1,180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783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1,960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2,826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811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3,632</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finance receivables, net(a)</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(8,685)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(8,245)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(8,173)</w:t>
            </w:r>
          </w:p>
        </w:tc>
        <w:tc>
          <w:tcPr>
            <w:tcW w:w="0" w:type="dxa"/>
            <w:vAlign w:val="bottom"/>
          </w:tcPr>
          <w:p>
            <w:pPr>
              <w:spacing w:after="0"/>
              <w:rPr>
                <w:sz w:val="1"/>
                <w:szCs w:val="1"/>
                <w:color w:val="auto"/>
              </w:rPr>
            </w:pPr>
          </w:p>
        </w:tc>
      </w:tr>
      <w:tr>
        <w:trPr>
          <w:trHeight w:val="101"/>
        </w:trPr>
        <w:tc>
          <w:tcPr>
            <w:tcW w:w="2380" w:type="dxa"/>
            <w:vAlign w:val="bottom"/>
          </w:tcPr>
          <w:p>
            <w:pPr>
              <w:ind w:left="120"/>
              <w:spacing w:after="0" w:line="102" w:lineRule="exact"/>
              <w:rPr>
                <w:sz w:val="20"/>
                <w:szCs w:val="20"/>
                <w:color w:val="auto"/>
              </w:rPr>
            </w:pPr>
            <w:r>
              <w:rPr>
                <w:rFonts w:ascii="Arial" w:cs="Arial" w:eastAsia="Arial" w:hAnsi="Arial"/>
                <w:sz w:val="10"/>
                <w:szCs w:val="10"/>
                <w:color w:val="auto"/>
              </w:rPr>
              <w:t>Principal collections and recoveries on finance</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80" w:type="dxa"/>
            <w:vAlign w:val="bottom"/>
          </w:tcPr>
          <w:p>
            <w:pPr>
              <w:ind w:left="240"/>
              <w:spacing w:after="0"/>
              <w:rPr>
                <w:sz w:val="20"/>
                <w:szCs w:val="20"/>
                <w:color w:val="auto"/>
              </w:rPr>
            </w:pPr>
            <w:r>
              <w:rPr>
                <w:rFonts w:ascii="Arial" w:cs="Arial" w:eastAsia="Arial" w:hAnsi="Arial"/>
                <w:sz w:val="10"/>
                <w:szCs w:val="10"/>
                <w:color w:val="auto"/>
              </w:rPr>
              <w:t>receivables(a)</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6,904</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6,845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7,828</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(1,743)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6,085</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leased vehicles,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(6,066)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(6,113)</w:t>
            </w: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3,732</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3,732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4,919</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4,919</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investing activities(b)</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0" w:type="dxa"/>
            <w:vAlign w:val="bottom"/>
          </w:tcPr>
          <w:p>
            <w:pPr>
              <w:spacing w:after="0"/>
              <w:rPr>
                <w:sz w:val="1"/>
                <w:szCs w:val="1"/>
                <w:color w:val="auto"/>
              </w:rPr>
            </w:pPr>
          </w:p>
        </w:tc>
      </w:tr>
      <w:tr>
        <w:trPr>
          <w:trHeight w:val="75"/>
        </w:trPr>
        <w:tc>
          <w:tcPr>
            <w:tcW w:w="238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investing</w:t>
            </w: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(6,832)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(1,048)</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3,957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(3,909)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(1,580)</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(707)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(2,984)</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Net increase (decrease) in short-term debt</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712</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722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1,547</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1,543</w:t>
            </w: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w w:val="99"/>
              </w:rPr>
              <w:t>Proceeds from issuance of debt (original maturities</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greater than three months)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10,684</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13,105</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13,350</w:t>
            </w:r>
          </w:p>
        </w:tc>
        <w:tc>
          <w:tcPr>
            <w:tcW w:w="0" w:type="dxa"/>
            <w:vAlign w:val="bottom"/>
          </w:tcPr>
          <w:p>
            <w:pPr>
              <w:spacing w:after="0"/>
              <w:rPr>
                <w:sz w:val="1"/>
                <w:szCs w:val="1"/>
                <w:color w:val="auto"/>
              </w:rPr>
            </w:pPr>
          </w:p>
        </w:tc>
      </w:tr>
      <w:tr>
        <w:trPr>
          <w:trHeight w:val="101"/>
        </w:trPr>
        <w:tc>
          <w:tcPr>
            <w:tcW w:w="2380" w:type="dxa"/>
            <w:vAlign w:val="bottom"/>
          </w:tcPr>
          <w:p>
            <w:pPr>
              <w:ind w:left="120"/>
              <w:spacing w:after="0" w:line="102" w:lineRule="exact"/>
              <w:rPr>
                <w:sz w:val="20"/>
                <w:szCs w:val="20"/>
                <w:color w:val="auto"/>
              </w:rPr>
            </w:pPr>
            <w:r>
              <w:rPr>
                <w:rFonts w:ascii="Arial" w:cs="Arial" w:eastAsia="Arial" w:hAnsi="Arial"/>
                <w:sz w:val="10"/>
                <w:szCs w:val="10"/>
                <w:color w:val="auto"/>
              </w:rPr>
              <w:t>Payments on debt (original maturities greater than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8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(10,783)</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(10,827)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(12,542)</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(12,702)</w:t>
            </w: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Issuance (redemptions) of subsidiary preferred</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stock(b)</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1,350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1,537</w:t>
            </w: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Dividends paid(c)</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(59)</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(660)</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600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financing activities</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75"/>
        </w:trPr>
        <w:tc>
          <w:tcPr>
            <w:tcW w:w="238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financing</w:t>
            </w: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38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(192)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1,306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517</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(3,483)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2,524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1,403</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3,617</w:t>
            </w:r>
          </w:p>
        </w:tc>
        <w:tc>
          <w:tcPr>
            <w:tcW w:w="0" w:type="dxa"/>
            <w:vAlign w:val="bottom"/>
          </w:tcPr>
          <w:p>
            <w:pPr>
              <w:spacing w:after="0"/>
              <w:rPr>
                <w:sz w:val="1"/>
                <w:szCs w:val="1"/>
                <w:color w:val="auto"/>
              </w:rPr>
            </w:pPr>
          </w:p>
        </w:tc>
      </w:tr>
      <w:tr>
        <w:trPr>
          <w:trHeight w:val="106"/>
        </w:trPr>
        <w:tc>
          <w:tcPr>
            <w:tcW w:w="2380" w:type="dxa"/>
            <w:vAlign w:val="bottom"/>
            <w:shd w:val="clear" w:color="auto" w:fill="CCEEFF"/>
          </w:tcPr>
          <w:p>
            <w:pPr>
              <w:ind w:left="120"/>
              <w:spacing w:after="0" w:line="106" w:lineRule="exact"/>
              <w:rPr>
                <w:sz w:val="20"/>
                <w:szCs w:val="20"/>
                <w:color w:val="auto"/>
              </w:rPr>
            </w:pPr>
            <w:r>
              <w:rPr>
                <w:rFonts w:ascii="Arial" w:cs="Arial" w:eastAsia="Arial" w:hAnsi="Arial"/>
                <w:sz w:val="10"/>
                <w:szCs w:val="10"/>
                <w:color w:val="auto"/>
              </w:rPr>
              <w:t>Effect of exchange rate changes on cash, cash</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equivalents and restricted cash</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81"/>
        </w:trPr>
        <w:tc>
          <w:tcPr>
            <w:tcW w:w="2380" w:type="dxa"/>
            <w:vAlign w:val="bottom"/>
          </w:tcPr>
          <w:p>
            <w:pPr>
              <w:ind w:left="120"/>
              <w:spacing w:after="0" w:line="82" w:lineRule="exact"/>
              <w:rPr>
                <w:sz w:val="20"/>
                <w:szCs w:val="20"/>
                <w:color w:val="auto"/>
              </w:rPr>
            </w:pPr>
            <w:r>
              <w:rPr>
                <w:rFonts w:ascii="Arial" w:cs="Arial" w:eastAsia="Arial" w:hAnsi="Arial"/>
                <w:sz w:val="9"/>
                <w:szCs w:val="9"/>
                <w:color w:val="auto"/>
              </w:rPr>
              <w:t>Net increase (decrease) in cash, cash equivalents</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380" w:type="dxa"/>
            <w:vAlign w:val="bottom"/>
          </w:tcPr>
          <w:p>
            <w:pPr>
              <w:ind w:left="240"/>
              <w:spacing w:after="0"/>
              <w:rPr>
                <w:sz w:val="20"/>
                <w:szCs w:val="20"/>
                <w:color w:val="auto"/>
              </w:rPr>
            </w:pPr>
            <w:r>
              <w:rPr>
                <w:rFonts w:ascii="Arial" w:cs="Arial" w:eastAsia="Arial" w:hAnsi="Arial"/>
                <w:sz w:val="10"/>
                <w:szCs w:val="10"/>
                <w:color w:val="auto"/>
              </w:rPr>
              <w:t>and restricted cash</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(5,348)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1,015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769</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(3,564)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(937)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1,399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1,297</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1,759</w:t>
            </w: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Cash, cash equivalents and restricted cash at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beginning of period</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14,774</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1,584</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7,183</w:t>
            </w:r>
          </w:p>
        </w:tc>
        <w:tc>
          <w:tcPr>
            <w:tcW w:w="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23,542</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766</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8,126</w:t>
            </w:r>
          </w:p>
        </w:tc>
        <w:tc>
          <w:tcPr>
            <w:tcW w:w="10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23,117</w:t>
            </w:r>
          </w:p>
        </w:tc>
        <w:tc>
          <w:tcPr>
            <w:tcW w:w="0" w:type="dxa"/>
            <w:vAlign w:val="bottom"/>
          </w:tcPr>
          <w:p>
            <w:pPr>
              <w:spacing w:after="0"/>
              <w:rPr>
                <w:sz w:val="1"/>
                <w:szCs w:val="1"/>
                <w:color w:val="auto"/>
              </w:rPr>
            </w:pPr>
          </w:p>
        </w:tc>
      </w:tr>
      <w:tr>
        <w:trPr>
          <w:trHeight w:val="75"/>
        </w:trPr>
        <w:tc>
          <w:tcPr>
            <w:tcW w:w="238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Cash, cash equivalents and restricted cash at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11"/>
              <w:spacing w:after="0"/>
              <w:rPr>
                <w:sz w:val="20"/>
                <w:szCs w:val="20"/>
                <w:color w:val="auto"/>
              </w:rPr>
            </w:pPr>
            <w:r>
              <w:rPr>
                <w:rFonts w:ascii="Arial" w:cs="Arial" w:eastAsia="Arial" w:hAnsi="Arial"/>
                <w:sz w:val="10"/>
                <w:szCs w:val="10"/>
                <w:color w:val="auto"/>
              </w:rPr>
              <w:t>9,426</w:t>
            </w:r>
          </w:p>
        </w:tc>
        <w:tc>
          <w:tcPr>
            <w:tcW w:w="100" w:type="dxa"/>
            <w:vAlign w:val="bottom"/>
          </w:tcPr>
          <w:p>
            <w:pPr>
              <w:spacing w:after="0"/>
              <w:rPr>
                <w:sz w:val="6"/>
                <w:szCs w:val="6"/>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2,600</w:t>
            </w:r>
          </w:p>
        </w:tc>
        <w:tc>
          <w:tcPr>
            <w:tcW w:w="100" w:type="dxa"/>
            <w:vAlign w:val="bottom"/>
          </w:tcPr>
          <w:p>
            <w:pPr>
              <w:spacing w:after="0"/>
              <w:rPr>
                <w:sz w:val="6"/>
                <w:szCs w:val="6"/>
                <w:color w:val="auto"/>
              </w:rPr>
            </w:pPr>
          </w:p>
        </w:tc>
        <w:tc>
          <w:tcPr>
            <w:tcW w:w="160" w:type="dxa"/>
            <w:vAlign w:val="bottom"/>
            <w:vMerge w:val="restart"/>
          </w:tcPr>
          <w:p>
            <w:pPr>
              <w:jc w:val="right"/>
              <w:ind w:right="53"/>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7,953</w:t>
            </w:r>
          </w:p>
        </w:tc>
        <w:tc>
          <w:tcPr>
            <w:tcW w:w="80" w:type="dxa"/>
            <w:vAlign w:val="bottom"/>
          </w:tcPr>
          <w:p>
            <w:pPr>
              <w:spacing w:after="0"/>
              <w:rPr>
                <w:sz w:val="6"/>
                <w:szCs w:val="6"/>
                <w:color w:val="auto"/>
              </w:rPr>
            </w:pPr>
          </w:p>
        </w:tc>
        <w:tc>
          <w:tcPr>
            <w:tcW w:w="8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19,978</w:t>
            </w:r>
          </w:p>
        </w:tc>
        <w:tc>
          <w:tcPr>
            <w:tcW w:w="10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13,288</w:t>
            </w:r>
          </w:p>
        </w:tc>
        <w:tc>
          <w:tcPr>
            <w:tcW w:w="100" w:type="dxa"/>
            <w:vAlign w:val="bottom"/>
          </w:tcPr>
          <w:p>
            <w:pPr>
              <w:spacing w:after="0"/>
              <w:rPr>
                <w:sz w:val="6"/>
                <w:szCs w:val="6"/>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11"/>
              <w:spacing w:after="0"/>
              <w:rPr>
                <w:sz w:val="20"/>
                <w:szCs w:val="20"/>
                <w:color w:val="auto"/>
              </w:rPr>
            </w:pPr>
            <w:r>
              <w:rPr>
                <w:rFonts w:ascii="Arial" w:cs="Arial" w:eastAsia="Arial" w:hAnsi="Arial"/>
                <w:sz w:val="10"/>
                <w:szCs w:val="10"/>
                <w:color w:val="auto"/>
              </w:rPr>
              <w:t>9,423</w:t>
            </w:r>
          </w:p>
        </w:tc>
        <w:tc>
          <w:tcPr>
            <w:tcW w:w="100" w:type="dxa"/>
            <w:vAlign w:val="bottom"/>
          </w:tcPr>
          <w:p>
            <w:pPr>
              <w:spacing w:after="0"/>
              <w:rPr>
                <w:sz w:val="6"/>
                <w:szCs w:val="6"/>
                <w:color w:val="auto"/>
              </w:rPr>
            </w:pPr>
          </w:p>
        </w:tc>
        <w:tc>
          <w:tcPr>
            <w:tcW w:w="840" w:type="dxa"/>
            <w:vAlign w:val="bottom"/>
            <w:vMerge w:val="restart"/>
          </w:tcPr>
          <w:p>
            <w:pPr>
              <w:spacing w:after="0"/>
              <w:rPr>
                <w:sz w:val="20"/>
                <w:szCs w:val="20"/>
                <w:color w:val="auto"/>
              </w:rPr>
            </w:pPr>
            <w:r>
              <w:rPr>
                <w:rFonts w:ascii="Arial" w:cs="Arial" w:eastAsia="Arial" w:hAnsi="Arial"/>
                <w:sz w:val="10"/>
                <w:szCs w:val="10"/>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24,876</w:t>
            </w:r>
          </w:p>
        </w:tc>
        <w:tc>
          <w:tcPr>
            <w:tcW w:w="0" w:type="dxa"/>
            <w:vAlign w:val="bottom"/>
          </w:tcPr>
          <w:p>
            <w:pPr>
              <w:spacing w:after="0"/>
              <w:rPr>
                <w:sz w:val="1"/>
                <w:szCs w:val="1"/>
                <w:color w:val="auto"/>
              </w:rPr>
            </w:pPr>
          </w:p>
        </w:tc>
      </w:tr>
      <w:tr>
        <w:trPr>
          <w:trHeight w:val="117"/>
        </w:trPr>
        <w:tc>
          <w:tcPr>
            <w:tcW w:w="2380" w:type="dxa"/>
            <w:vAlign w:val="bottom"/>
          </w:tcPr>
          <w:p>
            <w:pPr>
              <w:ind w:left="140"/>
              <w:spacing w:after="0"/>
              <w:rPr>
                <w:sz w:val="20"/>
                <w:szCs w:val="20"/>
                <w:color w:val="auto"/>
              </w:rPr>
            </w:pPr>
            <w:r>
              <w:rPr>
                <w:rFonts w:ascii="Arial" w:cs="Arial" w:eastAsia="Arial" w:hAnsi="Arial"/>
                <w:sz w:val="10"/>
                <w:szCs w:val="10"/>
                <w:b w:val="1"/>
                <w:bCs w:val="1"/>
                <w:color w:val="auto"/>
              </w:rPr>
              <w:t>end of period</w:t>
            </w:r>
          </w:p>
        </w:tc>
        <w:tc>
          <w:tcPr>
            <w:tcW w:w="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1" w:lineRule="exact"/>
        <w:rPr>
          <w:sz w:val="20"/>
          <w:szCs w:val="20"/>
          <w:color w:val="auto"/>
        </w:rPr>
      </w:pPr>
    </w:p>
    <w:p>
      <w:pPr>
        <w:ind w:left="260" w:hanging="255"/>
        <w:spacing w:after="0" w:line="243" w:lineRule="auto"/>
        <w:tabs>
          <w:tab w:leader="none" w:pos="253"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Includes reclassifications of $0.5 billion and $1.6 billion in the three months ended March 31, 2022 and 2021 for purchases/collections of wholesale finance receivables resulting from vehicles sold by GM to dealers that have arranged their inventory floor plan financing through GM Financial.</w:t>
      </w:r>
    </w:p>
    <w:p>
      <w:pPr>
        <w:ind w:left="260" w:hanging="255"/>
        <w:spacing w:after="0" w:line="243" w:lineRule="auto"/>
        <w:tabs>
          <w:tab w:leader="none" w:pos="253"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Includes reclassification of $2.1 billion redemption of Cruise preferred shares from SoftBank in the three months ended March 31, 2022. Eliminations include $1.4B and $1.0B in the three months ended March 31, 2022 and 2021 for Automotive investment in Cruise preferred shares.</w:t>
      </w:r>
    </w:p>
    <w:p>
      <w:pPr>
        <w:ind w:left="260" w:hanging="255"/>
        <w:spacing w:after="0"/>
        <w:tabs>
          <w:tab w:leader="none" w:pos="2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Eliminations include dividends of $0.6 billion issued by GM Financial to Automotive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14</w:t>
      </w:r>
    </w:p>
    <w:sectPr>
      <w:pgSz w:w="11900" w:h="16838" w:orient="portrait"/>
      <w:cols w:equalWidth="0" w:num="1">
        <w:col w:w="11280"/>
      </w:cols>
      <w:pgMar w:left="300" w:top="6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2022-04-26T15:51:44Z</dcterms:created>
  <dcterms:modified xsi:type="dcterms:W3CDTF">2022-04-26T15:51:44Z</dcterms:modified>
</cp:coreProperties>
</file>