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Ardila Jaime</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right="980"/>
        <w:spacing w:after="0" w:line="311" w:lineRule="auto"/>
        <w:rPr>
          <w:sz w:val="20"/>
          <w:szCs w:val="20"/>
          <w:color w:val="auto"/>
        </w:rPr>
      </w:pPr>
      <w:r>
        <w:rPr>
          <w:rFonts w:ascii="Times New Roman" w:cs="Times New Roman" w:eastAsia="Times New Roman" w:hAnsi="Times New Roman"/>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03/15/2012</w:t>
      </w:r>
    </w:p>
    <w:p>
      <w:pPr>
        <w:spacing w:after="0" w:line="20" w:lineRule="exact"/>
        <w:rPr>
          <w:sz w:val="24"/>
          <w:szCs w:val="24"/>
          <w:color w:val="auto"/>
        </w:rPr>
      </w:pPr>
      <w:r>
        <w:rPr>
          <w:sz w:val="24"/>
          <w:szCs w:val="24"/>
          <w:color w:val="auto"/>
        </w:rPr>
        <w:br w:type="column"/>
      </w:r>
    </w:p>
    <w:p>
      <w:pPr>
        <w:ind w:left="3" w:right="660" w:hanging="3"/>
        <w:spacing w:after="0" w:line="269"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43"/>
        <w:spacing w:after="0"/>
        <w:rPr>
          <w:sz w:val="20"/>
          <w:szCs w:val="20"/>
          <w:color w:val="auto"/>
        </w:rPr>
      </w:pPr>
      <w:r>
        <w:rPr>
          <w:rFonts w:ascii="Times New Roman" w:cs="Times New Roman" w:eastAsia="Times New Roman" w:hAnsi="Times New Roman"/>
          <w:sz w:val="17"/>
          <w:szCs w:val="17"/>
          <w:color w:val="0000FF"/>
        </w:rPr>
        <w:t>Vice President</w:t>
      </w:r>
    </w:p>
    <w:p>
      <w:pPr>
        <w:spacing w:after="0" w:line="446" w:lineRule="exact"/>
        <w:rPr>
          <w:sz w:val="24"/>
          <w:szCs w:val="24"/>
          <w:color w:val="auto"/>
        </w:rPr>
      </w:pPr>
    </w:p>
    <w:p>
      <w:pPr>
        <w:sectPr>
          <w:pgSz w:w="11900" w:h="16838" w:orient="portrait"/>
          <w:cols w:equalWidth="0" w:num="3">
            <w:col w:w="3340" w:space="720"/>
            <w:col w:w="3257" w:space="720"/>
            <w:col w:w="3483"/>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840" w:type="dxa"/>
            <w:vAlign w:val="bottom"/>
            <w:gridSpan w:val="8"/>
          </w:tcPr>
          <w:p>
            <w:pPr>
              <w:jc w:val="center"/>
              <w:ind w:right="58"/>
              <w:spacing w:after="0" w:line="119"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line="11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DETROIT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6"/>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22,875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ind w:left="34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220" w:type="dxa"/>
            <w:vAlign w:val="bottom"/>
          </w:tcPr>
          <w:p>
            <w:pPr>
              <w:spacing w:after="0"/>
              <w:rPr>
                <w:sz w:val="12"/>
                <w:szCs w:val="12"/>
                <w:color w:val="auto"/>
              </w:rPr>
            </w:pPr>
          </w:p>
        </w:tc>
        <w:tc>
          <w:tcPr>
            <w:tcW w:w="1000" w:type="dxa"/>
            <w:vAlign w:val="bottom"/>
          </w:tcPr>
          <w:p>
            <w:pPr>
              <w:ind w:left="180"/>
              <w:spacing w:after="0" w:line="147" w:lineRule="exact"/>
              <w:rPr>
                <w:sz w:val="20"/>
                <w:szCs w:val="20"/>
                <w:color w:val="auto"/>
              </w:rPr>
            </w:pPr>
            <w:r>
              <w:rPr>
                <w:rFonts w:ascii="Times New Roman" w:cs="Times New Roman" w:eastAsia="Times New Roman" w:hAnsi="Times New Roman"/>
                <w:sz w:val="13"/>
                <w:szCs w:val="13"/>
                <w:color w:val="0000FF"/>
              </w:rPr>
              <w:t>03/15/2012</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0000FF"/>
              </w:rPr>
              <w:t>22,875</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0000FF"/>
              </w:rPr>
              <w:t>22,875</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20" w:firstLine="8"/>
        <w:spacing w:after="0" w:line="250"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were awarded on March 15, 2012, pursuant to the Company's 2009 Long-Term Incentive Plan (the "GMLTP"). Two-thirds of the RSUs will vest on March 15, 2014, and the remaining one-third will vest on March 15, 2015, provided that the reporting person remains continuously employed through the vesting date. Each RSU represents a right to receive one share of the Company's common stock upon settlement. RSUs will be settled when they vest except that until all the Company's obligations under Treasury Regulation 31 CFR 30.1 (Q-1) (the "TARP Obligations") have been repaid, awards will be settled in increments of 25% for each 25% of the TARP Obligations that have been repaid.</w:t>
      </w:r>
    </w:p>
    <w:p>
      <w:pPr>
        <w:spacing w:after="0" w:line="4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Anne T. Larin, attorney-in-</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03/19/2012</w:t>
            </w: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0000FF"/>
              </w:rPr>
              <w:t>fact for Mr. Ardila</w:t>
            </w:r>
          </w:p>
        </w:tc>
        <w:tc>
          <w:tcPr>
            <w:tcW w:w="80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00" w:type="dxa"/>
            <w:vAlign w:val="bottom"/>
            <w:tcBorders>
              <w:bottom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2019-12-17T01:22:14Z</dcterms:created>
  <dcterms:modified xsi:type="dcterms:W3CDTF">2019-12-17T01:22:14Z</dcterms:modified>
</cp:coreProperties>
</file>