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5"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GENERAL MOTORS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5"/>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April 26, 2013 the number of shares outstanding of common stock was 1,374,639,044 shares.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jc w:val="both"/>
        <w:ind w:firstLine="81"/>
        <w:spacing w:after="0" w:line="312"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9"/>
          </w:tcPr>
          <w:p>
            <w:pPr>
              <w:spacing w:after="0"/>
              <w:rPr>
                <w:sz w:val="20"/>
                <w:szCs w:val="20"/>
                <w:color w:val="auto"/>
              </w:rPr>
            </w:pPr>
            <w:r>
              <w:rPr>
                <w:rFonts w:ascii="Arial" w:cs="Arial" w:eastAsia="Arial" w:hAnsi="Arial"/>
                <w:sz w:val="18"/>
                <w:szCs w:val="18"/>
                <w:b w:val="1"/>
                <w:bCs w:val="1"/>
                <w:color w:val="auto"/>
              </w:rPr>
              <w:t>INDEX</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30"/>
        </w:trPr>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0000FF"/>
            </w:tcBorders>
            <w:gridSpan w:val="19"/>
          </w:tcPr>
          <w:p>
            <w:pPr>
              <w:jc w:val="center"/>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 Financial Information</w:t>
              </w:r>
            </w:hyperlink>
          </w:p>
        </w:tc>
        <w:tc>
          <w:tcPr>
            <w:tcW w:w="9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40" w:type="dxa"/>
            <w:vAlign w:val="bottom"/>
            <w:tcBorders>
              <w:bottom w:val="single" w:sz="8" w:color="0000FF"/>
            </w:tcBorders>
            <w:gridSpan w:val="20"/>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Financial Statements</w:t>
              </w:r>
            </w:hyperlink>
          </w:p>
        </w:tc>
        <w:tc>
          <w:tcPr>
            <w:tcW w:w="3120" w:type="dxa"/>
            <w:vAlign w:val="bottom"/>
            <w:gridSpan w:val="18"/>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60" w:type="dxa"/>
            <w:vAlign w:val="bottom"/>
            <w:gridSpan w:val="3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Income Statements (Unaudited)</w:t>
              </w:r>
            </w:hyperlink>
          </w:p>
        </w:tc>
        <w:tc>
          <w:tcPr>
            <w:tcW w:w="386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500" w:type="dxa"/>
            <w:vAlign w:val="bottom"/>
            <w:tcBorders>
              <w:bottom w:val="single" w:sz="8" w:color="0000FF"/>
            </w:tcBorders>
            <w:gridSpan w:val="3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Comprehensive Income (Unaudited)</w:t>
              </w:r>
            </w:hyperlink>
          </w:p>
        </w:tc>
        <w:tc>
          <w:tcPr>
            <w:tcW w:w="960" w:type="dxa"/>
            <w:vAlign w:val="bottom"/>
            <w:gridSpan w:val="2"/>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60" w:type="dxa"/>
            <w:vAlign w:val="bottom"/>
            <w:gridSpan w:val="3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(Unaudited)</w:t>
              </w:r>
            </w:hyperlink>
          </w:p>
        </w:tc>
        <w:tc>
          <w:tcPr>
            <w:tcW w:w="386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60" w:type="dxa"/>
            <w:vAlign w:val="bottom"/>
            <w:tcBorders>
              <w:bottom w:val="single" w:sz="8" w:color="0000FF"/>
            </w:tcBorders>
            <w:gridSpan w:val="28"/>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Equity (Unaudited)</w:t>
              </w:r>
            </w:hyperlink>
          </w:p>
        </w:tc>
        <w:tc>
          <w:tcPr>
            <w:tcW w:w="2200" w:type="dxa"/>
            <w:vAlign w:val="bottom"/>
            <w:gridSpan w:val="10"/>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60" w:type="dxa"/>
            <w:vAlign w:val="bottom"/>
            <w:gridSpan w:val="3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38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20" w:type="dxa"/>
            <w:vAlign w:val="bottom"/>
            <w:tcBorders>
              <w:top w:val="single" w:sz="8" w:color="0000FF"/>
            </w:tcBorders>
            <w:gridSpan w:val="3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840" w:type="dxa"/>
            <w:vAlign w:val="bottom"/>
            <w:gridSpan w:val="8"/>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Borders>
              <w:top w:val="single" w:sz="8" w:color="0000FF"/>
            </w:tcBorders>
            <w:gridSpan w:val="3"/>
          </w:tcPr>
          <w:p>
            <w:pPr>
              <w:ind w:left="140"/>
              <w:spacing w:after="0"/>
              <w:rPr>
                <w:sz w:val="20"/>
                <w:szCs w:val="20"/>
                <w:color w:val="auto"/>
              </w:rPr>
            </w:pPr>
            <w:r>
              <w:rPr>
                <w:rFonts w:ascii="Arial" w:cs="Arial" w:eastAsia="Arial" w:hAnsi="Arial"/>
                <w:sz w:val="18"/>
                <w:szCs w:val="18"/>
                <w:color w:val="auto"/>
              </w:rPr>
              <w:t>Note 1.</w:t>
            </w:r>
          </w:p>
        </w:tc>
        <w:tc>
          <w:tcPr>
            <w:tcW w:w="2960" w:type="dxa"/>
            <w:vAlign w:val="bottom"/>
            <w:tcBorders>
              <w:top w:val="single" w:sz="8" w:color="0000FF"/>
            </w:tcBorders>
            <w:gridSpan w:val="2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Nature of Operations</w:t>
              </w:r>
            </w:hyperlink>
          </w:p>
        </w:tc>
        <w:tc>
          <w:tcPr>
            <w:tcW w:w="2480" w:type="dxa"/>
            <w:vAlign w:val="bottom"/>
            <w:gridSpan w:val="13"/>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2.</w:t>
            </w:r>
          </w:p>
        </w:tc>
        <w:tc>
          <w:tcPr>
            <w:tcW w:w="4020" w:type="dxa"/>
            <w:vAlign w:val="bottom"/>
            <w:tcBorders>
              <w:bottom w:val="single" w:sz="8" w:color="0000FF"/>
            </w:tcBorders>
            <w:gridSpan w:val="30"/>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Basis of Presentation and Recent Accounting Standards</w:t>
              </w:r>
            </w:hyperlink>
          </w:p>
        </w:tc>
        <w:tc>
          <w:tcPr>
            <w:tcW w:w="1420" w:type="dxa"/>
            <w:vAlign w:val="bottom"/>
            <w:gridSpan w:val="5"/>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3.</w:t>
            </w:r>
          </w:p>
        </w:tc>
        <w:tc>
          <w:tcPr>
            <w:tcW w:w="188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Acquisition of Businesses</w:t>
              </w:r>
            </w:hyperlink>
          </w:p>
        </w:tc>
        <w:tc>
          <w:tcPr>
            <w:tcW w:w="3560" w:type="dxa"/>
            <w:vAlign w:val="bottom"/>
            <w:gridSpan w:val="22"/>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4.</w:t>
            </w:r>
          </w:p>
        </w:tc>
        <w:tc>
          <w:tcPr>
            <w:tcW w:w="158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0">
              <w:r>
                <w:rPr>
                  <w:rFonts w:ascii="Arial" w:cs="Arial" w:eastAsia="Arial" w:hAnsi="Arial"/>
                  <w:sz w:val="18"/>
                  <w:szCs w:val="18"/>
                  <w:color w:val="0000FF"/>
                  <w:w w:val="90"/>
                </w:rPr>
                <w:t>Marketable Securities</w:t>
              </w:r>
            </w:hyperlink>
          </w:p>
        </w:tc>
        <w:tc>
          <w:tcPr>
            <w:tcW w:w="3860" w:type="dxa"/>
            <w:vAlign w:val="bottom"/>
            <w:gridSpan w:val="24"/>
          </w:tcPr>
          <w:p>
            <w:pPr>
              <w:spacing w:after="0"/>
              <w:rPr>
                <w:sz w:val="21"/>
                <w:szCs w:val="21"/>
                <w:color w:val="auto"/>
              </w:rPr>
            </w:pPr>
          </w:p>
        </w:tc>
        <w:tc>
          <w:tcPr>
            <w:tcW w:w="3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5.</w:t>
            </w:r>
          </w:p>
        </w:tc>
        <w:tc>
          <w:tcPr>
            <w:tcW w:w="5440" w:type="dxa"/>
            <w:vAlign w:val="bottom"/>
            <w:gridSpan w:val="35"/>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GM Financial Finance Receivables, net</w:t>
              </w:r>
            </w:hyperlink>
          </w:p>
        </w:tc>
        <w:tc>
          <w:tcPr>
            <w:tcW w:w="386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6.</w:t>
            </w:r>
          </w:p>
        </w:tc>
        <w:tc>
          <w:tcPr>
            <w:tcW w:w="1080" w:type="dxa"/>
            <w:vAlign w:val="bottom"/>
            <w:gridSpan w:val="6"/>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Securitizations</w:t>
              </w:r>
            </w:hyperlink>
          </w:p>
        </w:tc>
        <w:tc>
          <w:tcPr>
            <w:tcW w:w="1760" w:type="dxa"/>
            <w:vAlign w:val="bottom"/>
            <w:gridSpan w:val="15"/>
          </w:tcPr>
          <w:p>
            <w:pPr>
              <w:spacing w:after="0"/>
              <w:rPr>
                <w:sz w:val="21"/>
                <w:szCs w:val="21"/>
                <w:color w:val="auto"/>
              </w:rPr>
            </w:pPr>
          </w:p>
        </w:tc>
        <w:tc>
          <w:tcPr>
            <w:tcW w:w="2600" w:type="dxa"/>
            <w:vAlign w:val="bottom"/>
            <w:gridSpan w:val="14"/>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7.</w:t>
            </w:r>
          </w:p>
        </w:tc>
        <w:tc>
          <w:tcPr>
            <w:tcW w:w="820" w:type="dxa"/>
            <w:vAlign w:val="bottom"/>
            <w:gridSpan w:val="4"/>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Inventories</w:t>
              </w:r>
            </w:hyperlink>
          </w:p>
        </w:tc>
        <w:tc>
          <w:tcPr>
            <w:tcW w:w="260" w:type="dxa"/>
            <w:vAlign w:val="bottom"/>
            <w:gridSpan w:val="2"/>
          </w:tcPr>
          <w:p>
            <w:pPr>
              <w:spacing w:after="0"/>
              <w:rPr>
                <w:sz w:val="21"/>
                <w:szCs w:val="21"/>
                <w:color w:val="auto"/>
              </w:rPr>
            </w:pPr>
          </w:p>
        </w:tc>
        <w:tc>
          <w:tcPr>
            <w:tcW w:w="4360" w:type="dxa"/>
            <w:vAlign w:val="bottom"/>
            <w:gridSpan w:val="29"/>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8.</w:t>
            </w:r>
          </w:p>
        </w:tc>
        <w:tc>
          <w:tcPr>
            <w:tcW w:w="5440" w:type="dxa"/>
            <w:vAlign w:val="bottom"/>
            <w:gridSpan w:val="35"/>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Equity in Net Assets of Nonconsolidated Affiliates</w:t>
              </w:r>
            </w:hyperlink>
          </w:p>
        </w:tc>
        <w:tc>
          <w:tcPr>
            <w:tcW w:w="386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9.</w:t>
            </w:r>
          </w:p>
        </w:tc>
        <w:tc>
          <w:tcPr>
            <w:tcW w:w="3660" w:type="dxa"/>
            <w:vAlign w:val="bottom"/>
            <w:gridSpan w:val="28"/>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Goodwill</w:t>
              </w:r>
            </w:hyperlink>
          </w:p>
        </w:tc>
        <w:tc>
          <w:tcPr>
            <w:tcW w:w="1780" w:type="dxa"/>
            <w:vAlign w:val="bottom"/>
            <w:gridSpan w:val="7"/>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10.</w:t>
            </w:r>
          </w:p>
        </w:tc>
        <w:tc>
          <w:tcPr>
            <w:tcW w:w="1500" w:type="dxa"/>
            <w:vAlign w:val="bottom"/>
            <w:gridSpan w:val="10"/>
          </w:tcPr>
          <w:p>
            <w:pPr>
              <w:spacing w:after="0"/>
              <w:rPr>
                <w:rFonts w:ascii="Arial" w:cs="Arial" w:eastAsia="Arial" w:hAnsi="Arial"/>
                <w:sz w:val="18"/>
                <w:szCs w:val="18"/>
                <w:color w:val="0000FF"/>
                <w:w w:val="84"/>
              </w:rPr>
            </w:pPr>
            <w:hyperlink w:anchor="page20">
              <w:r>
                <w:rPr>
                  <w:rFonts w:ascii="Arial" w:cs="Arial" w:eastAsia="Arial" w:hAnsi="Arial"/>
                  <w:sz w:val="18"/>
                  <w:szCs w:val="18"/>
                  <w:color w:val="0000FF"/>
                  <w:w w:val="84"/>
                </w:rPr>
                <w:t>Intangible Assets, net</w:t>
              </w:r>
            </w:hyperlink>
          </w:p>
        </w:tc>
        <w:tc>
          <w:tcPr>
            <w:tcW w:w="3940" w:type="dxa"/>
            <w:vAlign w:val="bottom"/>
            <w:gridSpan w:val="25"/>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17</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11.</w:t>
            </w:r>
          </w:p>
        </w:tc>
        <w:tc>
          <w:tcPr>
            <w:tcW w:w="5440" w:type="dxa"/>
            <w:vAlign w:val="bottom"/>
            <w:gridSpan w:val="35"/>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Variable Interest Entities</w:t>
              </w:r>
            </w:hyperlink>
          </w:p>
        </w:tc>
        <w:tc>
          <w:tcPr>
            <w:tcW w:w="386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18</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12.</w:t>
            </w:r>
          </w:p>
        </w:tc>
        <w:tc>
          <w:tcPr>
            <w:tcW w:w="5440" w:type="dxa"/>
            <w:vAlign w:val="bottom"/>
            <w:gridSpan w:val="35"/>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Depreciation, Amortization and Impairment Charges</w:t>
              </w:r>
            </w:hyperlink>
          </w:p>
        </w:tc>
        <w:tc>
          <w:tcPr>
            <w:tcW w:w="386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13.</w:t>
            </w:r>
          </w:p>
        </w:tc>
        <w:tc>
          <w:tcPr>
            <w:tcW w:w="300" w:type="dxa"/>
            <w:vAlign w:val="bottom"/>
          </w:tcPr>
          <w:p>
            <w:pPr>
              <w:spacing w:after="0"/>
              <w:rPr>
                <w:rFonts w:ascii="Arial" w:cs="Arial" w:eastAsia="Arial" w:hAnsi="Arial"/>
                <w:sz w:val="17"/>
                <w:szCs w:val="17"/>
                <w:color w:val="0000FF"/>
                <w:w w:val="72"/>
              </w:rPr>
            </w:pPr>
            <w:hyperlink w:anchor="page24">
              <w:r>
                <w:rPr>
                  <w:rFonts w:ascii="Arial" w:cs="Arial" w:eastAsia="Arial" w:hAnsi="Arial"/>
                  <w:sz w:val="17"/>
                  <w:szCs w:val="17"/>
                  <w:color w:val="0000FF"/>
                  <w:w w:val="72"/>
                </w:rPr>
                <w:t>Debt</w:t>
              </w:r>
            </w:hyperlink>
          </w:p>
        </w:tc>
        <w:tc>
          <w:tcPr>
            <w:tcW w:w="3500" w:type="dxa"/>
            <w:vAlign w:val="bottom"/>
            <w:gridSpan w:val="28"/>
          </w:tcPr>
          <w:p>
            <w:pPr>
              <w:spacing w:after="0"/>
              <w:rPr>
                <w:sz w:val="21"/>
                <w:szCs w:val="21"/>
                <w:color w:val="auto"/>
              </w:rPr>
            </w:pPr>
          </w:p>
        </w:tc>
        <w:tc>
          <w:tcPr>
            <w:tcW w:w="1640" w:type="dxa"/>
            <w:vAlign w:val="bottom"/>
            <w:gridSpan w:val="6"/>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14.</w:t>
            </w:r>
          </w:p>
        </w:tc>
        <w:tc>
          <w:tcPr>
            <w:tcW w:w="1940" w:type="dxa"/>
            <w:vAlign w:val="bottom"/>
            <w:gridSpan w:val="14"/>
          </w:tcPr>
          <w:p>
            <w:pPr>
              <w:spacing w:after="0"/>
              <w:rPr>
                <w:rFonts w:ascii="Arial" w:cs="Arial" w:eastAsia="Arial" w:hAnsi="Arial"/>
                <w:sz w:val="18"/>
                <w:szCs w:val="18"/>
                <w:color w:val="0000FF"/>
                <w:w w:val="93"/>
              </w:rPr>
            </w:pPr>
            <w:hyperlink w:anchor="page27">
              <w:r>
                <w:rPr>
                  <w:rFonts w:ascii="Arial" w:cs="Arial" w:eastAsia="Arial" w:hAnsi="Arial"/>
                  <w:sz w:val="18"/>
                  <w:szCs w:val="18"/>
                  <w:color w:val="0000FF"/>
                  <w:w w:val="93"/>
                </w:rPr>
                <w:t>Product Warranty Liability</w:t>
              </w:r>
            </w:hyperlink>
          </w:p>
        </w:tc>
        <w:tc>
          <w:tcPr>
            <w:tcW w:w="3500" w:type="dxa"/>
            <w:vAlign w:val="bottom"/>
            <w:gridSpan w:val="21"/>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15.</w:t>
            </w:r>
          </w:p>
        </w:tc>
        <w:tc>
          <w:tcPr>
            <w:tcW w:w="5440" w:type="dxa"/>
            <w:vAlign w:val="bottom"/>
            <w:gridSpan w:val="3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Pensions and Other Postretirement Benefits</w:t>
              </w:r>
            </w:hyperlink>
          </w:p>
        </w:tc>
        <w:tc>
          <w:tcPr>
            <w:tcW w:w="386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16.</w:t>
            </w:r>
          </w:p>
        </w:tc>
        <w:tc>
          <w:tcPr>
            <w:tcW w:w="4040" w:type="dxa"/>
            <w:vAlign w:val="bottom"/>
            <w:gridSpan w:val="31"/>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Derivative Financial Instruments and Risk Management</w:t>
              </w:r>
            </w:hyperlink>
          </w:p>
        </w:tc>
        <w:tc>
          <w:tcPr>
            <w:tcW w:w="1400" w:type="dxa"/>
            <w:vAlign w:val="bottom"/>
            <w:gridSpan w:val="4"/>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25</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7"/>
            <w:shd w:val="clear" w:color="auto" w:fill="0000FF"/>
          </w:tcPr>
          <w:p>
            <w:pPr>
              <w:spacing w:after="0" w:line="20" w:lineRule="exact"/>
              <w:rPr>
                <w:sz w:val="1"/>
                <w:szCs w:val="1"/>
                <w:color w:val="auto"/>
              </w:rPr>
            </w:pPr>
          </w:p>
        </w:tc>
        <w:tc>
          <w:tcPr>
            <w:tcW w:w="720" w:type="dxa"/>
            <w:vAlign w:val="bottom"/>
            <w:tcBorders>
              <w:left w:val="single" w:sz="8" w:color="0000FF"/>
            </w:tcBorders>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17.</w:t>
            </w:r>
          </w:p>
        </w:tc>
        <w:tc>
          <w:tcPr>
            <w:tcW w:w="4040" w:type="dxa"/>
            <w:vAlign w:val="bottom"/>
            <w:gridSpan w:val="3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Commitments and Contingencies</w:t>
              </w:r>
            </w:hyperlink>
          </w:p>
        </w:tc>
        <w:tc>
          <w:tcPr>
            <w:tcW w:w="1400" w:type="dxa"/>
            <w:vAlign w:val="bottom"/>
            <w:gridSpan w:val="4"/>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18.</w:t>
            </w:r>
          </w:p>
        </w:tc>
        <w:tc>
          <w:tcPr>
            <w:tcW w:w="240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Income Taxes</w:t>
              </w:r>
            </w:hyperlink>
          </w:p>
        </w:tc>
        <w:tc>
          <w:tcPr>
            <w:tcW w:w="3040" w:type="dxa"/>
            <w:vAlign w:val="bottom"/>
            <w:gridSpan w:val="17"/>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19.</w:t>
            </w:r>
          </w:p>
        </w:tc>
        <w:tc>
          <w:tcPr>
            <w:tcW w:w="5440" w:type="dxa"/>
            <w:vAlign w:val="bottom"/>
            <w:gridSpan w:val="35"/>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Restructuring and Other Initiatives</w:t>
              </w:r>
            </w:hyperlink>
          </w:p>
        </w:tc>
        <w:tc>
          <w:tcPr>
            <w:tcW w:w="386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20.</w:t>
            </w:r>
          </w:p>
        </w:tc>
        <w:tc>
          <w:tcPr>
            <w:tcW w:w="1500" w:type="dxa"/>
            <w:vAlign w:val="bottom"/>
            <w:gridSpan w:val="10"/>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Stockholders' Equity</w:t>
              </w:r>
            </w:hyperlink>
          </w:p>
        </w:tc>
        <w:tc>
          <w:tcPr>
            <w:tcW w:w="1000" w:type="dxa"/>
            <w:vAlign w:val="bottom"/>
            <w:gridSpan w:val="9"/>
          </w:tcPr>
          <w:p>
            <w:pPr>
              <w:spacing w:after="0"/>
              <w:rPr>
                <w:sz w:val="21"/>
                <w:szCs w:val="21"/>
                <w:color w:val="auto"/>
              </w:rPr>
            </w:pPr>
          </w:p>
        </w:tc>
        <w:tc>
          <w:tcPr>
            <w:tcW w:w="2940" w:type="dxa"/>
            <w:vAlign w:val="bottom"/>
            <w:gridSpan w:val="16"/>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21.</w:t>
            </w:r>
          </w:p>
        </w:tc>
        <w:tc>
          <w:tcPr>
            <w:tcW w:w="1500" w:type="dxa"/>
            <w:vAlign w:val="bottom"/>
            <w:gridSpan w:val="10"/>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Earnings Per Share</w:t>
              </w:r>
            </w:hyperlink>
          </w:p>
        </w:tc>
        <w:tc>
          <w:tcPr>
            <w:tcW w:w="3940" w:type="dxa"/>
            <w:vAlign w:val="bottom"/>
            <w:gridSpan w:val="25"/>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22.</w:t>
            </w:r>
          </w:p>
        </w:tc>
        <w:tc>
          <w:tcPr>
            <w:tcW w:w="5440" w:type="dxa"/>
            <w:vAlign w:val="bottom"/>
            <w:gridSpan w:val="35"/>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Stock Incentive Plans</w:t>
              </w:r>
            </w:hyperlink>
          </w:p>
        </w:tc>
        <w:tc>
          <w:tcPr>
            <w:tcW w:w="386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6"/>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23.</w:t>
            </w:r>
          </w:p>
        </w:tc>
        <w:tc>
          <w:tcPr>
            <w:tcW w:w="1400" w:type="dxa"/>
            <w:vAlign w:val="bottom"/>
            <w:gridSpan w:val="9"/>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Segment Reporting</w:t>
              </w:r>
            </w:hyperlink>
          </w:p>
        </w:tc>
        <w:tc>
          <w:tcPr>
            <w:tcW w:w="100" w:type="dxa"/>
            <w:vAlign w:val="bottom"/>
          </w:tcPr>
          <w:p>
            <w:pPr>
              <w:spacing w:after="0"/>
              <w:rPr>
                <w:sz w:val="21"/>
                <w:szCs w:val="21"/>
                <w:color w:val="auto"/>
              </w:rPr>
            </w:pPr>
          </w:p>
        </w:tc>
        <w:tc>
          <w:tcPr>
            <w:tcW w:w="3940" w:type="dxa"/>
            <w:vAlign w:val="bottom"/>
            <w:gridSpan w:val="25"/>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rPr>
              <w:t>Note 24.</w:t>
            </w:r>
          </w:p>
        </w:tc>
        <w:tc>
          <w:tcPr>
            <w:tcW w:w="1300" w:type="dxa"/>
            <w:vAlign w:val="bottom"/>
            <w:gridSpan w:val="7"/>
          </w:tcPr>
          <w:p>
            <w:pPr>
              <w:spacing w:after="0"/>
              <w:rPr>
                <w:rFonts w:ascii="Arial" w:cs="Arial" w:eastAsia="Arial" w:hAnsi="Arial"/>
                <w:sz w:val="18"/>
                <w:szCs w:val="18"/>
                <w:color w:val="0000FF"/>
                <w:w w:val="86"/>
              </w:rPr>
            </w:pPr>
            <w:hyperlink w:anchor="page42">
              <w:r>
                <w:rPr>
                  <w:rFonts w:ascii="Arial" w:cs="Arial" w:eastAsia="Arial" w:hAnsi="Arial"/>
                  <w:sz w:val="18"/>
                  <w:szCs w:val="18"/>
                  <w:color w:val="0000FF"/>
                  <w:w w:val="86"/>
                </w:rPr>
                <w:t>Subsequent Event</w:t>
              </w:r>
            </w:hyperlink>
          </w:p>
        </w:tc>
        <w:tc>
          <w:tcPr>
            <w:tcW w:w="100" w:type="dxa"/>
            <w:vAlign w:val="bottom"/>
            <w:gridSpan w:val="2"/>
          </w:tcPr>
          <w:p>
            <w:pPr>
              <w:spacing w:after="0"/>
              <w:rPr>
                <w:sz w:val="21"/>
                <w:szCs w:val="21"/>
                <w:color w:val="auto"/>
              </w:rPr>
            </w:pPr>
          </w:p>
        </w:tc>
        <w:tc>
          <w:tcPr>
            <w:tcW w:w="4040" w:type="dxa"/>
            <w:vAlign w:val="bottom"/>
            <w:gridSpan w:val="26"/>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39</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38"/>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Management’s Discussion and Analysis of Financial Condition and Results of Operations</w:t>
              </w:r>
            </w:hyperlink>
          </w:p>
        </w:tc>
        <w:tc>
          <w:tcPr>
            <w:tcW w:w="386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20" w:type="dxa"/>
            <w:vAlign w:val="bottom"/>
            <w:gridSpan w:val="13"/>
            <w:shd w:val="clear" w:color="auto" w:fill="0000FF"/>
          </w:tcPr>
          <w:p>
            <w:pPr>
              <w:spacing w:after="0" w:line="20" w:lineRule="exact"/>
              <w:rPr>
                <w:sz w:val="1"/>
                <w:szCs w:val="1"/>
                <w:color w:val="auto"/>
              </w:rPr>
            </w:pPr>
          </w:p>
        </w:tc>
        <w:tc>
          <w:tcPr>
            <w:tcW w:w="1160" w:type="dxa"/>
            <w:vAlign w:val="bottom"/>
            <w:gridSpan w:val="10"/>
            <w:shd w:val="clear" w:color="auto" w:fill="0000FF"/>
          </w:tcPr>
          <w:p>
            <w:pPr>
              <w:spacing w:after="0" w:line="20" w:lineRule="exact"/>
              <w:rPr>
                <w:sz w:val="1"/>
                <w:szCs w:val="1"/>
                <w:color w:val="auto"/>
              </w:rPr>
            </w:pPr>
          </w:p>
        </w:tc>
        <w:tc>
          <w:tcPr>
            <w:tcW w:w="1080" w:type="dxa"/>
            <w:vAlign w:val="bottom"/>
            <w:tcBorders>
              <w:left w:val="single" w:sz="8" w:color="0000FF"/>
            </w:tcBorders>
            <w:gridSpan w:val="6"/>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29"/>
          </w:tcPr>
          <w:p>
            <w:pPr>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Quantitative and Qualitative Disclosures About Market Risk</w:t>
              </w:r>
            </w:hyperlink>
          </w:p>
        </w:tc>
        <w:tc>
          <w:tcPr>
            <w:tcW w:w="2120" w:type="dxa"/>
            <w:vAlign w:val="bottom"/>
            <w:gridSpan w:val="9"/>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64</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20" w:type="dxa"/>
            <w:vAlign w:val="bottom"/>
            <w:gridSpan w:val="13"/>
            <w:shd w:val="clear" w:color="auto" w:fill="0000FF"/>
          </w:tcPr>
          <w:p>
            <w:pPr>
              <w:spacing w:after="0" w:line="20" w:lineRule="exact"/>
              <w:rPr>
                <w:sz w:val="1"/>
                <w:szCs w:val="1"/>
                <w:color w:val="auto"/>
              </w:rPr>
            </w:pPr>
          </w:p>
        </w:tc>
        <w:tc>
          <w:tcPr>
            <w:tcW w:w="1160" w:type="dxa"/>
            <w:vAlign w:val="bottom"/>
            <w:gridSpan w:val="10"/>
            <w:shd w:val="clear" w:color="auto" w:fill="0000FF"/>
          </w:tcPr>
          <w:p>
            <w:pPr>
              <w:spacing w:after="0" w:line="20" w:lineRule="exact"/>
              <w:rPr>
                <w:sz w:val="1"/>
                <w:szCs w:val="1"/>
                <w:color w:val="auto"/>
              </w:rPr>
            </w:pPr>
          </w:p>
        </w:tc>
        <w:tc>
          <w:tcPr>
            <w:tcW w:w="1080" w:type="dxa"/>
            <w:vAlign w:val="bottom"/>
            <w:tcBorders>
              <w:left w:val="single" w:sz="8" w:color="0000FF"/>
            </w:tcBorders>
            <w:gridSpan w:val="6"/>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29"/>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Controls and Procedures</w:t>
              </w:r>
            </w:hyperlink>
          </w:p>
        </w:tc>
        <w:tc>
          <w:tcPr>
            <w:tcW w:w="2120" w:type="dxa"/>
            <w:vAlign w:val="bottom"/>
            <w:gridSpan w:val="9"/>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64</w:t>
              </w:r>
            </w:hyperlink>
          </w:p>
        </w:tc>
      </w:tr>
      <w:tr>
        <w:trPr>
          <w:trHeight w:val="250"/>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gridSpan w:val="20"/>
          </w:tcPr>
          <w:p>
            <w:pPr>
              <w:jc w:val="center"/>
              <w:ind w:right="940"/>
              <w:spacing w:after="0"/>
              <w:rPr>
                <w:rFonts w:ascii="Arial" w:cs="Arial" w:eastAsia="Arial" w:hAnsi="Arial"/>
                <w:sz w:val="18"/>
                <w:szCs w:val="18"/>
                <w:b w:val="1"/>
                <w:bCs w:val="1"/>
                <w:color w:val="0000FF"/>
                <w:w w:val="96"/>
              </w:rPr>
            </w:pPr>
            <w:hyperlink w:anchor="page69">
              <w:r>
                <w:rPr>
                  <w:rFonts w:ascii="Arial" w:cs="Arial" w:eastAsia="Arial" w:hAnsi="Arial"/>
                  <w:sz w:val="18"/>
                  <w:szCs w:val="18"/>
                  <w:b w:val="1"/>
                  <w:bCs w:val="1"/>
                  <w:color w:val="0000FF"/>
                  <w:w w:val="96"/>
                </w:rPr>
                <w:t>PART II - Other Information</w:t>
              </w:r>
            </w:hyperlink>
          </w:p>
        </w:tc>
        <w:tc>
          <w:tcPr>
            <w:tcW w:w="36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180" w:type="dxa"/>
            <w:vAlign w:val="bottom"/>
            <w:gridSpan w:val="19"/>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Legal Proceedings</w:t>
              </w:r>
            </w:hyperlink>
          </w:p>
        </w:tc>
        <w:tc>
          <w:tcPr>
            <w:tcW w:w="2240" w:type="dxa"/>
            <w:vAlign w:val="bottom"/>
            <w:tcBorders>
              <w:top w:val="single" w:sz="8" w:color="0000FF"/>
            </w:tcBorders>
            <w:gridSpan w:val="16"/>
          </w:tcPr>
          <w:p>
            <w:pPr>
              <w:spacing w:after="0"/>
              <w:rPr>
                <w:sz w:val="21"/>
                <w:szCs w:val="21"/>
                <w:color w:val="auto"/>
              </w:rPr>
            </w:pPr>
          </w:p>
        </w:tc>
        <w:tc>
          <w:tcPr>
            <w:tcW w:w="1040" w:type="dxa"/>
            <w:vAlign w:val="bottom"/>
            <w:gridSpan w:val="3"/>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70">
              <w:r>
                <w:rPr>
                  <w:rFonts w:ascii="Arial" w:cs="Arial" w:eastAsia="Arial" w:hAnsi="Arial"/>
                  <w:sz w:val="18"/>
                  <w:szCs w:val="18"/>
                  <w:color w:val="0000FF"/>
                  <w:w w:val="87"/>
                </w:rPr>
                <w:t>Risk Factors</w:t>
              </w:r>
            </w:hyperlink>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27"/>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38"/>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Unregistered Sales of Equity Securities and Use of Proceeds</w:t>
              </w:r>
            </w:hyperlink>
          </w:p>
        </w:tc>
        <w:tc>
          <w:tcPr>
            <w:tcW w:w="386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Exhibits</w:t>
              </w:r>
            </w:hyperlink>
          </w:p>
        </w:tc>
        <w:tc>
          <w:tcPr>
            <w:tcW w:w="4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66</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Signature</w:t>
              </w:r>
            </w:hyperlink>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68</w:t>
              </w:r>
            </w:hyperlink>
          </w:p>
        </w:tc>
      </w:tr>
      <w:tr>
        <w:trPr>
          <w:trHeight w:val="20"/>
        </w:trPr>
        <w:tc>
          <w:tcPr>
            <w:tcW w:w="6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60"/>
          </w:cols>
          <w:pgMar w:left="280" w:top="12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Automotive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36,344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37,328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37,759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Automotive cost of sales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32,910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 operating and 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automotive expenses,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Goodwill impairment charges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36,763</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Income before income taxes and equity income</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income, net of tax</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2013</w:t>
            </w:r>
          </w:p>
        </w:tc>
        <w:tc>
          <w:tcPr>
            <w:tcW w:w="240" w:type="dxa"/>
            <w:vAlign w:val="bottom"/>
          </w:tcPr>
          <w:p>
            <w:pPr>
              <w:spacing w:after="0"/>
              <w:rPr>
                <w:sz w:val="22"/>
                <w:szCs w:val="22"/>
                <w:color w:val="auto"/>
              </w:rPr>
            </w:pPr>
          </w:p>
        </w:tc>
        <w:tc>
          <w:tcPr>
            <w:tcW w:w="146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net of tax</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Unrealized losses on securities,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4" w:name="page5"/>
    <w:bookmarkEnd w:id="4"/>
    <w:p>
      <w:pPr>
        <w:spacing w:after="0" w:line="16"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7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left="3480"/>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ind w:left="34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and notes receivable (net of allowance of $312 and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finance receivables, net (including gross consumer finance receivables transferred to SPEs of $4,512 and $3,444)</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finance receivables, net (including gross consumer finance receivables transferred to SPEs of $7,131 and $6,458)</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Equity in net assets of nonconsolidated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Intangible assets,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equipment on operating leases, net (including assets transferred to SPEs of $2,047 and $540)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01"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 (principally trade)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Short-term debt and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 (including certain debt at VIEs of $273 and $228; Note 11)</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 (including certain debt at VIEs of $116 and $122; Note 11)</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 and 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Preferred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Series A</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Series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Common stock, $0.01 par value</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Capital surplus (principally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47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732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40" w:type="dxa"/>
            <w:vAlign w:val="bottom"/>
          </w:tcPr>
          <w:p>
            <w:pPr>
              <w:spacing w:after="0"/>
              <w:rPr>
                <w:sz w:val="12"/>
                <w:szCs w:val="12"/>
                <w:color w:val="auto"/>
              </w:rPr>
            </w:pPr>
          </w:p>
        </w:tc>
        <w:tc>
          <w:tcPr>
            <w:tcW w:w="1380" w:type="dxa"/>
            <w:vAlign w:val="bottom"/>
            <w:gridSpan w:val="2"/>
          </w:tcPr>
          <w:p>
            <w:pPr>
              <w:ind w:left="160"/>
              <w:spacing w:after="0"/>
              <w:rPr>
                <w:sz w:val="20"/>
                <w:szCs w:val="20"/>
                <w:color w:val="auto"/>
              </w:rPr>
            </w:pPr>
            <w:r>
              <w:rPr>
                <w:rFonts w:ascii="Arial" w:cs="Arial" w:eastAsia="Arial" w:hAnsi="Arial"/>
                <w:sz w:val="11"/>
                <w:szCs w:val="11"/>
                <w:b w:val="1"/>
                <w:bCs w:val="1"/>
                <w:color w:val="auto"/>
              </w:rPr>
              <w:t>March 31, 2013</w:t>
            </w:r>
          </w:p>
        </w:tc>
        <w:tc>
          <w:tcPr>
            <w:tcW w:w="200" w:type="dxa"/>
            <w:vAlign w:val="bottom"/>
          </w:tcPr>
          <w:p>
            <w:pPr>
              <w:spacing w:after="0"/>
              <w:rPr>
                <w:sz w:val="12"/>
                <w:szCs w:val="12"/>
                <w:color w:val="auto"/>
              </w:rPr>
            </w:pPr>
          </w:p>
        </w:tc>
        <w:tc>
          <w:tcPr>
            <w:tcW w:w="1260" w:type="dxa"/>
            <w:vAlign w:val="bottom"/>
          </w:tcPr>
          <w:p>
            <w:pPr>
              <w:jc w:val="right"/>
              <w:ind w:right="237"/>
              <w:spacing w:after="0"/>
              <w:rPr>
                <w:sz w:val="20"/>
                <w:szCs w:val="20"/>
                <w:color w:val="auto"/>
              </w:rPr>
            </w:pPr>
            <w:r>
              <w:rPr>
                <w:rFonts w:ascii="Arial" w:cs="Arial" w:eastAsia="Arial" w:hAnsi="Arial"/>
                <w:sz w:val="11"/>
                <w:szCs w:val="11"/>
                <w:b w:val="1"/>
                <w:bCs w:val="1"/>
                <w:color w:val="auto"/>
                <w:w w:val="94"/>
              </w:rPr>
              <w:t>December 31, 2012</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88"/>
        </w:trPr>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20,643</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18,422</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6,560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8,988</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713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686</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12,559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10,395</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4,286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4,044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15,200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14,714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1,730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1,782</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9,336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9,429</w:t>
            </w:r>
          </w:p>
        </w:tc>
      </w:tr>
      <w:tr>
        <w:trPr>
          <w:trHeight w:val="280"/>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1,543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1,536</w:t>
            </w:r>
          </w:p>
        </w:tc>
      </w:tr>
      <w:tr>
        <w:trPr>
          <w:trHeight w:val="241"/>
        </w:trPr>
        <w:tc>
          <w:tcPr>
            <w:tcW w:w="240" w:type="dxa"/>
            <w:vAlign w:val="bottom"/>
          </w:tcPr>
          <w:p>
            <w:pPr>
              <w:spacing w:after="0"/>
              <w:rPr>
                <w:sz w:val="20"/>
                <w:szCs w:val="20"/>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72,570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69,996</w:t>
            </w:r>
          </w:p>
        </w:tc>
      </w:tr>
      <w:tr>
        <w:trPr>
          <w:trHeight w:val="540"/>
        </w:trPr>
        <w:tc>
          <w:tcPr>
            <w:tcW w:w="240" w:type="dxa"/>
            <w:vAlign w:val="bottom"/>
          </w:tcPr>
          <w:p>
            <w:pPr>
              <w:spacing w:after="0"/>
              <w:rPr>
                <w:sz w:val="24"/>
                <w:szCs w:val="24"/>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623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682</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7,169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6,954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7,470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6,883</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24,893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24,196</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1,968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1,973</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6,997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6,809</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2,039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1,649</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27,669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27,922</w:t>
            </w:r>
          </w:p>
        </w:tc>
      </w:tr>
      <w:tr>
        <w:trPr>
          <w:trHeight w:val="280"/>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2,377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2,358</w:t>
            </w:r>
          </w:p>
        </w:tc>
      </w:tr>
      <w:tr>
        <w:trPr>
          <w:trHeight w:val="250"/>
        </w:trPr>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81,205</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79,426</w:t>
            </w:r>
          </w:p>
        </w:tc>
      </w:tr>
      <w:tr>
        <w:trPr>
          <w:trHeight w:val="237"/>
        </w:trPr>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153,775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149,422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81"/>
        </w:trPr>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27,117</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25,166</w:t>
            </w:r>
          </w:p>
        </w:tc>
      </w:tr>
      <w:tr>
        <w:trPr>
          <w:trHeight w:val="540"/>
        </w:trPr>
        <w:tc>
          <w:tcPr>
            <w:tcW w:w="240" w:type="dxa"/>
            <w:vAlign w:val="bottom"/>
          </w:tcPr>
          <w:p>
            <w:pPr>
              <w:spacing w:after="0"/>
              <w:rPr>
                <w:sz w:val="24"/>
                <w:szCs w:val="24"/>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1,756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1,748</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5,216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3,770</w:t>
            </w:r>
          </w:p>
        </w:tc>
      </w:tr>
      <w:tr>
        <w:trPr>
          <w:trHeight w:val="280"/>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22,450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23,308</w:t>
            </w:r>
          </w:p>
        </w:tc>
      </w:tr>
      <w:tr>
        <w:trPr>
          <w:trHeight w:val="241"/>
        </w:trPr>
        <w:tc>
          <w:tcPr>
            <w:tcW w:w="240" w:type="dxa"/>
            <w:vAlign w:val="bottom"/>
          </w:tcPr>
          <w:p>
            <w:pPr>
              <w:spacing w:after="0"/>
              <w:rPr>
                <w:sz w:val="20"/>
                <w:szCs w:val="20"/>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56,539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53,992</w:t>
            </w:r>
          </w:p>
        </w:tc>
      </w:tr>
      <w:tr>
        <w:trPr>
          <w:trHeight w:val="810"/>
        </w:trPr>
        <w:tc>
          <w:tcPr>
            <w:tcW w:w="240" w:type="dxa"/>
            <w:vAlign w:val="bottom"/>
          </w:tcPr>
          <w:p>
            <w:pPr>
              <w:spacing w:after="0"/>
              <w:rPr>
                <w:sz w:val="24"/>
                <w:szCs w:val="24"/>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3,419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3,424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8,033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7,108</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7,246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7,309</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26,775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27,420</w:t>
            </w:r>
          </w:p>
        </w:tc>
      </w:tr>
      <w:tr>
        <w:trPr>
          <w:trHeight w:val="280"/>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13,428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13,169</w:t>
            </w:r>
          </w:p>
        </w:tc>
      </w:tr>
      <w:tr>
        <w:trPr>
          <w:trHeight w:val="250"/>
        </w:trPr>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58,901</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58,430</w:t>
            </w:r>
          </w:p>
        </w:tc>
      </w:tr>
      <w:tr>
        <w:trPr>
          <w:trHeight w:val="241"/>
        </w:trPr>
        <w:tc>
          <w:tcPr>
            <w:tcW w:w="240" w:type="dxa"/>
            <w:vAlign w:val="bottom"/>
          </w:tcPr>
          <w:p>
            <w:pPr>
              <w:spacing w:after="0"/>
              <w:rPr>
                <w:sz w:val="20"/>
                <w:szCs w:val="20"/>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115,440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112,422</w:t>
            </w:r>
          </w:p>
        </w:tc>
      </w:tr>
      <w:tr>
        <w:trPr>
          <w:trHeight w:val="1080"/>
        </w:trPr>
        <w:tc>
          <w:tcPr>
            <w:tcW w:w="240" w:type="dxa"/>
            <w:vAlign w:val="bottom"/>
          </w:tcPr>
          <w:p>
            <w:pPr>
              <w:spacing w:after="0"/>
              <w:rPr>
                <w:sz w:val="24"/>
                <w:szCs w:val="24"/>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5,536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5,536</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4,855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4,855</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23,776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23,834</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11,017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10,057</w:t>
            </w:r>
          </w:p>
        </w:tc>
      </w:tr>
      <w:tr>
        <w:trPr>
          <w:trHeight w:val="280"/>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(7,611)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(8,052)</w:t>
            </w:r>
          </w:p>
        </w:tc>
      </w:tr>
      <w:tr>
        <w:trPr>
          <w:trHeight w:val="241"/>
        </w:trPr>
        <w:tc>
          <w:tcPr>
            <w:tcW w:w="240" w:type="dxa"/>
            <w:vAlign w:val="bottom"/>
          </w:tcPr>
          <w:p>
            <w:pPr>
              <w:spacing w:after="0"/>
              <w:rPr>
                <w:sz w:val="20"/>
                <w:szCs w:val="20"/>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37,587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36,244</w:t>
            </w:r>
          </w:p>
        </w:tc>
      </w:tr>
      <w:tr>
        <w:trPr>
          <w:trHeight w:val="280"/>
        </w:trPr>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748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756</w:t>
            </w:r>
          </w:p>
        </w:tc>
      </w:tr>
      <w:tr>
        <w:trPr>
          <w:trHeight w:val="173"/>
        </w:trPr>
        <w:tc>
          <w:tcPr>
            <w:tcW w:w="240" w:type="dxa"/>
            <w:vAlign w:val="bottom"/>
          </w:tcPr>
          <w:p>
            <w:pPr>
              <w:spacing w:after="0"/>
              <w:rPr>
                <w:sz w:val="15"/>
                <w:szCs w:val="15"/>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38,335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37,000</w:t>
            </w:r>
          </w:p>
        </w:tc>
      </w:tr>
    </w:tbl>
    <w:p>
      <w:pPr>
        <w:sectPr>
          <w:pgSz w:w="11900" w:h="16854" w:orient="portrait"/>
          <w:cols w:equalWidth="0" w:num="2">
            <w:col w:w="7940" w:space="400"/>
            <w:col w:w="3080"/>
          </w:cols>
          <w:pgMar w:left="240" w:top="341" w:right="239" w:bottom="0" w:gutter="0" w:footer="0" w:header="0"/>
        </w:sectPr>
      </w:pPr>
    </w:p>
    <w:bookmarkStart w:id="5" w:name="page6"/>
    <w:bookmarkEnd w:id="5"/>
    <w:p>
      <w:pPr>
        <w:spacing w:after="0"/>
        <w:tabs>
          <w:tab w:leader="none" w:pos="8300" w:val="left"/>
          <w:tab w:leader="none" w:pos="9240" w:val="left"/>
          <w:tab w:leader="none" w:pos="9920" w:val="left"/>
          <w:tab w:leader="none" w:pos="10840" w:val="left"/>
        </w:tabs>
        <w:rPr>
          <w:sz w:val="20"/>
          <w:szCs w:val="20"/>
          <w:color w:val="auto"/>
        </w:rPr>
      </w:pPr>
      <w:r>
        <w:rPr>
          <w:rFonts w:ascii="Arial" w:cs="Arial" w:eastAsia="Arial" w:hAnsi="Arial"/>
          <w:sz w:val="13"/>
          <w:szCs w:val="13"/>
          <w:b w:val="1"/>
          <w:bCs w:val="1"/>
          <w:color w:val="auto"/>
        </w:rPr>
        <w:t>Total Liabilities and Equity</w:t>
      </w:r>
      <w:r>
        <w:rPr>
          <w:sz w:val="20"/>
          <w:szCs w:val="20"/>
          <w:color w:val="auto"/>
        </w:rPr>
        <w:tab/>
      </w:r>
      <w:r>
        <w:rPr>
          <w:rFonts w:ascii="Arial" w:cs="Arial" w:eastAsia="Arial" w:hAnsi="Arial"/>
          <w:sz w:val="25"/>
          <w:szCs w:val="25"/>
          <w:color w:val="auto"/>
          <w:vertAlign w:val="subscript"/>
        </w:rPr>
        <w:t>$</w:t>
      </w:r>
      <w:r>
        <w:rPr>
          <w:sz w:val="20"/>
          <w:szCs w:val="20"/>
          <w:color w:val="auto"/>
        </w:rPr>
        <w:tab/>
      </w:r>
      <w:r>
        <w:rPr>
          <w:rFonts w:ascii="Arial" w:cs="Arial" w:eastAsia="Arial" w:hAnsi="Arial"/>
          <w:sz w:val="25"/>
          <w:szCs w:val="25"/>
          <w:color w:val="auto"/>
          <w:vertAlign w:val="subscript"/>
        </w:rPr>
        <w:t>153,775</w:t>
      </w:r>
      <w:r>
        <w:rPr>
          <w:rFonts w:ascii="Arial" w:cs="Arial" w:eastAsia="Arial" w:hAnsi="Arial"/>
          <w:sz w:val="25"/>
          <w:szCs w:val="25"/>
          <w:color w:val="auto"/>
        </w:rPr>
        <w:tab/>
      </w:r>
      <w:r>
        <w:rPr>
          <w:rFonts w:ascii="Arial" w:cs="Arial" w:eastAsia="Arial" w:hAnsi="Arial"/>
          <w:sz w:val="25"/>
          <w:szCs w:val="25"/>
          <w:color w:val="auto"/>
          <w:vertAlign w:val="subscript"/>
        </w:rPr>
        <w:t>$</w:t>
      </w:r>
      <w:r>
        <w:rPr>
          <w:sz w:val="20"/>
          <w:szCs w:val="20"/>
          <w:color w:val="auto"/>
        </w:rPr>
        <w:tab/>
      </w:r>
      <w:r>
        <w:rPr>
          <w:rFonts w:ascii="Arial" w:cs="Arial" w:eastAsia="Arial" w:hAnsi="Arial"/>
          <w:sz w:val="17"/>
          <w:szCs w:val="17"/>
          <w:color w:val="auto"/>
          <w:vertAlign w:val="subscript"/>
        </w:rPr>
        <w:t>149,422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-142875</wp:posOffset>
            </wp:positionV>
            <wp:extent cx="72466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ectPr>
          <w:pgSz w:w="11900" w:h="16838" w:orient="portrait"/>
          <w:cols w:equalWidth="0" w:num="1">
            <w:col w:w="11280"/>
          </w:cols>
          <w:pgMar w:left="280" w:top="78" w:right="339" w:bottom="1440" w:gutter="0" w:footer="0" w:header="0"/>
        </w:sect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Reference should be made to the notes to condensed consolidated financial statements.</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80" w:top="78"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Series A</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Series B</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1"/>
              </w:rPr>
              <w:t>Common Stockholders’</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53"/>
        </w:trPr>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Preferred</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3"/>
                <w:szCs w:val="13"/>
                <w:color w:val="auto"/>
              </w:rPr>
            </w:pPr>
          </w:p>
        </w:tc>
        <w:tc>
          <w:tcPr>
            <w:tcW w:w="84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3"/>
                <w:szCs w:val="13"/>
                <w:color w:val="auto"/>
              </w:rPr>
            </w:pPr>
          </w:p>
        </w:tc>
        <w:tc>
          <w:tcPr>
            <w:tcW w:w="8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7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Retained</w:t>
            </w:r>
          </w:p>
        </w:tc>
        <w:tc>
          <w:tcPr>
            <w:tcW w:w="14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3"/>
                <w:szCs w:val="13"/>
                <w:color w:val="auto"/>
              </w:rPr>
            </w:pPr>
          </w:p>
        </w:tc>
        <w:tc>
          <w:tcPr>
            <w:tcW w:w="800" w:type="dxa"/>
            <w:vAlign w:val="bottom"/>
          </w:tcPr>
          <w:p>
            <w:pPr>
              <w:jc w:val="right"/>
              <w:ind w:right="260"/>
              <w:spacing w:after="0" w:line="153" w:lineRule="exact"/>
              <w:rPr>
                <w:sz w:val="20"/>
                <w:szCs w:val="20"/>
                <w:color w:val="auto"/>
              </w:rPr>
            </w:pPr>
            <w:r>
              <w:rPr>
                <w:rFonts w:ascii="Arial" w:cs="Arial" w:eastAsia="Arial" w:hAnsi="Arial"/>
                <w:sz w:val="14"/>
                <w:szCs w:val="14"/>
                <w:b w:val="1"/>
                <w:bCs w:val="1"/>
                <w:color w:val="auto"/>
              </w:rPr>
              <w:t>Total</w:t>
            </w:r>
          </w:p>
        </w:tc>
      </w:tr>
      <w:tr>
        <w:trPr>
          <w:trHeight w:val="192"/>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Surplus</w:t>
            </w:r>
          </w:p>
        </w:tc>
        <w:tc>
          <w:tcPr>
            <w:tcW w:w="1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6"/>
                <w:szCs w:val="16"/>
                <w:color w:val="auto"/>
              </w:rPr>
            </w:pPr>
          </w:p>
        </w:tc>
        <w:tc>
          <w:tcPr>
            <w:tcW w:w="800" w:type="dxa"/>
            <w:vAlign w:val="bottom"/>
          </w:tcPr>
          <w:p>
            <w:pPr>
              <w:jc w:val="right"/>
              <w:ind w:right="220"/>
              <w:spacing w:after="0"/>
              <w:rPr>
                <w:sz w:val="20"/>
                <w:szCs w:val="20"/>
                <w:color w:val="auto"/>
              </w:rPr>
            </w:pPr>
            <w:r>
              <w:rPr>
                <w:rFonts w:ascii="Arial" w:cs="Arial" w:eastAsia="Arial" w:hAnsi="Arial"/>
                <w:sz w:val="14"/>
                <w:szCs w:val="14"/>
                <w:b w:val="1"/>
                <w:bCs w:val="1"/>
                <w:color w:val="auto"/>
              </w:rPr>
              <w:t>Equity</w:t>
            </w:r>
          </w:p>
        </w:tc>
      </w:tr>
      <w:tr>
        <w:trPr>
          <w:trHeight w:val="236"/>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38,991</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1,315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1,350</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Cash dividends paid on Series A</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rPr>
              <w:t>Preferred Stock and cumulative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rPr>
              <w:t>dividends on Series B Preferred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or paid to</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40,140</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37,000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1,175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1,185</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Exercise of common stock warrants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Cash dividends paid on Series A</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rPr>
              <w:t>Preferred Stock and cumulative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rPr>
              <w:t>dividends on Series B Preferred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or paid to</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38,335</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22"/>
                <w:szCs w:val="22"/>
                <w:color w:val="auto"/>
              </w:rPr>
            </w:pPr>
          </w:p>
        </w:tc>
        <w:tc>
          <w:tcPr>
            <w:tcW w:w="1380" w:type="dxa"/>
            <w:vAlign w:val="bottom"/>
          </w:tcPr>
          <w:p>
            <w:pPr>
              <w:jc w:val="right"/>
              <w:ind w:right="248"/>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7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Expenditures for property</w:t>
            </w:r>
          </w:p>
        </w:tc>
        <w:tc>
          <w:tcPr>
            <w:tcW w:w="20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acquisitions</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acquisitions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Available-for-sale marketable securities, liquidations</w:t>
            </w:r>
          </w:p>
        </w:tc>
        <w:tc>
          <w:tcPr>
            <w:tcW w:w="20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985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4,027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marketable securities, liquidations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1,694</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Acquisition of companies, net of cash acquired</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business units/investments, net of cash disposed</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Increase in restricted cash and marketable securities</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Decrease in restricted cash and marketable securities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Purchases and funding of finance receivables</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(2,374)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collections and recoveries on finance receivables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Purchases of leased vehicles, net</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termination of leased vehicles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Other investing activities</w:t>
            </w:r>
          </w:p>
        </w:tc>
        <w:tc>
          <w:tcPr>
            <w:tcW w:w="20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increase (decrease) in short-term debt</w:t>
            </w:r>
          </w:p>
        </w:tc>
        <w:tc>
          <w:tcPr>
            <w:tcW w:w="20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Proceeds from issuance of debt (original maturities greater than three months)</w:t>
            </w:r>
          </w:p>
        </w:tc>
        <w:tc>
          <w:tcPr>
            <w:tcW w:w="20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3,542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on debt (original maturities greater than three months)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200" w:type="dxa"/>
            <w:vAlign w:val="bottom"/>
          </w:tcPr>
          <w:p>
            <w:pPr>
              <w:spacing w:after="0"/>
              <w:rPr>
                <w:sz w:val="16"/>
                <w:szCs w:val="16"/>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activities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00" w:type="dxa"/>
            <w:vAlign w:val="bottom"/>
          </w:tcPr>
          <w:p>
            <w:pPr>
              <w:spacing w:after="0"/>
              <w:rPr>
                <w:sz w:val="14"/>
                <w:szCs w:val="14"/>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2,167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180"/>
              <w:spacing w:after="0"/>
              <w:rPr>
                <w:sz w:val="20"/>
                <w:szCs w:val="20"/>
                <w:color w:val="auto"/>
              </w:rPr>
            </w:pPr>
            <w:r>
              <w:rPr>
                <w:rFonts w:ascii="Arial" w:cs="Arial" w:eastAsia="Arial" w:hAnsi="Arial"/>
                <w:sz w:val="14"/>
                <w:szCs w:val="14"/>
                <w:color w:val="auto"/>
              </w:rPr>
              <w:t>Net increase in cash and cash equivalents</w:t>
            </w:r>
          </w:p>
        </w:tc>
        <w:tc>
          <w:tcPr>
            <w:tcW w:w="200" w:type="dxa"/>
            <w:vAlign w:val="bottom"/>
          </w:tcPr>
          <w:p>
            <w:pPr>
              <w:spacing w:after="0"/>
              <w:rPr>
                <w:sz w:val="14"/>
                <w:szCs w:val="14"/>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2,221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18,422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16,071</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20,643</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17,378</w:t>
            </w:r>
          </w:p>
        </w:tc>
        <w:tc>
          <w:tcPr>
            <w:tcW w:w="0" w:type="dxa"/>
            <w:vAlign w:val="bottom"/>
          </w:tcPr>
          <w:p>
            <w:pPr>
              <w:spacing w:after="0"/>
              <w:rPr>
                <w:sz w:val="1"/>
                <w:szCs w:val="1"/>
                <w:color w:val="auto"/>
              </w:rPr>
            </w:pPr>
          </w:p>
        </w:tc>
      </w:tr>
      <w:tr>
        <w:trPr>
          <w:trHeight w:val="65"/>
        </w:trPr>
        <w:tc>
          <w:tcPr>
            <w:tcW w:w="812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 Old GM was renamed Motors Liquidation Company (MLC), which was dissolved on December 15, 2011 and transferred its remaining assets and liabilities to the Motors Liquidation Company GUC Trust (GUC Trust).</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Recent Accounting Standards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composed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2012 as filed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amounts of assets and liabilities at the reporting date and the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Venezuelan subsidiaries utilize the U.S. Dollar as their functional currency because of the hyperinflationary status of the Venezuelan economy. The Venezuelan government has foreign exchange control regulations which make it more difficult to convert Bolivar Fuerte (BsF) to U.S. Dollars. These regulations affect our Venezuelan subsidiaries' ability to pay non-BsF denominated obligations that do not qualify to be processed by the Venezuela currency exchange agency at the official exchange rates.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aggregate net assets denominated in BsF at March 31, 2013 and December 31, 2012 were $713 million and $940 million which included monetary assets of $1.3 billion and $1.6 billion and monetary liabilities of $0.9 billion and $1.1 billion. At March 31, 2013 and December 31, 2012 other consolidated entities have receivables from our Venezuelan subsidiaries denominated in other currencies of $299 million and $224 million. The total amounts pending government approval for settlement at March 31, 2013 and December 31, 2012 were BsF 3.3 billion (equivalent to $555 million) and BsF 2.2 billion (equivalent to $523 million), for which some requests have been pending from 2007.</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February 2013 the Venezuelan government announced that the official fixed exchange rate of BsF 4.3 to $1.00 changed to BsF 6.3 to $1.00 effective February 13, 2013. The devaluation required remeasurement of our Venezuelan subsidiaries' non-U.S. dollar denominated monetary assets and liabilities. The remeasurement resulted in a charge of $162 million in the three months ended March 31, 2013.</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believe it is possible that the Venezuelan government may further devalue the BsF against the U.S. dollar in the future. If the BsF were devalued further, it would result in a charge to our income statement in the period of devaluation. Based on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March 31, 2013 net monetary assets, a further devaluation of the BsF by 1 BsF to $1.00 would result in a charge of approximately $50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Non-Cash Activity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Cash Flows</w:t>
      </w:r>
    </w:p>
    <w:p>
      <w:pPr>
        <w:spacing w:after="0" w:line="225"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The following table summarizes the amounts of property additions which have been accrued during the period but not paid for and are therefore excluded from Expenditures for property within the investing activities section of the condensed consolidated statements of cash flows (dollars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31, 2012</w:t>
            </w: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property additions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1,673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1,927</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2013, we adopted Accounting Standards Update (ASU) 2013-02, “Reporting of Amounts Reclassified Out of Accumulated Other Comprehensive Income." This ASU does not change current requirements for reporting net income or other comprehensive income (OCI) in financial statements; rather, it requires certain disclosures of the amount of reclassifications of items from OCI to net income by component. The related disclosures are presented in Note 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of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SAIC GM Investment Limited</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2012 we obtained control of SAIC GM Investment Limited, the holding company of General Motors India Private Limited and Chevrolet Sales India Private Limited (collectively HKJV) through a series of transactions that resulted in us owning a 90.8% interest and we consolidated HKJV effective September 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GMAC South America LLC</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March 2012 we acquired from Ally Financial for cash of $29 million 100% of the outstanding equity interests of GMAC South America LLC whose only asset is GMAC de Venezuela CA (GMAC Venezuela) comprising the business and operations of Ally Financial in Venezuela. This acquisition provides us with a captive finance offering in Venezuela which we believe is important in maintaining market position and will provide continued sources of financing for our Venezuela dealers and customers. We recorded the fair value of the assets acquired and liabilities assumed as of March 1, 2012, the date we obtained control, and have included GMAC Venezuela's results of operations and cash flows from that date forward.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measure the fair value of our marketable securities using a market approach where identical or comparable prices are available and an income approach in other cases. We obtain the majority of the prices used in this valuation from a pricing service. Our pricing service utilizes industry standard pricing models that consider various inputs, including benchmark yields, reported trades, broker/dealer quotes, issuer spreads and benchmark securities as well as other relevant economic measures. We conduct an annual review of valuations provided by our pricing service, which includes discussion and analysis of the inputs used by the pricing service to provide prices for the types of securities we hold. These inputs include prices for comparable securities, bid/ask quotes, interest rate yields and prepayment spreads. Based on our review we believe the prices received from our pricing service are a reliable representation of exit prices. We measure the fair value of our investment in Peugeot S.A. (PSA) common stock using the published stock price. At March 31, 2013 the fair value of our investment in PSA exceeded the carrying amount.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Korea Company Preferred Shares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2012 we entered into a transaction to acquire security interests in certain mandatorily redeemable preferred shares issued by GM Korea Company (GM Korea) for $293 million. The transaction did not meet the criteria for an extinguishment of the liability. Subsequently, GM Korea partially redeemed the mandatorily redeemable preferred shares resulting in 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extinguishment of the liability and redemption of a portion of the security interests. The remaining unredeemed interests are classified as available-for-sale corporate debt securities and had a fair value of $178 million and $177 million at March 31, 2013 and December 31, 2012.</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2013 GM Korea redeemed early the remaining balance of GM Korea's mandatorily redeemable preferred shares resulting in an extinguishment of the liability and redemption of the majority of our remaining security interests. For additional information on the early redemption of GM Korea's mandatorily redeemable preferred shares refer to Note 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regarding marketable securities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Unrealized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4"/>
          </w:tcPr>
          <w:p>
            <w:pPr>
              <w:jc w:val="right"/>
              <w:ind w:right="31"/>
              <w:spacing w:after="0" w:line="153" w:lineRule="exact"/>
              <w:rPr>
                <w:sz w:val="20"/>
                <w:szCs w:val="20"/>
                <w:color w:val="auto"/>
              </w:rPr>
            </w:pPr>
            <w:r>
              <w:rPr>
                <w:rFonts w:ascii="Arial" w:cs="Arial" w:eastAsia="Arial" w:hAnsi="Arial"/>
                <w:sz w:val="14"/>
                <w:szCs w:val="14"/>
                <w:b w:val="1"/>
                <w:bCs w:val="1"/>
                <w:color w:val="auto"/>
                <w:w w:val="93"/>
              </w:rPr>
              <w:t>Fair Value Measurements on a</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Recurring Basis</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22"/>
                <w:szCs w:val="22"/>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22"/>
                <w:szCs w:val="22"/>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 classified as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time deposits and other cash equivalents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10,908</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Marketable securities - current</w:t>
            </w: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1,048</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debt(a)</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trading securities</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marketable securities - current</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 -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marketable securities - non-current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940</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marketable securities classified as restricted cash and</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42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420" w:type="dxa"/>
            <w:vAlign w:val="bottom"/>
            <w:gridSpan w:val="3"/>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1,133</w:t>
            </w:r>
          </w:p>
        </w:tc>
        <w:tc>
          <w:tcPr>
            <w:tcW w:w="240" w:type="dxa"/>
            <w:vAlign w:val="bottom"/>
            <w:gridSpan w:val="2"/>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Restricted cash, time deposits, and other restricted cash</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79"/>
              </w:rPr>
              <w:t>9</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Unrealized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4"/>
          </w:tcPr>
          <w:p>
            <w:pPr>
              <w:jc w:val="right"/>
              <w:ind w:right="31"/>
              <w:spacing w:after="0" w:line="153" w:lineRule="exact"/>
              <w:rPr>
                <w:sz w:val="20"/>
                <w:szCs w:val="20"/>
                <w:color w:val="auto"/>
              </w:rPr>
            </w:pPr>
            <w:r>
              <w:rPr>
                <w:rFonts w:ascii="Arial" w:cs="Arial" w:eastAsia="Arial" w:hAnsi="Arial"/>
                <w:sz w:val="14"/>
                <w:szCs w:val="14"/>
                <w:b w:val="1"/>
                <w:bCs w:val="1"/>
                <w:color w:val="auto"/>
                <w:w w:val="93"/>
              </w:rPr>
              <w:t>Fair Value Measurements on a</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Recurring Basis</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22"/>
                <w:szCs w:val="22"/>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22"/>
                <w:szCs w:val="22"/>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30"/>
        </w:trPr>
        <w:tc>
          <w:tcPr>
            <w:tcW w:w="47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Trading securities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trading securities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 classified as cash equivalents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time deposits and other cash equivalents</w:t>
            </w: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7,803</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18,422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Marketable securities - current</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debt(a)</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30"/>
        </w:trPr>
        <w:tc>
          <w:tcPr>
            <w:tcW w:w="47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Trading securities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trading securities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 current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Marketable securities - non-current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Equity(b)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 non-current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70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9,167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7"/>
              </w:rPr>
              <w:t>Total marketable securities classified as restricted cash and</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tcPr>
          <w:p>
            <w:pPr>
              <w:ind w:left="4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vMerge w:val="continue"/>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Restricted cash, time deposits and other restricted cash</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security interest in the GM Korea mandatorily redeemable preferred shares.</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our seven percent ownership in PSA acquired in connection with our agreement with PSA to create a long-term and strategic alliance. The investment is recorded in Other assets.</w:t>
      </w:r>
    </w:p>
    <w:p>
      <w:pPr>
        <w:sectPr>
          <w:pgSz w:w="11900" w:h="16838" w:orient="portrait"/>
          <w:cols w:equalWidth="0" w:num="1">
            <w:col w:w="11420"/>
          </w:cols>
          <w:pgMar w:left="240" w:top="125"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Sales proceeds from investments in marketable securities classified as available-for-sale and sold prior to maturity were $386 million and $427 million in the three months ended March 31, 2013 and 2012.</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classified as available-for-sale within cash equivalents, marketable securities and restricted cash by contractual maturity at March 31, 2013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1,788</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maturities of available-for-sale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10,512</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Net Unrealized gains (losses) on trading securities were $(47) million and $89 million in the three months ended March 31, 2013 and 2012. Unrealized gains (losses) are primarily related to the remeasurement of Canadian Dollar (CAD) denominated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GM Financial Finance Receivables, net</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2012 GM Financial commenced commercial lending activities in the U.S. centered on floorplan financing of dealer vehicle inventory and dealer loans to finance dealer sites, facilities, facility improvements and working capital. In March 2013 GM Financial launched similar commercial lending in Canada. These loans are made on a secured basis.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components of GM Financial finance receivables, net relating to consumer and commercial activities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53"/>
        </w:trPr>
        <w:tc>
          <w:tcPr>
            <w:tcW w:w="8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outstanding balance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Pre-acquisition finance receivables, carrying amount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Post-acquisition finance receivables, net of fees(a)</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finance receivables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loan losses on post-acquisition finance receivables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GM Financial finance receivables,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10,998</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line="263"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March 31, 2013 and December 31, 2012 the balances include finance receivables and loans of $836 million and $560 million in connection with the commercial lending program.</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finance receivables relating to consumer and commercial activities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carrying amount,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Post-acquisition finance receivables, net of fees, beginning of period</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9,391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funded or purchased(a)</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collections and other(a)</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Change in carrying amount adjustment on the pre-acquisition finance receivables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11,848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right="20" w:hanging="252"/>
        <w:spacing w:after="0" w:line="263"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loans funded of $998 million and principal collections of $723 million in connection with the commercial lending program in the three months ended March 31, 2013.</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carrying amount and estimated fair value of GM Financial finance receivables, net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finance receivables, net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11,455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11,752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10,998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determined the fair value of consumer finance receivables using Level 3 inputs within a cash flow model. The Level 3 inputs reflect assumptions regarding expected prepayments, deferrals, delinquencies, recoveries and charge-offs of the loans within the finance receivable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(WACC) using unobservable debt and equity percentages, an unobservable cost of equity and an observable cost of debt based on companies with a similar credit rating and maturity profile as the portfolio. Macroeconomic factors could negatively affect the credit performance of the portfolio and therefore could potentially affect the assumptions used in GM Financial's cash flow model.</w:t>
      </w:r>
    </w:p>
    <w:p>
      <w:pPr>
        <w:spacing w:after="0" w:line="18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commercial finance receivables have variable interest rates and maturities of one year. Therefore, the carrying amount is considered to be a reasonable estimate of fair value.</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purchases consumer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March 31, 2013 and December 31, 2012 the accrual of finance charge income has been suspended on delinquent consumer finance receivables based on contractual amounts due of $403 million and $503 million. At March 31, 2013 the commercial finance receivables or loans on non-accrual status were insignificant.</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reviews its pre-acquisition portfolio for differences between contractual cash flows and the cash flows expected to be collected from its initial investment in the pre-acquisition portfolio to determine if the difference is attributable, at least in part to credit quality. In the three months ended March 31, 2013 and 2012 as a result of improvements in credit performance of the pre-acquisition portfolio, which resulted in an increase of expected cash flows of $48 million and $167 million, GM Financial transferred this excess non-accretable difference to accretable yield. GM Financial will recognize this excess as finance charge income over the remaining life of the portfolio.</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for accretable yield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Accretion of accretable yield</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from non-accretable difference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768</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the allowance for post-acquisition loan losses on consumer and commercial finance receivables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85</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allowance for post-acquisition loan losses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The following table summarizes activity for the allowance for post-acquisition loan losses on consumer and commercial finance receivables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80"/>
        </w:trPr>
        <w:tc>
          <w:tcPr>
            <w:tcW w:w="8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58"/>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Credit bureau scores, generally referred to as FICO scores, are determined during GM Financial's automotive loan origination process. The following table summarizes the credit risk profile of finance receivables by FICO score band, determined at origination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FICO score less than 540</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FICO score 540 to 599</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FICO score 600 to 659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FICO score 660 and greater</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10,993</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Composed of the sum of pre-acquisition consumer finance receivables - outstanding balance and post-acquisition consumer finance receivables, net of fees.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Financial's commercial finance receivables consist of dealer financings. A proprietary model is used to assign a risk rating to each dealer. A credit review of each dealer is performed at least annually and, if necessary, the dealer's risk rating is adjusted on the basis of the review.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summarizes the contractual amount of consumer finance receivables, which is not materially different than the recorded investment, more than 30 days delinquent, but not yet in repossession, and in repossession, but not yet charged off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877"/>
              <w:spacing w:after="0"/>
              <w:rPr>
                <w:sz w:val="20"/>
                <w:szCs w:val="20"/>
                <w:color w:val="auto"/>
              </w:rPr>
            </w:pPr>
            <w:r>
              <w:rPr>
                <w:rFonts w:ascii="Arial" w:cs="Arial" w:eastAsia="Arial" w:hAnsi="Arial"/>
                <w:sz w:val="14"/>
                <w:szCs w:val="14"/>
                <w:b w:val="1"/>
                <w:bCs w:val="1"/>
                <w:color w:val="auto"/>
                <w:w w:val="96"/>
              </w:rPr>
              <w:t>March 31, 2013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877"/>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 Amount</w:t>
            </w:r>
          </w:p>
        </w:tc>
        <w:tc>
          <w:tcPr>
            <w:tcW w:w="260" w:type="dxa"/>
            <w:vAlign w:val="bottom"/>
          </w:tcPr>
          <w:p>
            <w:pPr>
              <w:spacing w:after="0"/>
              <w:rPr>
                <w:sz w:val="12"/>
                <w:szCs w:val="12"/>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Amount</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Due</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Due</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Delinquent contracts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31-to-60 days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3"/>
              <w:spacing w:after="0"/>
              <w:rPr>
                <w:sz w:val="20"/>
                <w:szCs w:val="20"/>
                <w:color w:val="auto"/>
              </w:rPr>
            </w:pPr>
            <w:r>
              <w:rPr>
                <w:rFonts w:ascii="Arial" w:cs="Arial" w:eastAsia="Arial" w:hAnsi="Arial"/>
                <w:sz w:val="18"/>
                <w:szCs w:val="18"/>
                <w:color w:val="auto"/>
                <w:w w:val="93"/>
              </w:rPr>
              <w:t>477</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Greater-than-60 days</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9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3"/>
              </w:rPr>
              <w:t>646</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repossession</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w w:val="91"/>
              </w:rPr>
              <w:t>Total finance receivables more than 30 days delinquent or in repossession</w:t>
            </w:r>
          </w:p>
        </w:tc>
        <w:tc>
          <w:tcPr>
            <w:tcW w:w="96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678</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960" w:type="dxa"/>
            <w:vAlign w:val="bottom"/>
          </w:tcPr>
          <w:p>
            <w:pPr>
              <w:jc w:val="right"/>
              <w:ind w:right="574"/>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 account is considered delinquent if a substantial portion of a scheduled payment has not been received by the date such payment was contractually due.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Delinquencies may vary from period to period based upon the average age of the portfolio, seasonality within the calendar year and economic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Securitizations</w:t>
      </w:r>
    </w:p>
    <w:p>
      <w:pPr>
        <w:spacing w:after="0" w:line="229"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The following table summarizes securitization activity and cash flows from consolidated special purpose entities (SPEs) used for securitizations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securitized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proceeds from securitization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1,800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Servicing fees - variable interest entities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distributions from trusts - variable interest entities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451</w:t>
            </w:r>
          </w:p>
        </w:tc>
      </w:tr>
    </w:tbl>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retains servicing responsibilities for receivables transferred to securitization SPEs. At March 31, 2013 and December 31, 2012 GM Financial serviced finance receivables that have been transferred to certain SPEs of $9.7 billion and $9.9 billion. At March 31, 2013 and December 31, 2012 a Canadian subsidiary of GM Financial serviced leased assets of $535 million and $625 million for a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Inventories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Productive material, supplies and work in process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8,277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8,154</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15,200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14,714</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Equity income, net of tax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joint ventures (China JVs)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Others</w:t>
            </w:r>
          </w:p>
        </w:tc>
        <w:tc>
          <w:tcPr>
            <w:tcW w:w="2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income, net of tax</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Sales and income of our China JVs are not consolidated into our financial statements; rather, our proportionate share of the earnings of each joint venture is reflected as Equity income, net of tax.</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received dividends from nonconsolidated affiliates of $68 million and $21 million in the three months ended March 31, 2013 and 2012. At March 31, 2013 and December 31, 2012 we had undistributed earnings including dividends declared but not received of $2.2 billion and $1.7 billion related to our nonconsolidated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China JVs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China JVs: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 2013</w:t>
            </w:r>
          </w:p>
        </w:tc>
        <w:tc>
          <w:tcPr>
            <w:tcW w:w="176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General Motors Co., Ltd. (SGM)</w:t>
            </w:r>
          </w:p>
        </w:tc>
        <w:tc>
          <w:tcPr>
            <w:tcW w:w="17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Shanghai GM Norsom Motor Co., Ltd. (SGM Norsom)</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GM Dong Yue Motors Co., Ltd. (SGM DY)</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Shanghai GM Dong Yue Powertrain (SGM DYPT)</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SAIC-GM-Wuling Automobile Co., Ltd. (SGMW)</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FAW-GM Light Duty Commercial Vehicle Co., Ltd. (FAW-GM)</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50%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 Asia Technical Automotive Center Co., Ltd.</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Shanghai OnStar Telematics Co., Ltd. (Shanghai OnStar)</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40%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Shanghai Chengxin Used Car Operation and Management Co., Ltd. (Shanghai Chengxin Used Car)</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SAIC General Motors Sales Co., Ltd. (SGMS)</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49%</w:t>
            </w:r>
          </w:p>
        </w:tc>
      </w:tr>
    </w:tbl>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SGM is a joint venture established in 1997 by Shanghai Automotive Industry Corporation (SAIC) (50%) and us (50%). SGM has interests in three other joint ventures in China: SGM Norsom, SGM DY and SGM DYPT. These three joint ventures are jointly held by SGM (50%), SAIC (25%) and us (25%). These four joint ventures are engaged in the production, import and sale of a comprehensive range of products under the brands of Buick, Chevrolet and Cadillac. SGM has interests in Shanghai OnStar (20%) and Shanghai Chengxin Used Car (33%). SGM also has 20% equity interest in GMAC-SAIC Automotive Finance Company Limited (GMAC-SAIC), a joint venture established by General Motors Acceptance Corporation (now Ally Financial) (40%) and SAIC Finance Co., Ltd. (40%) in 2007. Refer to Note 24 for information relating to GM Financial's acquisition of Ally Financial’s non-controlling equity interests in GMAC-SAIC and certain other Ally Financial international operations.</w:t>
      </w:r>
    </w:p>
    <w:p>
      <w:pPr>
        <w:spacing w:after="0" w:line="18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SGMS is a joint venture established in November 2011 by SAIC (51%) and us (49%) to engage in the sales of the imported brands of Buick, Chevrolet and Cadillac and the sales of automobiles manufactured by SGM.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Nonconsolidated Affiliates</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Nonconsolidated affiliates are involved in various aspects of the development, production and marketing of cars, trucks and automobile parts. We purchase component parts and vehicles from certain nonconsolidated affiliates for resale to dealers. We also sell component parts and vehicles to certain nonconsolidated affiliates. The following tables summarize the effects of transactions with nonconsolidated affiliates (dollars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80"/>
        </w:trPr>
        <w:tc>
          <w:tcPr>
            <w:tcW w:w="47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r>
        <w:trPr>
          <w:trHeight w:val="258"/>
        </w:trPr>
        <w:tc>
          <w:tcPr>
            <w:tcW w:w="47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22"/>
                <w:szCs w:val="22"/>
                <w:color w:val="auto"/>
              </w:rPr>
            </w:pPr>
          </w:p>
        </w:tc>
        <w:tc>
          <w:tcPr>
            <w:tcW w:w="142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4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Automotive sales and revenue</w:t>
            </w:r>
          </w:p>
        </w:tc>
        <w:tc>
          <w:tcPr>
            <w:tcW w:w="3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583</w:t>
            </w:r>
          </w:p>
        </w:tc>
      </w:tr>
      <w:tr>
        <w:trPr>
          <w:trHeight w:val="27"/>
        </w:trPr>
        <w:tc>
          <w:tcPr>
            <w:tcW w:w="4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purchases, net</w:t>
            </w:r>
          </w:p>
        </w:tc>
        <w:tc>
          <w:tcPr>
            <w:tcW w:w="3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3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642"/>
        </w:trPr>
        <w:tc>
          <w:tcPr>
            <w:tcW w:w="4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24"/>
                <w:szCs w:val="2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4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3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1,668</w:t>
            </w:r>
          </w:p>
        </w:tc>
      </w:tr>
      <w:tr>
        <w:trPr>
          <w:trHeight w:val="27"/>
        </w:trPr>
        <w:tc>
          <w:tcPr>
            <w:tcW w:w="4720" w:type="dxa"/>
            <w:vAlign w:val="bottom"/>
          </w:tcPr>
          <w:p>
            <w:pPr>
              <w:spacing w:after="0"/>
              <w:rPr>
                <w:sz w:val="2"/>
                <w:szCs w:val="2"/>
                <w:color w:val="auto"/>
              </w:rPr>
            </w:pPr>
          </w:p>
        </w:tc>
        <w:tc>
          <w:tcPr>
            <w:tcW w:w="36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payable</w:t>
            </w:r>
          </w:p>
        </w:tc>
        <w:tc>
          <w:tcPr>
            <w:tcW w:w="3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Deferred revenue and customer deposits</w:t>
            </w:r>
          </w:p>
        </w:tc>
        <w:tc>
          <w:tcPr>
            <w:tcW w:w="3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46</w:t>
            </w:r>
          </w:p>
        </w:tc>
      </w:tr>
      <w:tr>
        <w:trPr>
          <w:trHeight w:val="702"/>
        </w:trPr>
        <w:tc>
          <w:tcPr>
            <w:tcW w:w="4720" w:type="dxa"/>
            <w:vAlign w:val="bottom"/>
          </w:tcPr>
          <w:p>
            <w:pPr>
              <w:spacing w:after="0"/>
              <w:rPr>
                <w:sz w:val="24"/>
                <w:szCs w:val="24"/>
                <w:color w:val="auto"/>
              </w:rPr>
            </w:pPr>
          </w:p>
        </w:tc>
        <w:tc>
          <w:tcPr>
            <w:tcW w:w="3400" w:type="dxa"/>
            <w:vAlign w:val="bottom"/>
          </w:tcPr>
          <w:p>
            <w:pPr>
              <w:jc w:val="right"/>
              <w:ind w:right="223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Operating</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spacing w:after="0"/>
              <w:rPr>
                <w:sz w:val="21"/>
                <w:szCs w:val="21"/>
                <w:color w:val="auto"/>
              </w:rPr>
            </w:pP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w w:val="93"/>
              </w:rPr>
              <w:t>401</w:t>
            </w:r>
          </w:p>
        </w:tc>
        <w:tc>
          <w:tcPr>
            <w:tcW w:w="620" w:type="dxa"/>
            <w:vAlign w:val="bottom"/>
            <w:gridSpan w:val="2"/>
          </w:tcPr>
          <w:p>
            <w:pPr>
              <w:jc w:val="center"/>
              <w:ind w:right="174"/>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tcBorders>
              <w:bottom w:val="single" w:sz="8" w:color="CCEEFF"/>
            </w:tcBorders>
            <w:gridSpan w:val="2"/>
            <w:shd w:val="clear" w:color="auto" w:fill="CCEEFF"/>
          </w:tcPr>
          <w:p>
            <w:pPr>
              <w:jc w:val="center"/>
              <w:ind w:right="17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2"/>
        </w:trPr>
        <w:tc>
          <w:tcPr>
            <w:tcW w:w="4100" w:type="dxa"/>
            <w:vAlign w:val="bottom"/>
          </w:tcPr>
          <w:p>
            <w:pPr>
              <w:spacing w:after="0"/>
              <w:rPr>
                <w:sz w:val="20"/>
                <w:szCs w:val="20"/>
                <w:color w:val="auto"/>
              </w:rPr>
            </w:pPr>
            <w:r>
              <w:rPr>
                <w:rFonts w:ascii="Arial" w:cs="Arial" w:eastAsia="Arial" w:hAnsi="Arial"/>
                <w:sz w:val="18"/>
                <w:szCs w:val="18"/>
                <w:b w:val="1"/>
                <w:bCs w:val="1"/>
                <w:color w:val="auto"/>
              </w:rPr>
              <w:t>Note 9. Goodwill</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gridSpan w:val="13"/>
          </w:tcPr>
          <w:p>
            <w:pPr>
              <w:ind w:left="220"/>
              <w:spacing w:after="0"/>
              <w:rPr>
                <w:sz w:val="20"/>
                <w:szCs w:val="20"/>
                <w:color w:val="auto"/>
              </w:rPr>
            </w:pPr>
            <w:r>
              <w:rPr>
                <w:rFonts w:ascii="Arial" w:cs="Arial" w:eastAsia="Arial" w:hAnsi="Arial"/>
                <w:sz w:val="18"/>
                <w:szCs w:val="18"/>
                <w:color w:val="auto"/>
                <w:w w:val="98"/>
              </w:rPr>
              <w:t>The following table summarizes the changes in the carrying amounts of Goodwill (dollars in millions):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GME</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GMIO</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GMSA</w:t>
            </w:r>
          </w:p>
        </w:tc>
        <w:tc>
          <w:tcPr>
            <w:tcW w:w="4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GM</w:t>
            </w:r>
          </w:p>
        </w:tc>
        <w:tc>
          <w:tcPr>
            <w:tcW w:w="180" w:type="dxa"/>
            <w:vAlign w:val="bottom"/>
          </w:tcPr>
          <w:p>
            <w:pPr>
              <w:spacing w:after="0"/>
              <w:rPr>
                <w:sz w:val="24"/>
                <w:szCs w:val="24"/>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Automotive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695</w:t>
            </w:r>
          </w:p>
        </w:tc>
        <w:tc>
          <w:tcPr>
            <w:tcW w:w="4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Goodwill from business combinations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translation and other</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Balance at March 31, 2013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gridSpan w:val="2"/>
          </w:tcPr>
          <w:p>
            <w:pPr>
              <w:jc w:val="right"/>
              <w:ind w:right="14"/>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40"/>
              <w:spacing w:after="0"/>
              <w:rPr>
                <w:sz w:val="20"/>
                <w:szCs w:val="20"/>
                <w:color w:val="auto"/>
              </w:rPr>
            </w:pPr>
            <w:r>
              <w:rPr>
                <w:rFonts w:ascii="Arial" w:cs="Arial" w:eastAsia="Arial" w:hAnsi="Arial"/>
                <w:sz w:val="18"/>
                <w:szCs w:val="18"/>
                <w:color w:val="auto"/>
                <w:w w:val="99"/>
              </w:rPr>
              <w:t>Accumulated impairment charges at December 31,</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18"/>
                <w:szCs w:val="18"/>
                <w:color w:val="auto"/>
              </w:rPr>
              <w:t>2012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(26,399)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(29,897)</w:t>
            </w:r>
          </w:p>
        </w:tc>
        <w:tc>
          <w:tcPr>
            <w:tcW w:w="4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(29,897)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Accumulated impairment charges at March 31, 2013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(29,897)</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(29,897)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three months ended March 31, 2013 and 2012 we performed event-driven goodwill impairment tests for our GM Korea reporting unit as we determined the carrying amount of GM Korea exceeded its fair value. The fair value of GM Korea is below its carrying value due to ongoing economic weakness in certain markets to which GM Korea exports as well as higher raw material costs and unfavorable foreign currency exchange rates. The event-driven impairment tests resulted in a Goodwill impairment charge of $27 million within our GMIO segment in the three months ended March 31, 2012. Our GME reporting unit had a negative carrying amount and because it was more likely than not further goodwill impairment existed at March 31, 2012 we recorded a Goodwill impairment charge of $590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impairment charges recorded in the three months ended March 31, 2012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Three Months Ended March 31, 2012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GME(a)</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GMIO</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3"/>
                <w:szCs w:val="13"/>
                <w:color w:val="auto"/>
              </w:rPr>
            </w:pPr>
          </w:p>
        </w:tc>
        <w:tc>
          <w:tcPr>
            <w:tcW w:w="108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rPr>
              <w:t>GM</w:t>
            </w:r>
          </w:p>
        </w:tc>
        <w:tc>
          <w:tcPr>
            <w:tcW w:w="7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jc w:val="right"/>
              <w:ind w:right="2690"/>
              <w:spacing w:after="0"/>
              <w:rPr>
                <w:sz w:val="20"/>
                <w:szCs w:val="20"/>
                <w:color w:val="auto"/>
              </w:rPr>
            </w:pPr>
            <w:r>
              <w:rPr>
                <w:rFonts w:ascii="Arial" w:cs="Arial" w:eastAsia="Arial" w:hAnsi="Arial"/>
                <w:sz w:val="18"/>
                <w:szCs w:val="18"/>
                <w:color w:val="auto"/>
                <w:w w:val="89"/>
              </w:rPr>
              <w:t>Impairment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tcPr>
          <w:p>
            <w:pPr>
              <w:jc w:val="right"/>
              <w:ind w:right="3430"/>
              <w:spacing w:after="0"/>
              <w:rPr>
                <w:sz w:val="20"/>
                <w:szCs w:val="20"/>
                <w:color w:val="auto"/>
              </w:rPr>
            </w:pPr>
            <w:r>
              <w:rPr>
                <w:rFonts w:ascii="Arial" w:cs="Arial" w:eastAsia="Arial" w:hAnsi="Arial"/>
                <w:sz w:val="18"/>
                <w:szCs w:val="18"/>
                <w:color w:val="auto"/>
                <w:w w:val="84"/>
              </w:rPr>
              <w:t>________</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At March 31, 2012 GME's Goodwill balance was $0.</w:t>
      </w:r>
    </w:p>
    <w:p>
      <w:pPr>
        <w:spacing w:after="0" w:line="20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impairment charges recorded as part of the event-driven goodwill impairment tests in the three months ended March 31, 2012 represent the net decreases in implied goodwill resulting primarily from decreases in the fair value-to-U.S. GAAP differences attributable to those assets and liabilities that gave rise to goodwill upon our application of fresh-start reporting. The net decreases resulted primarily from a decrease in our nonperformance risk and an improvement in our incremental borrowing rates since July 10, 2009. In addition, for the purpose of deriving an implied goodwill balance, deterioration in the business outlook for GME resulted in a reduction in the fair value of certain tax attributes and an increase in the fair value of estimated employee benefit obligations. The amount of implied goodwill derived from GM Korea decreased in the three months ended March 31, 2012 primarily from a reduction in the fair value of certain tax attributes.</w:t>
      </w:r>
    </w:p>
    <w:p>
      <w:pPr>
        <w:spacing w:after="0" w:line="18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When performing our goodwill impairment testing, the fair values of our reporting units were determined based on valuation techniques using the best available information, primarily discounted cash flow projections. We make significant assumptions and estimates about the extent and timing of future cash flows, growth rates, market share and discount rates that represent unobservable inputs into our valuation methodologies. The cash flows are estimated over a significant future period of time, which makes those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estimates and assumptions subject to a high degree of uncertainty. Where available and as appropriate, comparative market multiples and the quoted market price of our common stock are used to corroborate the results of the discounted cash flow method.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Goodwill balances and key assumptions, which are unobservable, utilized for each of our reporting units that required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Step 2 analysis (dollars and industry volumes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tcPr>
          <w:p>
            <w:pPr>
              <w:ind w:left="440"/>
              <w:spacing w:after="0"/>
              <w:rPr>
                <w:sz w:val="20"/>
                <w:szCs w:val="20"/>
                <w:color w:val="auto"/>
              </w:rPr>
            </w:pPr>
            <w:r>
              <w:rPr>
                <w:rFonts w:ascii="Arial" w:cs="Arial" w:eastAsia="Arial" w:hAnsi="Arial"/>
                <w:sz w:val="14"/>
                <w:szCs w:val="14"/>
                <w:b w:val="1"/>
                <w:bCs w:val="1"/>
                <w:color w:val="auto"/>
              </w:rPr>
              <w:t>Industry Volumes(a)</w:t>
            </w:r>
          </w:p>
        </w:tc>
        <w:tc>
          <w:tcPr>
            <w:tcW w:w="2280" w:type="dxa"/>
            <w:vAlign w:val="bottom"/>
            <w:gridSpan w:val="3"/>
          </w:tcPr>
          <w:p>
            <w:pPr>
              <w:ind w:left="640"/>
              <w:spacing w:after="0"/>
              <w:rPr>
                <w:sz w:val="20"/>
                <w:szCs w:val="20"/>
                <w:color w:val="auto"/>
              </w:rPr>
            </w:pPr>
            <w:r>
              <w:rPr>
                <w:rFonts w:ascii="Arial" w:cs="Arial" w:eastAsia="Arial" w:hAnsi="Arial"/>
                <w:sz w:val="14"/>
                <w:szCs w:val="14"/>
                <w:b w:val="1"/>
                <w:bCs w:val="1"/>
                <w:color w:val="auto"/>
              </w:rPr>
              <w:t>Market Share(a)</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Goodwill(b)</w:t>
            </w: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WACC</w:t>
            </w:r>
          </w:p>
        </w:tc>
        <w:tc>
          <w:tcPr>
            <w:tcW w:w="15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Long-Term Growth</w:t>
            </w:r>
          </w:p>
        </w:tc>
        <w:tc>
          <w:tcPr>
            <w:tcW w:w="100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4"/>
                <w:szCs w:val="14"/>
                <w:b w:val="1"/>
                <w:bCs w:val="1"/>
                <w:color w:val="auto"/>
              </w:rPr>
              <w:t>2012/2013</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rPr>
              <w:t>2015/2016</w:t>
            </w:r>
          </w:p>
        </w:tc>
        <w:tc>
          <w:tcPr>
            <w:tcW w:w="120" w:type="dxa"/>
            <w:vAlign w:val="bottom"/>
          </w:tcPr>
          <w:p>
            <w:pPr>
              <w:spacing w:after="0"/>
              <w:rPr>
                <w:sz w:val="12"/>
                <w:szCs w:val="12"/>
                <w:color w:val="auto"/>
              </w:rPr>
            </w:pPr>
          </w:p>
        </w:tc>
        <w:tc>
          <w:tcPr>
            <w:tcW w:w="108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2012/2013</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2015/2016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Rates</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GME - At March 31, 2012</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7"/>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GM Korea - At March 31, 2012(c)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1080" w:type="dxa"/>
            <w:vAlign w:val="bottom"/>
          </w:tcPr>
          <w:p>
            <w:pPr>
              <w:ind w:left="660"/>
              <w:spacing w:after="0"/>
              <w:rPr>
                <w:sz w:val="20"/>
                <w:szCs w:val="20"/>
                <w:color w:val="auto"/>
              </w:rPr>
            </w:pPr>
            <w:r>
              <w:rPr>
                <w:rFonts w:ascii="Arial" w:cs="Arial" w:eastAsia="Arial" w:hAnsi="Arial"/>
                <w:sz w:val="18"/>
                <w:szCs w:val="18"/>
                <w:color w:val="auto"/>
                <w:w w:val="97"/>
              </w:rPr>
              <w:t>1.4%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Korea - At March 31, 2013(c)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_________</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GME forecast volumes are 2012 through 2016. GM Korea forecast volumes at March 31, 2012 are 2012 through 2015 and are 2013 through 2016 at March 31, 2013.</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balance of Goodwill evaluated for impairment under the Step 2 analysis.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Industry forecast volumes and market share for GM Korea are based on global industry volumes because GM Korea exports vehicles globally.</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WACCs considered various factors including bond yields, risk premiums and tax rates; the terminal values were determined using a growth model that applied a reporting unit's long-term growth rate to its projected cash flows beyond the forecast period; and industry volumes and a market share for each reporting unit included annual estimates through the forecast period. In addition minimum operating cash needs that incorporate specific business, economic and regulatory factors giving rise to varying cash needs were estimated.</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Because the fair value of goodwill can be measured only as a residual amount and cannot be determined directly we calculated the implied goodwill, which utilized Level 3 measures, for the GME and GM Korea reporting units in the same manner that goodwill is recognized in a business combination pursuant to Accounting Standards Codification (ASC) 805, "Business Combinations." At March 31, 2012 our Step 2 analyses indicated GME's and GM Korea's implied goodwill was less than their recorded goodwill; therefore, Goodwill was adjusted as of that date. At March 31, 2013 GM Korea's implied goodwill exceeded its recorded goodwill.</w:t>
      </w:r>
    </w:p>
    <w:p>
      <w:pPr>
        <w:spacing w:after="0" w:line="18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Future goodwill impairments could be recognized should economic uncertainty continue, our equity price decline on a sustained basis, global economies enter into another recession and industry growth stagnates, or should we release deferred tax asset valuation allowances in certain tax jurisdictions. In these circumstances future goodwill impairments would largely be affected by decreases in either the fair value of a reporting unit or in the fair value-to-U.S.-GAAP differences that have occurred subsequent to our application of fresh-start reporting, which in the future would primarily occur upon a decline in the fair value of GM Financial or reversal of our remaining deferred tax asset valuation allowances. Any declines would have a negative effect on our earnings.</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fair value estimates for event-driven impairment tests assume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Intangible assets, net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2013</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3"/>
                <w:szCs w:val="13"/>
                <w:color w:val="auto"/>
              </w:rPr>
            </w:pPr>
          </w:p>
        </w:tc>
        <w:tc>
          <w:tcPr>
            <w:tcW w:w="7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6"/>
                <w:szCs w:val="16"/>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intellectual property</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Brands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4,456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network and customer relationships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Favorable contracts</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14,633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6,901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13,998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Nonamortizing in process research and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14,729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14,173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December 2012 we entered into a product development agreement with PSA to collaborate on the development of certain vehicle platforms, components and modules. As a result of this agreement, in the three months ended March 31, 2013, we acquired the rights to certain intellectual property and technology for total consideration of Euro 500 million (equivalent to $642 million). Consideration of Euro 155 million (equivalent to $199 million) is expected to be paid in cash during 2013 with the remaining consideration to be paid in cash or in-kind exchanges by May 2018. The acquired rights were recorded at the present value of the total payments to be made as technology and intellectual property of $594 million.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amortization expense related to intangible assets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31, 2012</w:t>
            </w: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 related to intangible assets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384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398</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estimated amortization expense related to intangible assets in each of the next five years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621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319</w:t>
            </w:r>
          </w:p>
        </w:tc>
      </w:tr>
      <w:tr>
        <w:trPr>
          <w:trHeight w:val="27"/>
        </w:trPr>
        <w:tc>
          <w:tcPr>
            <w:tcW w:w="58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7"/>
          <w:szCs w:val="17"/>
          <w:color w:val="auto"/>
        </w:rPr>
        <w:t>Variable interest entities (VIEs) that we do not control through a majority voting interest that are consolidated because we are the primary beneficiary include certain vehicle assembling, manufacturing and selling venture arrangements, the most significant of which is GM Egypt. At March 31, 2013 and December 31, 2012: (1) Total assets of these VIEs were $514 million and $436 million, which were composed of Cash and cash equivalents, Accounts and notes receivable, net, Inventories and Property, net; and (2) Total liabilities were $343 million and $254 million, which were composed of Accounts payable (principally trade) and Accrued liabilities. In the three months ended March 31, 2013 and 2012 Total net sales and revenue recorded by these VIEs were $236 million and $236 million and Net income (loss) was $18 million and $(5) million. These amounts are stated prior to intercompany eliminations. Liabilities recognized as a result of consolidating VIEs generally do not represent claims against us or our other subsidiaries and assets recognized generally are for the benefit of the VIEs' operations and cannot be used to satisfy our obligations.</w:t>
      </w:r>
    </w:p>
    <w:p>
      <w:pPr>
        <w:spacing w:after="0" w:line="17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GM Korea and HKJV are non-wholly owned consolidated subsidiaries that we control through a majority voting interest. They are also VIEs because in the future they may require additional subordinated financial support.</w:t>
      </w:r>
    </w:p>
    <w:p>
      <w:pPr>
        <w:spacing w:after="0" w:line="17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following table summarizes the liabilities of GM Korea and HKJV for which their creditors do not have recourse to our general credit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December 31, 2012</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GM Korea</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HKJV</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GM Korea</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HKJV</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derivative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finances its loan and lease origination volume through the use of credit facilities and securitization trusts that issue asset-backed securities to investors. GM Financial retains a residual interest in these entities and is not required to provide any additional financial support to its sponsored credit facilities and securitization SPEs. The SPEs are considered VIEs because they do not have sufficient equity at risk and are consolidated because GM Financial has the power over those activities that most significantly affect the economic performance of the SPEs. The finance receivables, leased assets and other assets held by these subsidiaries are not available to our creditors or creditors of our other subsidiaries. Refer to Notes 5, 6 and 13 for additional information on GM Financial's involvement with the SPEs.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VIEs that are not consolidated include certain vehicle assembling, manufacturing and selling venture arrangements and other automotive related entities to which we provided financial support including HKJV prior to September 2012 and Ally Financial. We concluded these entities are VIEs because they do not have sufficient equity at risk or may require additional subordinated financial support. We currently lack the power through voting or similar rights to direct those activities of these entities that most significantly affect their economic performance. Our variable interests in these nonconsolidated VIEs include accounts and notes receivable, equity in net assets, guarantees and financial support, some of which were provided to certain current or previously divested suppliers in order to ensure that supply needs for production were not disrupted due to a supplier's liquidity concerns or possible shutdowns.</w:t>
      </w:r>
    </w:p>
    <w:p>
      <w:pPr>
        <w:spacing w:after="0" w:line="16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exposure to loss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13"/>
                <w:szCs w:val="13"/>
                <w:color w:val="auto"/>
              </w:rPr>
            </w:pPr>
          </w:p>
        </w:tc>
        <w:tc>
          <w:tcPr>
            <w:tcW w:w="106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3"/>
                <w:szCs w:val="13"/>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13"/>
                <w:szCs w:val="13"/>
                <w:color w:val="auto"/>
              </w:rPr>
            </w:pPr>
          </w:p>
        </w:tc>
        <w:tc>
          <w:tcPr>
            <w:tcW w:w="10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Exposure to Loss</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Exposure to Loss</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280</w:t>
            </w:r>
          </w:p>
        </w:tc>
        <w:tc>
          <w:tcPr>
            <w:tcW w:w="54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assets of nonconsolidated affiliates</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(principally trade)</w:t>
            </w: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Short-term debt and current portion of long-term debt</w:t>
            </w: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Off-balance sheet(a)</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Loan commitments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liquidity arrangements(b)</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off-balance sheet arrangements</w:t>
            </w: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Refer to Note 17 for additional information on our maximum exposure to loss under agreements with Ally Financial.</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amount at March 31, 2013 includes contractual commitments under an agreement with a supplier that became a VIE in January 2013.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Ally Financial Common Stock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March 31, 2013 and December 31, 2012 we held a 9.9% common equity ownership in Ally Financial. Our entire equity ownership is held indirectly through an independent trust which has the sole authority to vote the shares and is required to dispose of all Ally Financial common stock by December 24, 2013.</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estimated the fair value of Ally Financial common stock using a market approach that applies the average price to tangible book value multiples of comparable companies to the consolidated Ally Financial tangible book value. The significant inputs used in our fair value analyses included Ally Financial's March 31, 2013 and December 31, 2012 financial statements, financial statements and price to tangible book value multiples of comparable companies in the banking and finance industry, and the effects of certain Ally Financial shareholder rights. The measurement of Ally Financial common stock is a Level 3 fair value measurement.</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estimated fair value of Ally Financial common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1,268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Depreciation, Amortization and Impairment Charges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depreciation, amortization and impairment charges related to Property, net, Equipment on operating leases, net and GM Financial equipment on operating leases, net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March 31, 2012</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long-lived assets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Impairment charges of long-lived assets(a)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equipment on operating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Impairment charges of equipment on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55</w:t>
            </w:r>
          </w:p>
        </w:tc>
      </w:tr>
      <w:tr>
        <w:trPr>
          <w:trHeight w:val="243"/>
        </w:trPr>
        <w:tc>
          <w:tcPr>
            <w:tcW w:w="858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ind w:left="340" w:hanging="332"/>
        <w:spacing w:after="0" w:line="296"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fair value of related assets was determined to be $0 in the three months ended March 31, 2013 and 2012 measured utilizing Level 3 inputs. Fair value measurements of long-lived assets utilized projected cash flows discounted at a rate commensurate with the perceived business risks related to the assets involved.</w:t>
      </w:r>
    </w:p>
    <w:p>
      <w:pPr>
        <w:spacing w:after="0" w:line="12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table summarizes equipment on operating leases to daily rental car companies measured at fair value utilizing Level 3 inputs on a nonrecurring basis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Fair Value Measures(a)</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Three months ended March 31, 2012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6"/>
              <w:spacing w:after="0"/>
              <w:rPr>
                <w:sz w:val="20"/>
                <w:szCs w:val="20"/>
                <w:color w:val="auto"/>
              </w:rPr>
            </w:pPr>
            <w:r>
              <w:rPr>
                <w:rFonts w:ascii="Arial" w:cs="Arial" w:eastAsia="Arial" w:hAnsi="Arial"/>
                <w:sz w:val="18"/>
                <w:szCs w:val="18"/>
                <w:color w:val="auto"/>
              </w:rPr>
              <w:t>937</w:t>
            </w:r>
          </w:p>
        </w:tc>
      </w:tr>
      <w:tr>
        <w:trPr>
          <w:trHeight w:val="243"/>
        </w:trPr>
        <w:tc>
          <w:tcPr>
            <w:tcW w:w="9360" w:type="dxa"/>
            <w:vAlign w:val="bottom"/>
          </w:tcPr>
          <w:p>
            <w:pPr>
              <w:jc w:val="right"/>
              <w:ind w:right="8370"/>
              <w:spacing w:after="0"/>
              <w:rPr>
                <w:sz w:val="20"/>
                <w:szCs w:val="20"/>
                <w:color w:val="auto"/>
              </w:rPr>
            </w:pPr>
            <w:r>
              <w:rPr>
                <w:rFonts w:ascii="Arial" w:cs="Arial" w:eastAsia="Arial" w:hAnsi="Arial"/>
                <w:sz w:val="18"/>
                <w:szCs w:val="18"/>
                <w:color w:val="auto"/>
                <w:w w:val="87"/>
              </w:rPr>
              <w:t>__________</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bl>
    <w:p>
      <w:pPr>
        <w:ind w:left="340" w:hanging="332"/>
        <w:spacing w:after="0" w:line="263"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carrying amount of the related assets at March 31, 2013 and 2012 may no longer equal the fair value as the fair value presented is as of the date the impairment charge was recorded during the period presented.</w:t>
      </w:r>
    </w:p>
    <w:p>
      <w:pPr>
        <w:spacing w:after="0" w:line="17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Impairment of vehicles leased to daily rental car companies with guaranteed repurchase obligations is determined to exist if the expected cash flows are lower than the carrying amount of the vehicle. We have multiple, distinct portfolios of vehicles leased to rental car companies and may have multiple impairments within a period. Expected cash flows include all estimated net revenue and costs associated with the sale to daily rental car companies through disposal at auction. The fair value measurements are determined, reviewed and approved on a monthly basis by personnel with appropriate knowledge of transactions with daily rental car companies and auction transactions.</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significant quantitative unobservable inputs and assumptions used in the fair value measurement of Equipment on operating leases, net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4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Significant Unobservable Input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March 31, 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8"/>
              </w:rPr>
              <w:t>March 31, 2012</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Impaired equipment on operating leases</w:t>
            </w: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960</w:t>
            </w:r>
          </w:p>
        </w:tc>
      </w:tr>
      <w:tr>
        <w:trPr>
          <w:trHeight w:val="243"/>
        </w:trPr>
        <w:tc>
          <w:tcPr>
            <w:tcW w:w="4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Estimated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1,015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Fair value(a)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5,298</w:t>
            </w:r>
          </w:p>
        </w:tc>
      </w:tr>
      <w:tr>
        <w:trPr>
          <w:trHeight w:val="220"/>
        </w:trPr>
        <w:tc>
          <w:tcPr>
            <w:tcW w:w="8120" w:type="dxa"/>
            <w:vAlign w:val="bottom"/>
          </w:tcPr>
          <w:p>
            <w:pPr>
              <w:jc w:val="right"/>
              <w:ind w:right="7213"/>
              <w:spacing w:after="0"/>
              <w:rPr>
                <w:sz w:val="20"/>
                <w:szCs w:val="20"/>
                <w:color w:val="auto"/>
              </w:rPr>
            </w:pPr>
            <w:r>
              <w:rPr>
                <w:rFonts w:ascii="Arial" w:cs="Arial" w:eastAsia="Arial" w:hAnsi="Arial"/>
                <w:sz w:val="16"/>
                <w:szCs w:val="16"/>
                <w:color w:val="auto"/>
                <w:w w:val="89"/>
              </w:rPr>
              <w:t>__________</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ind w:left="340" w:hanging="332"/>
        <w:spacing w:after="0" w:line="25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fair value of debt included $4.0 billion and $4.1 billion measured utilizing Level 2 inputs at March 31, 2013 and December 31, 2012. The fair value of debt included $1.2 billion measured utilizing Level 3 inputs at March 31, 2013 and December 31, 2012.</w:t>
      </w:r>
    </w:p>
    <w:p>
      <w:pPr>
        <w:spacing w:after="0" w:line="18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Level 2 fair value measurements utilize a discounted cash flow model. The valuation is reviewed internally by personnel with appropriate expertise in valuation methodologies. This model utilizes observable inputs such as contractual repayment terms and benchmark yield curves, plus a spread that is intended to represent our nonperformance risk for secured or unsecured obligations. We estimate our nonperformance risk using our corporate credit rating, the rating on our secured revolver, yields on traded bonds of companies with comparable credit ratings and risk profiles. We acquire the benchmark yield curves and nonperformance risk</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spread from independent sources that are widely used in the financial industry. In certain circumstances we adjust the valuation of debt for additional nonperformance risk or potential prepayment probability scenarios. We may use a probability weighting of prepayment scenarios when the stated rate exceeds market rates and the instrument contains prepayment features. The prepayment scenarios are adjusted to reflect the views of market participants. The fair value measurements subject to additional adjustments for nonperformance risk or prepayment have been categorized within Level 3.</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Losses on Extinguishment of Debt</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April 2013 we made a payment of Korean Won (KRW) 794 billion (equivalent to $696 million) to redeem early the remaining balance of GM Korea's mandatorily redeemable preferred shares that had a carrying amount of KRW 525 billion (equivalent to $460 million). We recorded the difference of KRW 269 billion (equivalent to $236 million) as a loss on extinguishment of debt in April 2013. The KRW to U.S. Dollar amounts were determined using the spot rate at the date of transaction; actual amounts will be recorded using the average rate for the month.</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2012 we prepaid and retired a debt obligation of $39 million. We recorded a loss on extinguishment of debt of $18 million which primarily represented the unamortized debt discount.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Revolving Credit Facilities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have two secured revolving credit facilities with an aggregate borrowing capacity of $11.0 billion. These facilities consist of a three-year, $5.5 billion facility and a five-year, $5.5 billion facility. Availability under the secured revolving credit facilities is subject to borrowing base restrictions.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facilities allow for borrowing in U.S. dollars and other currencies, subject to certain sub-limits, and the three-year facility includes a GM Financial borrowing sub-limit of $4.0 billion. We had amounts in use under the letter of credit sub-facility under the three-year facility of $344 million and $207 million at March 31, 2013 and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December 31, 2012</w:t>
            </w:r>
          </w:p>
        </w:tc>
      </w:tr>
      <w:tr>
        <w:trPr>
          <w:trHeight w:val="264"/>
        </w:trPr>
        <w:tc>
          <w:tcPr>
            <w:tcW w:w="5320" w:type="dxa"/>
            <w:vAlign w:val="bottom"/>
          </w:tcPr>
          <w:p>
            <w:pPr>
              <w:spacing w:after="0"/>
              <w:rPr>
                <w:sz w:val="22"/>
                <w:szCs w:val="22"/>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Level</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22"/>
                <w:szCs w:val="22"/>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22"/>
                <w:szCs w:val="22"/>
                <w:color w:val="auto"/>
              </w:rPr>
            </w:pPr>
          </w:p>
        </w:tc>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Credit facilities</w:t>
            </w: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Syndicated warehouse facility</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warehouse facilities</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U.S. floorplan warehouse facility</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credit facilities</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Securitization notes payable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 notes payable</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8,669</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Private securitization 2012-PP1</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502</w:t>
            </w:r>
          </w:p>
        </w:tc>
      </w:tr>
      <w:tr>
        <w:trPr>
          <w:trHeight w:val="27"/>
        </w:trPr>
        <w:tc>
          <w:tcPr>
            <w:tcW w:w="5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securitization notes payable</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9,171</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Senior notes</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1,620</w:t>
            </w:r>
          </w:p>
        </w:tc>
      </w:tr>
      <w:tr>
        <w:trPr>
          <w:trHeight w:val="27"/>
        </w:trPr>
        <w:tc>
          <w:tcPr>
            <w:tcW w:w="5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11,145</w:t>
            </w:r>
          </w:p>
        </w:tc>
      </w:tr>
      <w:tr>
        <w:trPr>
          <w:trHeight w:val="20"/>
        </w:trPr>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carrying amount of the credit facilities is considered to be a reasonable estimate of fair value because these facilities have variable rates of interest and maturities of approximately one year. The fair value of the securitization notes payable and senior notes are based on quoted market prices, when available. If quoted prices are not available the market value is estimated by discounting future net cash flows expected to be settled using a current risk-adjusted rate.</w:t>
      </w:r>
    </w:p>
    <w:p>
      <w:pPr>
        <w:spacing w:after="0" w:line="1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 Financial uses observable and unobservable inputs to estimate fair value for the private securitization 2012-PP1. Unobservable inputs are related to the structuring of the debt into various classes, which is based on public securitizations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same time frame. Observable inputs are used by obtaining active prices based on the securitization debt issued during the same time frame. These observable inputs are then used to create expected market prices (unobservable inputs), which are then applied to the debt classes in order to estimate fair value which would approximate market value.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further details regarding terms and availability of GM Financial's credit facilities at March 31, 2013 (dollars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Amount</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Advances</w:t>
            </w:r>
          </w:p>
        </w:tc>
        <w:tc>
          <w:tcPr>
            <w:tcW w:w="18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Assets Pledged</w:t>
            </w:r>
          </w:p>
        </w:tc>
        <w:tc>
          <w:tcPr>
            <w:tcW w:w="160" w:type="dxa"/>
            <w:vAlign w:val="bottom"/>
          </w:tcPr>
          <w:p>
            <w:pPr>
              <w:spacing w:after="0"/>
              <w:rPr>
                <w:sz w:val="14"/>
                <w:szCs w:val="14"/>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Restricted Cash</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75"/>
              <w:spacing w:after="0"/>
              <w:rPr>
                <w:sz w:val="20"/>
                <w:szCs w:val="20"/>
                <w:color w:val="auto"/>
              </w:rPr>
            </w:pPr>
            <w:r>
              <w:rPr>
                <w:rFonts w:ascii="Arial" w:cs="Arial" w:eastAsia="Arial" w:hAnsi="Arial"/>
                <w:sz w:val="14"/>
                <w:szCs w:val="14"/>
                <w:b w:val="1"/>
                <w:bCs w:val="1"/>
                <w:color w:val="auto"/>
              </w:rPr>
              <w:t>Pledged(a)</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Syndicated warehouse facility(b)</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U.S. lease warehouse facility(c)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floorplan warehouse facility(d)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Canada lease warehouse facility(e)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 w:hanging="332"/>
        <w:spacing w:after="0" w:line="249"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amounts do not include cash collected on finance receivables and leasing related assets pledged of $19 million which is included in Restricted cash and marketable securities.</w:t>
      </w:r>
    </w:p>
    <w:p>
      <w:pPr>
        <w:ind w:left="3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May 2013 when the revolving period ends, and if the facility is not renewed, the outstanding balance will be repaid over time based on the amortization of the receivables pledged until February 2020 when the remaining balance will be due and payable.</w:t>
      </w:r>
    </w:p>
    <w:p>
      <w:pPr>
        <w:jc w:val="both"/>
        <w:ind w:left="3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January 2013 GM Financial extended the maturity date of this facility to May 2014. In May 2014 when the revolving period ends, and if the facility is not renewed, the outstanding balance will be repaid over time based on the amortization of the related leased assets pledged until November 2019 when any remaining amount outstanding will be due and payable.</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March 2013 we entered into a $1.0 billion floorplan facility in the U.S. In March 2014 when the revolving period ends, and if the facility is not renewed, the outstanding balance will be repaid in fixed amounts over a six month period with a final maturity in August 2014.</w:t>
      </w:r>
    </w:p>
    <w:p>
      <w:pPr>
        <w:jc w:val="both"/>
        <w:ind w:left="340" w:hanging="332"/>
        <w:spacing w:after="0" w:line="25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July 2013 when the revolving period ends, and if the facility is not renewed, the outstanding balance will be repaid over time based on the amortization of the leasing related assets pledged until January 2019 when any remaining balance will be due and payable. Borrowings in the facility are collateralized by leased assets. At March 31, 2013 the facility amount represents CAD $800 million and the advances outstanding amount represents CAD $414 million.</w:t>
      </w:r>
    </w:p>
    <w:p>
      <w:pPr>
        <w:spacing w:after="0" w:line="15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As previously described GM Financial has the ability to borrow against our three-year $5.5 billion secured revolving credit facility up to the sub-limits of $4.0 billion.</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Securitization Notes Payable</w:t>
      </w:r>
    </w:p>
    <w:p>
      <w:pPr>
        <w:spacing w:after="0" w:line="22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Securitization notes payable represents debt issued by GM Financial in securitization transactions. The following table summarizes securitization notes payable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right"/>
              <w:ind w:right="1740"/>
              <w:spacing w:after="0"/>
              <w:rPr>
                <w:sz w:val="20"/>
                <w:szCs w:val="20"/>
                <w:color w:val="auto"/>
              </w:rPr>
            </w:pPr>
            <w:r>
              <w:rPr>
                <w:rFonts w:ascii="Arial" w:cs="Arial" w:eastAsia="Arial" w:hAnsi="Arial"/>
                <w:sz w:val="14"/>
                <w:szCs w:val="14"/>
                <w:b w:val="1"/>
                <w:bCs w:val="1"/>
                <w:color w:val="auto"/>
              </w:rPr>
              <w:t>March 31, 2013</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6"/>
              </w:rPr>
              <w:t>Original Weighted-Average</w:t>
            </w: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3"/>
              </w:rPr>
              <w:t>Year of Transactions</w:t>
            </w:r>
          </w:p>
        </w:tc>
        <w:tc>
          <w:tcPr>
            <w:tcW w:w="120" w:type="dxa"/>
            <w:vAlign w:val="bottom"/>
            <w:vMerge w:val="restart"/>
          </w:tcPr>
          <w:p>
            <w:pPr>
              <w:spacing w:after="0"/>
              <w:rPr>
                <w:sz w:val="12"/>
                <w:szCs w:val="12"/>
                <w:color w:val="auto"/>
              </w:rPr>
            </w:pPr>
          </w:p>
        </w:tc>
        <w:tc>
          <w:tcPr>
            <w:tcW w:w="25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Maturity Dates(a)</w:t>
            </w:r>
          </w:p>
        </w:tc>
        <w:tc>
          <w:tcPr>
            <w:tcW w:w="120" w:type="dxa"/>
            <w:vAlign w:val="bottom"/>
            <w:vMerge w:val="restart"/>
          </w:tcPr>
          <w:p>
            <w:pPr>
              <w:spacing w:after="0"/>
              <w:rPr>
                <w:sz w:val="12"/>
                <w:szCs w:val="1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Original Note Amounts</w:t>
            </w:r>
          </w:p>
        </w:tc>
        <w:tc>
          <w:tcPr>
            <w:tcW w:w="100" w:type="dxa"/>
            <w:vAlign w:val="bottom"/>
            <w:vMerge w:val="restart"/>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Receivables</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Note Balance</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Note Balance</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Interest Rates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Pledged</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January 2015 - April 2015</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 - 10.5%  $</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2640" w:type="dxa"/>
            <w:vAlign w:val="bottom"/>
            <w:gridSpan w:val="3"/>
          </w:tcPr>
          <w:p>
            <w:pPr>
              <w:ind w:left="40"/>
              <w:spacing w:after="0"/>
              <w:rPr>
                <w:sz w:val="20"/>
                <w:szCs w:val="20"/>
                <w:color w:val="auto"/>
              </w:rPr>
            </w:pPr>
            <w:r>
              <w:rPr>
                <w:rFonts w:ascii="Arial" w:cs="Arial" w:eastAsia="Arial" w:hAnsi="Arial"/>
                <w:sz w:val="18"/>
                <w:szCs w:val="18"/>
                <w:color w:val="auto"/>
              </w:rPr>
              <w:t>January 2016 - July 2017</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227 - 725</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 - 7.5%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July 2017</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April 2018</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200 - 850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- 3.8%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0"/>
              </w:rPr>
              <w:t>July 2018</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 March 2019</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800 - 1,000</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 - 2.9%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2019 - May 2020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800 - 1,300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- 2.9%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0"/>
              </w:rPr>
              <w:t>July 2020</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color w:val="auto"/>
              </w:rPr>
              <w:t>Acquisition accounting premium</w:t>
            </w: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03"/>
        </w:trPr>
        <w:tc>
          <w:tcPr>
            <w:tcW w:w="4140" w:type="dxa"/>
            <w:vAlign w:val="bottom"/>
            <w:gridSpan w:val="5"/>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securitization notes payable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Maturity dates represent final legal maturity of securitization notes payable. Securitization notes payable are expected to be paid based on amortization of the finance receivables pledged to the trusts.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Product Warranty Liability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summarizes activity for policy, product warranty, recall campaigns and certified used vehicle warranty liabilities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Warranties issued and assumed in period</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864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pre-existing warranties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233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translation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6,841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Pension and OPEB (Income) Expense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the components of net periodic pension and other postretirement benefits (OPEB) (income) expense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4"/>
              </w:rPr>
              <w:t>Three Months Ended March 31, 2013</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March 31, 2012</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U.S. Plans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U.S. Plans</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U.S. Plans</w:t>
            </w: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Non-U.S.</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U.S. Plans</w:t>
            </w:r>
          </w:p>
        </w:tc>
        <w:tc>
          <w:tcPr>
            <w:tcW w:w="140" w:type="dxa"/>
            <w:vAlign w:val="bottom"/>
          </w:tcPr>
          <w:p>
            <w:pPr>
              <w:spacing w:after="0"/>
              <w:rPr>
                <w:sz w:val="13"/>
                <w:szCs w:val="13"/>
                <w:color w:val="auto"/>
              </w:rPr>
            </w:pPr>
          </w:p>
        </w:tc>
        <w:tc>
          <w:tcPr>
            <w:tcW w:w="7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4"/>
              </w:rPr>
              <w:t>Non-U.S.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Pension</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Benefits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w w:val="96"/>
              </w:rPr>
              <w:t>Curtailments, settlements and other (gains)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periodic pension and OPEB (income)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2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340" w:type="dxa"/>
            <w:vAlign w:val="bottom"/>
            <w:gridSpan w:val="3"/>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Defined Benefit Pension Plan</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January 2012 we amended the salaried pension plan to cease the accrual of additional benefits effective September 30, 2012. This amendment resulted in a curtailment which decreased the pension liability and decreased the net pre-tax actuarial loss component of Accumulated other comprehensive loss by $309 million in the three months ended March 31, 2012. Active plan participants started receiving additional contributions in the defined contribution plan in October 2012.</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Remeasurements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March 31, 2012 certain pension plans in GME were remeasured as part of our Goodwill impairment testing, resulting in an increase of $150 million in the pension liability and a pre-tax increase in the net actuarial loss component of Accumulated other comprehensive loss.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9 for additional information on our Goodwill impairment.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 and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Derivatives and Hedge Accounting</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accordance with our risk management policy we enter into a variety of foreign currency exchange rate and commodity derivative contracts to manage our exposure to fluctuations in certain foreign currency exchange rates and commodity prices. At March 31, 2013 and December 31, 2012 our derivative instruments consisted primarily of forward contracts and options, none of which were designated in hedging relationships.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manage our counterparty credit risk by monitoring the credit ratings of our counterparties and by requiring them to post collateral in certain circumstances. Master netting agreements are entered into with counterparties that include a provision to allow the set-off of certain amounts in order to manage counterparty credit risk.</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Such master netting agreements with counterparties are based on International Swaps and Derivatives Association, Inc. guidelines and are modified as required. These agreements provide a right to offset corresponding amounts at the option of the non-defaulting party or non-affected party upon the early termination of these agreements by default, upon certain other termination events and a credit event upon merger. To the extent that any amounts are offset with notice to the counterparty, the offset amounts are discharged in all respects.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Certain of our agreements with counterparties require that we either receive or provide cash collateral. At March 31, 2013 and December 31, 2012 no collateral was provided to counterparties; however, we have received collateral from counterparties related to certain derivative instruments. We are not subject to any covenants requiring the maintenance of certain credit rating levels or credit risk ratios that would require the posting of collateral in the event that such covenants are violated.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Offsetting of Derivatives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Our policy is to present derivative assets and liabilities on a gross basis. The potential effect from offsetting those derivative assets and liabilities that are subject to master netting agreements is insignificant.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fair value measurements of our derivative instruments measured on a recurring basis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March 31, 2013</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Derivative Assets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Current(a)</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Non-Current(b)</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Non-Current(d)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Commodity</w:t>
            </w:r>
          </w:p>
        </w:tc>
        <w:tc>
          <w:tcPr>
            <w:tcW w:w="26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Embedded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8,673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December 31, 2012</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Derivative Assets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Current(a)</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Non-Current(b)</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Non-Current(d)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Commodity</w:t>
            </w:r>
          </w:p>
        </w:tc>
        <w:tc>
          <w:tcPr>
            <w:tcW w:w="26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Embedded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10,751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jc w:val="right"/>
              <w:ind w:right="3470"/>
              <w:spacing w:after="0"/>
              <w:rPr>
                <w:sz w:val="20"/>
                <w:szCs w:val="20"/>
                <w:color w:val="auto"/>
              </w:rPr>
            </w:pPr>
            <w:r>
              <w:rPr>
                <w:rFonts w:ascii="Arial" w:cs="Arial" w:eastAsia="Arial" w:hAnsi="Arial"/>
                <w:sz w:val="18"/>
                <w:szCs w:val="18"/>
                <w:color w:val="auto"/>
                <w:w w:val="87"/>
              </w:rPr>
              <w:t>__________</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Recorded in Other current assets.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Recorded in Other assets.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Recorded in Accrued liabilities.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Recorded in Other liabilities and deferred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March 31, 2013</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December 31, 2012</w:t>
            </w:r>
          </w:p>
        </w:tc>
        <w:tc>
          <w:tcPr>
            <w:tcW w:w="6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118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Embedded</w:t>
            </w:r>
          </w:p>
        </w:tc>
        <w:tc>
          <w:tcPr>
            <w:tcW w:w="16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ind w:left="3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Embedded</w:t>
            </w:r>
          </w:p>
        </w:tc>
        <w:tc>
          <w:tcPr>
            <w:tcW w:w="16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measure the fair value of our portfolio of foreign currency, commodity and embedded derivatives using industry accepted models. The significant Level 2 inputs used in the valuation of our derivatives include spot rates, forward rates, volatility and interest rates. These inputs are obtained from pricing services, broker quotes and other sources.</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are party to agreements in which pricing is affected by movements in commodity prices or currency exchange rates. Therefore we determined these agreements to be derivatives or have embedded derivatives for accounting purposes. The valuations of these derivatives use Level 3 inputs. Unobservable inputs include foreign currency forward exchange rates, volume commitments and vehicle mix and current and forward commodity prices.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valuations are performed, reviewed and approved by personnel with appropriate expertise in valuation methodologies. For certain derivatives we compare our own valuations with valuations prepared by independent outside parties.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for our derivative investments measured using Level 3 inputs (dollars in millions):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center"/>
              <w:ind w:right="12"/>
              <w:spacing w:after="0"/>
              <w:rPr>
                <w:sz w:val="20"/>
                <w:szCs w:val="20"/>
                <w:color w:val="auto"/>
              </w:rPr>
            </w:pPr>
            <w:r>
              <w:rPr>
                <w:rFonts w:ascii="Arial" w:cs="Arial" w:eastAsia="Arial" w:hAnsi="Arial"/>
                <w:sz w:val="14"/>
                <w:szCs w:val="14"/>
                <w:b w:val="1"/>
                <w:bCs w:val="1"/>
                <w:color w:val="auto"/>
                <w:w w:val="95"/>
              </w:rPr>
              <w:t>Three Months Ended March 31, 2013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center"/>
              <w:ind w:right="32"/>
              <w:spacing w:after="0"/>
              <w:rPr>
                <w:sz w:val="20"/>
                <w:szCs w:val="20"/>
                <w:color w:val="auto"/>
              </w:rPr>
            </w:pPr>
            <w:r>
              <w:rPr>
                <w:rFonts w:ascii="Arial" w:cs="Arial" w:eastAsia="Arial" w:hAnsi="Arial"/>
                <w:sz w:val="14"/>
                <w:szCs w:val="14"/>
                <w:b w:val="1"/>
                <w:bCs w:val="1"/>
                <w:color w:val="auto"/>
                <w:w w:val="95"/>
              </w:rPr>
              <w:t>Three Months Ended March 31, 2012</w:t>
            </w: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Embedded</w:t>
            </w:r>
          </w:p>
        </w:tc>
        <w:tc>
          <w:tcPr>
            <w:tcW w:w="140" w:type="dxa"/>
            <w:vAlign w:val="bottom"/>
          </w:tcPr>
          <w:p>
            <w:pPr>
              <w:spacing w:after="0"/>
              <w:rPr>
                <w:sz w:val="22"/>
                <w:szCs w:val="2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Commodity</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Embedded</w:t>
            </w:r>
          </w:p>
        </w:tc>
        <w:tc>
          <w:tcPr>
            <w:tcW w:w="140" w:type="dxa"/>
            <w:vAlign w:val="bottom"/>
          </w:tcPr>
          <w:p>
            <w:pPr>
              <w:spacing w:after="0"/>
              <w:rPr>
                <w:sz w:val="22"/>
                <w:szCs w:val="2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Commodity</w:t>
            </w:r>
          </w:p>
        </w:tc>
        <w:tc>
          <w:tcPr>
            <w:tcW w:w="240" w:type="dxa"/>
            <w:vAlign w:val="bottom"/>
          </w:tcPr>
          <w:p>
            <w:pPr>
              <w:spacing w:after="0"/>
              <w:rPr>
                <w:sz w:val="22"/>
                <w:szCs w:val="22"/>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50"/>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Total realized/unrealized gains (losses)(a)</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20" w:type="dxa"/>
            <w:vAlign w:val="bottom"/>
          </w:tcPr>
          <w:p>
            <w:pPr>
              <w:spacing w:after="0"/>
              <w:rPr>
                <w:sz w:val="21"/>
                <w:szCs w:val="21"/>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of total gains (losses) in the period included in</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attributable to the change in unrealized gains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(losses) relating to assets still held at the reporting date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________</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ind w:left="340" w:hanging="332"/>
        <w:spacing w:after="0" w:line="25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Realized and unrealized gains (losses) are recorded in Interest income and other non-operating income, net and foreign currency translation gains (losses) are recorded in Accumulated other comprehensive loss.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Losses on Derivatives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derivative losses recorded in Interest income and other non-operating income, net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2013</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2012</w:t>
            </w:r>
          </w:p>
        </w:tc>
        <w:tc>
          <w:tcPr>
            <w:tcW w:w="300" w:type="dxa"/>
            <w:vAlign w:val="bottom"/>
            <w:tcBorders>
              <w:bottom w:val="single" w:sz="8" w:color="auto"/>
            </w:tcBorders>
          </w:tcPr>
          <w:p>
            <w:pPr>
              <w:spacing w:after="0"/>
              <w:rPr>
                <w:sz w:val="22"/>
                <w:szCs w:val="2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128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Commodity</w:t>
            </w:r>
          </w:p>
        </w:tc>
        <w:tc>
          <w:tcPr>
            <w:tcW w:w="12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Embedded</w:t>
            </w: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43</w:t>
            </w: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color w:val="auto"/>
              </w:rPr>
              <w:t>Total losses recorded in earnings</w:t>
            </w:r>
          </w:p>
        </w:tc>
        <w:tc>
          <w:tcPr>
            <w:tcW w:w="1280" w:type="dxa"/>
            <w:vAlign w:val="bottom"/>
            <w:tcBorders>
              <w:top w:val="single" w:sz="8" w:color="auto"/>
              <w:bottom w:val="single" w:sz="8" w:color="auto"/>
            </w:tcBorders>
          </w:tcPr>
          <w:p>
            <w:pPr>
              <w:jc w:val="right"/>
              <w:ind w:right="109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25</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65</w:t>
            </w:r>
          </w:p>
        </w:tc>
      </w:tr>
      <w:tr>
        <w:trPr>
          <w:trHeight w:val="20"/>
        </w:trPr>
        <w:tc>
          <w:tcPr>
            <w:tcW w:w="8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is exposed to market risks arising from adverse changes in interest rates due to floating interest rate exposure on its credit facilities and on certain securitization notes payable and manages this exposure with interest rate swaps and caps. GM Financial had interest rate derivatives in asset positions with notional amounts of $1.7 billion and $775 million at March 31, 2013 and December 31, 2012. GM Financial had interest rate derivatives in liability positions with notional amounts of $1.7 billion and $775 million at March 31, 2013 and December 31, 2012. The fair value of these derivative financial instruments was insignificant.</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connection with the anticipated closing of the acquisition of certain Ally Financial international operations, GM Financial provided a loan denominated in foreign currencies (Euro, British Pound and Swedish Krona) to an acquired entity for the equivalent of $1.5 billion. In March 2013 GM Financial entered into foreign currency exchange swaps to hedge against any valuation change in the loan due to changes in foreign exchange rates. At March 31, 2013 the notional amount of the foreign currency exchange swaps was $1.5 billion. The fair value of the foreign currency exchange swaps was insignificant. Refer to Note 24 for additional information on the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December 31, 2012</w:t>
            </w:r>
          </w:p>
        </w:tc>
      </w:tr>
      <w:tr>
        <w:trPr>
          <w:trHeight w:val="152"/>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Liability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3"/>
                <w:szCs w:val="13"/>
                <w:color w:val="auto"/>
              </w:rPr>
            </w:pPr>
          </w:p>
        </w:tc>
        <w:tc>
          <w:tcPr>
            <w:tcW w:w="88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rPr>
              <w:t>Maximum</w:t>
            </w:r>
          </w:p>
        </w:tc>
      </w:tr>
      <w:tr>
        <w:trPr>
          <w:trHeight w:val="192"/>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Liability(a)</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Liability(a)</w:t>
            </w:r>
          </w:p>
        </w:tc>
      </w:tr>
      <w:tr>
        <w:trPr>
          <w:trHeight w:val="250"/>
        </w:trPr>
        <w:tc>
          <w:tcPr>
            <w:tcW w:w="20" w:type="dxa"/>
            <w:vAlign w:val="bottom"/>
          </w:tcPr>
          <w:p>
            <w:pPr>
              <w:spacing w:after="0"/>
              <w:rPr>
                <w:sz w:val="21"/>
                <w:szCs w:val="21"/>
                <w:color w:val="auto"/>
              </w:rPr>
            </w:pPr>
          </w:p>
        </w:tc>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Guarantees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Third party commercial loans and other obligations(b)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21,997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22,496</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product-related claims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1,040</w:t>
            </w:r>
          </w:p>
        </w:tc>
      </w:tr>
      <w:tr>
        <w:trPr>
          <w:trHeight w:val="220"/>
        </w:trPr>
        <w:tc>
          <w:tcPr>
            <w:tcW w:w="20" w:type="dxa"/>
            <w:vAlign w:val="bottom"/>
          </w:tcPr>
          <w:p>
            <w:pPr>
              <w:spacing w:after="0"/>
              <w:rPr>
                <w:sz w:val="19"/>
                <w:szCs w:val="19"/>
                <w:color w:val="auto"/>
              </w:rPr>
            </w:pPr>
          </w:p>
        </w:tc>
        <w:tc>
          <w:tcPr>
            <w:tcW w:w="6960" w:type="dxa"/>
            <w:vAlign w:val="bottom"/>
          </w:tcPr>
          <w:p>
            <w:pPr>
              <w:jc w:val="right"/>
              <w:ind w:right="5990"/>
              <w:spacing w:after="0"/>
              <w:rPr>
                <w:sz w:val="20"/>
                <w:szCs w:val="20"/>
                <w:color w:val="auto"/>
              </w:rPr>
            </w:pPr>
            <w:r>
              <w:rPr>
                <w:rFonts w:ascii="Arial" w:cs="Arial" w:eastAsia="Arial" w:hAnsi="Arial"/>
                <w:sz w:val="18"/>
                <w:szCs w:val="18"/>
                <w:color w:val="auto"/>
                <w:w w:val="85"/>
              </w:rPr>
              <w:t>__________</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Calculated as future undiscounted payments.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liabilities recorded of $15 million and $15 million and maximum liabilities of $19.9 billion and $22.1 billion related to Ally Financial repurchase obligations at March 31, 2013 and December 2012.</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1020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89" w:lineRule="exact"/>
        <w:rPr>
          <w:sz w:val="20"/>
          <w:szCs w:val="20"/>
          <w:color w:val="auto"/>
        </w:rPr>
      </w:pPr>
    </w:p>
    <w:p>
      <w:pPr>
        <w:jc w:val="center"/>
        <w:ind w:left="8340"/>
        <w:spacing w:after="0"/>
        <w:rPr>
          <w:sz w:val="20"/>
          <w:szCs w:val="20"/>
          <w:color w:val="auto"/>
        </w:rPr>
      </w:pPr>
      <w:r>
        <w:rPr>
          <w:rFonts w:ascii="Arial" w:cs="Arial" w:eastAsia="Arial" w:hAnsi="Arial"/>
          <w:sz w:val="13"/>
          <w:szCs w:val="13"/>
          <w:b w:val="1"/>
          <w:bCs w:val="1"/>
          <w:color w:val="auto"/>
        </w:rPr>
        <w:t>Liability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38100</wp:posOffset>
            </wp:positionV>
            <wp:extent cx="10121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Liability Recorded</w:t>
      </w:r>
    </w:p>
    <w:p>
      <w:pPr>
        <w:spacing w:after="0" w:line="75" w:lineRule="exact"/>
        <w:rPr>
          <w:sz w:val="20"/>
          <w:szCs w:val="20"/>
          <w:color w:val="auto"/>
        </w:rPr>
      </w:pPr>
    </w:p>
    <w:p>
      <w:pPr>
        <w:sectPr>
          <w:pgSz w:w="11900" w:h="16838" w:orient="portrait"/>
          <w:cols w:equalWidth="0" w:num="2">
            <w:col w:w="9500" w:space="540"/>
            <w:col w:w="13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Credit card programs(a)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Redemption liability(b)</w:t>
            </w:r>
          </w:p>
        </w:tc>
        <w:tc>
          <w:tcPr>
            <w:tcW w:w="23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6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revenue(c)</w:t>
            </w:r>
          </w:p>
        </w:tc>
        <w:tc>
          <w:tcPr>
            <w:tcW w:w="2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Environmental liability(d)</w:t>
            </w:r>
          </w:p>
        </w:tc>
        <w:tc>
          <w:tcPr>
            <w:tcW w:w="23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6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liability</w:t>
            </w:r>
          </w:p>
        </w:tc>
        <w:tc>
          <w:tcPr>
            <w:tcW w:w="2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litigation-related liability and tax administrative matters(e)</w:t>
            </w:r>
          </w:p>
        </w:tc>
        <w:tc>
          <w:tcPr>
            <w:tcW w:w="23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1,733</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1,728</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__________</w:t>
            </w:r>
          </w:p>
        </w:tc>
        <w:tc>
          <w:tcPr>
            <w:tcW w:w="2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ind w:left="340" w:hanging="332"/>
        <w:spacing w:after="0" w:line="249"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March 31, 2013 and December 31, 2012 qualified cardholders had rebates available, net of deferred program revenue, of approximately$3 billion. This was originally reported as $1.8 billion in our Annual Report on Form 10-K as of December 31, 2012.</w:t>
      </w: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Recorded in Accrued liabilities.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Recorded in Other liabilities and deferred income taxes</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$28 million and $33 million recorded in Accrued liabilities at March 31, 2013 and December 31, 2012 and the remainder was recorded in Other liabilities and deferred income taxes.</w:t>
      </w: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Primarily various non-U.S. labor related matters and indirect tax-related litigation.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provide payment guarantees on commercial loans outstanding with third parties, such as dealers or rental car companies. These guarantees either expire in 2018 or are ongoing. We determined the fair value ascribed to the guarantees at inception and subsequent to inception to be insignificant based on the credit worthiness of the third parties.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agreements with third parties that guarantee the fulfillment of certain suppliers' commitments and other obligations. These guarantees expire in 2013 through 2017 or are ongoing, or upon the occurrence of specific events.</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some instances certain assets of the party whose debt or performance we have guaranteed may offset, to some degree, the cost of the guarantee. The offset of certain of our payables to guaranteed parties may also offset certain guarantees, if triggered. If vehicles are required to be repurchased under vehicle repurchase obligations, the total exposure would be reduced to the extent vehicles are able to be resold to another dealer.</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connection with certain divestitures of assets or operating businesses, we have entered into agreements indemnifying certain buyers and other parties with respect to environmental conditions and other closure costs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Immaterial amounts have been recorded for such obligations as the majority of them are not probable or estimable at this time and the fair value of the guarantees at issuance was insignificant.</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Recorded liabilities are not reduced for possible recoveries from insurance carriers or other parties. Liabilities have been recorded for the expected costs to be paid over the periods of remediation for the applicable sites, which typically range from five to 30 years.</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March 31, 2013 we estimate the remediation losses could range from $120 million to $250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With respect to product liability claims involving our and Old GM's products, we believe that any judgment against us for actual damages will be adequately covered by our recorded accruals and, where applicable, excess liability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product liability claims that have already been incurred and are expected to be filed in the future for which we are self-insured. These amounts were recorded in Accrued liabilities and Other liabilities and deferred income taxes.</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indemnify dealers for certain product liability related claims including products sold by Old GM. We monitor actual claims experience and make periodic adjustments to our estimates. Based on both management's judgment concerning the projected number and value of both dealer indemnification obligations and product liability claims, we have applied actuarial methodologies and estimated the liability. We expect our product liability reserve to rise in future periods as new claims arise from incidents subsequent to July 9,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ASC 740, "Income Taxes" (indirect tax-related matters) and environmental matters.</w:t>
      </w:r>
    </w:p>
    <w:p>
      <w:pPr>
        <w:spacing w:after="0" w:line="18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we believe that losses are probable and can be reasonably estimated, the majority of which are associated with non-U.S. labor-related matters as well as indirect tax-related matters. The various non-U.S. labor-related matters include claims from current and former employees related to alleged unpaid wage, benefit, severance and other compensation matters. Indirect tax-related matters are being litigated globally pertaining to value added taxes, customs, duties, sales, property taxes and other non-income tax related tax exposures. Certain South American administrative proceedings are indirect tax-related and may require that we deposit funds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escrow. Escrow deposits may range from $500 million to $700 million. Some of the matters may involve compensatory, punitive or other treble damage claims, environmental remediation programs or sanctions that, if granted, could require us to pay damages or make other expenditures in amounts that could not be reasonably estimated at March 31, 2013. We believe that appropriate accruals have been established for such matters based on information currently available. Reserves for litigation losses are recorded in Accrued liabilities and Other liabilities and deferred income taxes.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Commencing on or about September 29, 2010 current and former hourly employees of GM Korea filed seven separate group actions in the Incheon District Court in Incheon, Korea. The cases, which in aggregate involve more than 10,000 employees, allege that GM Korea failed to include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which was contrary to GM Korea's position in all of these cases. Although GM Korea believes the decision of the Seoul High Court is incorrect and has appealed to the Supreme Court of the Republic of Korea, at March 31, 2013 we have an accrual of KRW 778 billion (equivalent to $699 million) in connection with these cases. We do not believe we have any reasonably possible exposure in excess of the amount of the accrual. Both the scope of claims asserted and GM Korea's assessment of any or all of individual claim elements may change if new information becomes available.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GMCL Dealers' Claim</w:t>
      </w:r>
    </w:p>
    <w:p>
      <w:pPr>
        <w:spacing w:after="0" w:line="22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On February 12, 2010 a claim was filed in the Ontario Superior Court of Justice against General Motors of Canada Limited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On June 22, 2011 the court granted GMCL permission to appeal the class certification decision. On March 26, 2012 the Ontario Superior Court dismissed GMCL's appeal of the class certification order. Accordingly the case will proceed as a class action. Twenty-six dealers within the certified class definition have indicated that they will not participate. The current prospects for liability are uncertain, but because liability is not deemed probable we have no accrual relating to this litigation. We cannot estimate the range of reasonably possible loss in the event of liability as the case presents a variety of different legal theories, none of which GMCL believes are valid.</w:t>
      </w:r>
    </w:p>
    <w:p>
      <w:pPr>
        <w:spacing w:after="0" w:line="3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UAW Claim</w:t>
      </w:r>
    </w:p>
    <w:p>
      <w:pPr>
        <w:spacing w:after="0" w:line="225" w:lineRule="exact"/>
        <w:rPr>
          <w:sz w:val="20"/>
          <w:szCs w:val="20"/>
          <w:color w:val="auto"/>
        </w:rPr>
      </w:pPr>
    </w:p>
    <w:p>
      <w:pPr>
        <w:jc w:val="both"/>
        <w:ind w:right="20" w:firstLine="162"/>
        <w:spacing w:after="0" w:line="273" w:lineRule="auto"/>
        <w:rPr>
          <w:sz w:val="20"/>
          <w:szCs w:val="20"/>
          <w:color w:val="auto"/>
        </w:rPr>
      </w:pPr>
      <w:r>
        <w:rPr>
          <w:rFonts w:ascii="Arial" w:cs="Arial" w:eastAsia="Arial" w:hAnsi="Arial"/>
          <w:sz w:val="17"/>
          <w:szCs w:val="17"/>
          <w:color w:val="auto"/>
        </w:rPr>
        <w:t>On April 6, 2010 the International Union, United Automobile, Aerospace and Agriculture Implement Workers of America (UAW) filed suit against us in the U.S. District Court for the Eastern District of Michigan claiming that we breached an obligation to contribute $450 million to the UAW Retiree Medical Benefits Trust. The UAW alleges that we were contractually required to make this contribution. The reasonably possible loss as defined by ASC 450, “Contingencies” is $450 million, which is the amount claimed. We believe that the claim is without merit and we have no accrual relating to this litigation. We believe the UAW's claim is barred by the 2009 UAW Retiree Settlement Agreement approved by the U.S. Bankruptcy Court for the Southern District of New York (Bankruptcy Court). We also maintain that Delphi Corporation's bankruptcy plan of reorganization did not fulfill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applicable conditions of the relevant agreement and therefore payment would not be due even in the absence of the 2009 UAW Retiree Settlement Agreement.</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Nova Scotia Claims Litigation</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are a participating party-in-interest in proceedings pending in the Bankruptcy Court to adjudicate claims in the Old GM bankruptcy arising from certain securities issued by General Motors Nova Scotia Finance Company (Nova Scotia Finance), an Old GM subsidiary which we did not acquire in 2009 (Nova Scotia Claims Litigation). Although the current proceedings involve no claims against us, they present issues which, depending upon their resolution, could result in future claims against GMCL.</w:t>
      </w:r>
    </w:p>
    <w:p>
      <w:pPr>
        <w:spacing w:after="0" w:line="187"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In 2003 Nova Scotia Finance, a Nova Scotia unlimited liability company, issued notes of 600 million British Pounds which were guaranteed by Old GM (Guaranty) (collectively, the Nova Scotia Notes). The proceeds of the Nova Scotia Notes were converted to CAD and loaned by Nova Scotia Finance to GMCL by means of two intercompany loans totaling CAD $1.3 billion. As part of the bankruptcy proceeding these intercompany loans were compromised for CAD $399 million pursuant to a transaction defined by a Lock-Up Agreement between GMCL, Nova Scotia Finance, Old GM and certain holders of the Nova Scotia Notes (Noteholders). The Lock-Up Agreement defined a transaction by which the Noteholders consented to, among other things, the compromise of the intercompany loans in exchange for payment of CAD $399 million as a Consent Fee. The Consent Fee was originally financed by a loan from Old GM to GMCL immediately prior to the Old GM bankruptcy filing. That loan was subsequently repaid. Pursuant to the terms of the Lock-Up Agreement, the Consent Fee did not reduce the principal amount outstanding under the Nova Scotia Notes or the Guaranty. We acquired Old GM's interest in the Lock-Up Agreement in 2009.</w:t>
      </w:r>
    </w:p>
    <w:p>
      <w:pPr>
        <w:spacing w:after="0" w:line="197"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the Nova Scotia Claims Litigation the Noteholders seek an allowed claim in the Old GM bankruptcy based on the Guaranty. The trustee of Nova Scotia Finance seeks an allowed claim in the amount of the deficiency between Nova Scotia Finance's assets and liabilities by reason of the fact that it is an unlimited liability company and Old GM was its sole shareholder. The claim asserted by the trustee includes sums allegedly owed by Nova Scotia Finance to us by reason of currency swaps entered into between Old GM and Nova Scotia Finance which we contend we acquired from Old GM in 2009. Allowance of the claims is opposed by the GUC Trust which asserts that the claims of the trustee and Noteholders are duplicative, that they should be reduced by the amount of the Consent Fee and/or that they should be equitably subordinated or equitably disallowed by reason of alleged inequitable conduct by the Noteholders. In support of this position the GUC Trust has asserted that the Lock-Up Agreement is void because it was not approved by the Bankruptcy Court and was funded by Old GM, that we did not acquire MLC's interest in the Lock-Up Agreements and currency swaps and that other aspects of the sale of assets to us on July 10, 2009 may be adjusted to permit disallowance or reduction of the claims of the Noteholders and the trustee. The trial has commenced but final briefing and argument is not complete and the timing of any decision is uncertain.</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Although we believe the positions taken by the GUC Trust are without merit, it is reasonably possible that the Bankruptcy Court will issue rulings adverse to our interest in the Nova Scotia Claims Litigation. Such rulings could lead to subsequent claims which, although we believe would be without merit, could adversely impact GMCL's compromise of the intercompany loans. It is impossible to estimate the reasonably possible loss which would depend upon a variety of factors including the outcome of additional litigation. However the compromise of the intercompany loans for CAD $399 million resulted in a savings to GMCL of CAD $935 million (equivalent to $921 million) which we believe represents a reasonable estimate of the approximate amount of the maximum reasonably possible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Excise Tax Incentive</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October 2012 the Brazilian government issued a decree which increased an excise tax rate by 30 percentage points, but also provided an offsetting tax incentive that requires participating companies to meet certain criteria, such as local investment and fuel efficiency standards. Participating companies that fail to meet the required criteria are subject to clawback provisions and fines. At March 31, 2013 we believe it is reasonably assured that the program requirements will be met based on the current business model and available technologies.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 Planned Spending Guarantee</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part of our Opel/Vauxhall restructuring plan agreed to with European labor representatives we have committed to achieving specified milestones associated with planned spending from 2011 to 2014 on certain product programs. If we fail to accomplish the requirements set out under the agreement we will be required to pay certain amounts up to Euro 265 million for each of those years, and/or interest on those amounts, to our employees. Certain inventory with a carrying amount of $172 million and $186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million at March 31, 2013 and December 31, 2012 was pledged as collateral under the agreement. Through March 31, 2013 spending was sufficient to meet the current requirements under the agreement and the specified milestones have been accomplished. Management has the intent and believes it has the ability to meet the future requirements under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 to date ordinary income (loss). The tax effects of unusual or infrequently occurring items, including changes in judgment about valuation allowances and effects of changes in tax laws or rates, are reported in the interim period in which they occur. Tax jurisdictions with a projected or year to date loss for which a tax benefit cannot be realized are excluded</w:t>
      </w:r>
      <w:r>
        <w:rPr>
          <w:rFonts w:ascii="Arial" w:cs="Arial" w:eastAsia="Arial" w:hAnsi="Arial"/>
          <w:sz w:val="16"/>
          <w:szCs w:val="16"/>
          <w:i w:val="1"/>
          <w:iCs w:val="1"/>
          <w:color w:val="auto"/>
        </w:rPr>
        <w:t>.</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interim periods income tax expense is composed of two key elements: (1) the amount necessary to appropriately state the year to date estimated tax expense of entities included in our effective tax rate calculation, which is calculated as the difference between the amount currently estimated for the year to date period and the amount previously recorded in prior interim periods; and (2) the tax effect of unusual or infrequent items that occur in the period.</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March 31, 2013 income tax expense of $409 million primarily resulted from tax expense attributable to entities included in our effective tax rate calculation, partially offset by the U.S. research credit legislated in the three months ended March 31, 2013. In the three months ended March 31, 2012 income tax expense of $216 million primarily resulted from tax expense attributable to entities included in our effective tax rate calculation. The recorded effective tax rate in the three months ended March 31, 2012 is lower than the applicable statutory tax rate due primarily to income earned in jurisdictions for which a full valuation allowance is recorded.</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file income tax returns in many jurisdictions and are subject to examination by taxing authorities throughout the world. We have open tax years from 2002 to 2012 with various significant tax jurisdictions. These open years contain matters that could be subject to differing interpretations of applicable tax laws and regulations as they relate to the amount, character, timing or inclusion of revenue and expenses or the sustainability of income tax credits for a given audit cycle. In addition the global nature of our operations means that transfer pricing disputes may arise.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April 2013 we settled a previously disclosed Mexican income tax matter covering the years 2002, 2003 and 2004 for $35 million.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 March 31, 2013 it is not possible to reasonably estimate the expected change to the total amount of unrecognized tax benefits in the next 12 months.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Restructuring and Other Initiatives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reserves related to restructuring and other initiatives and charges by segment, including postemployment benefit reserves and charges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16"/>
                <w:szCs w:val="16"/>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2013(a)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24"/>
                <w:szCs w:val="2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2012(a)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$349 million and $357 million at March 31, 2013 and 2012 for GMNA, primarily relate to postemployment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GMNA recorded charges, interest accretion and other and revisions to estimates primarily related to cash severance incentive programs for skilled trade U.S. hourly employees.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Due to the expected closure of the Oshawa Consolidated Plant in June 2014, impacted employees will be eligible for a voluntary restructuring separation incentive program in accordance with the existing collective bargaining agreement that provides cash and a car voucher. This may range up to $70 million and will be included in our restructuring liability, net of existing liabilities, upon irrevocable acceptance by both parties.</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GME recorded charges, interest accretion and other and revisions to estimates for previously announced separation and early retirement programs. Through March 31, 2013 the active separation programs related to Germany and the United Kingdom had a total cost of $82 million and had affected a total of 550 employees. We expect to complete these programs in 2013 and incur an additional $185 million, which will affect an additional 725 employees.</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GMIO recorded charges, interest accretion and other for previously announced separation programs in Korea. Through March 31, 2013 the active separation programs related to Korea had a total cost of $43 million and had affected a total of 360 employees.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GMSA recorded charges, interest accretion and other and revisions to estimates for active separation programs. Through March 31, 2013 the active separation programs related to Brazil had a total cost of $92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2012</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GMNA recorded charges, interest accretion and other and revisions to estimates primarily related to our 2011 UAW labor agreement that included cash severance incentive programs which were completed at March 31, 2012 for skilled trade U.S. hourly employees. A total of 1,400 skilled trade U.S. hourly employees participated in these programs at a total cost of $99 million and was recorded upon irrevocable acceptances by both parties.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firstLine="162"/>
        <w:spacing w:after="0" w:line="342" w:lineRule="auto"/>
        <w:rPr>
          <w:sz w:val="20"/>
          <w:szCs w:val="20"/>
          <w:color w:val="auto"/>
        </w:rPr>
      </w:pPr>
      <w:r>
        <w:rPr>
          <w:rFonts w:ascii="Arial" w:cs="Arial" w:eastAsia="Arial" w:hAnsi="Arial"/>
          <w:sz w:val="16"/>
          <w:szCs w:val="16"/>
          <w:color w:val="auto"/>
        </w:rPr>
        <w:t>GME recorded charges, interest accretion and other and revisions to estimates primarily related to previously announced separation and early retirement programs in Germany. Through March 31, 2012 the separation programs had a total cost of $313 million and affected a total of 1,900 employees.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and Common Stock</w:t>
      </w:r>
    </w:p>
    <w:p>
      <w:pPr>
        <w:spacing w:after="0" w:line="229" w:lineRule="exact"/>
        <w:rPr>
          <w:sz w:val="20"/>
          <w:szCs w:val="20"/>
          <w:color w:val="auto"/>
        </w:rPr>
      </w:pPr>
    </w:p>
    <w:p>
      <w:pPr>
        <w:ind w:right="580" w:firstLine="162"/>
        <w:spacing w:after="0" w:line="264"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276 million shares of Series A preferred stock, 100 million shares of Series B preferred stock and 1.4 billion shares of common stock issued and outstanding at March 31, 2013 and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Accumulated other comprehensive loss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Pre-Tax Amount</w:t>
            </w:r>
          </w:p>
        </w:tc>
        <w:tc>
          <w:tcPr>
            <w:tcW w:w="180" w:type="dxa"/>
            <w:vAlign w:val="bottom"/>
          </w:tcPr>
          <w:p>
            <w:pPr>
              <w:spacing w:after="0"/>
              <w:rPr>
                <w:sz w:val="16"/>
                <w:szCs w:val="16"/>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Expense (Benefit)</w:t>
            </w:r>
          </w:p>
        </w:tc>
        <w:tc>
          <w:tcPr>
            <w:tcW w:w="320" w:type="dxa"/>
            <w:vAlign w:val="bottom"/>
          </w:tcPr>
          <w:p>
            <w:pPr>
              <w:spacing w:after="0"/>
              <w:rPr>
                <w:sz w:val="16"/>
                <w:szCs w:val="16"/>
                <w:color w:val="auto"/>
              </w:rPr>
            </w:pPr>
          </w:p>
        </w:tc>
        <w:tc>
          <w:tcPr>
            <w:tcW w:w="1500" w:type="dxa"/>
            <w:vAlign w:val="bottom"/>
          </w:tcPr>
          <w:p>
            <w:pPr>
              <w:jc w:val="right"/>
              <w:ind w:right="451"/>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Balance at January 1, 2013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 comprehensive loss attributable to noncontrolling interests</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March 31,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Unrealized Gains (Losses) on Securities, Net</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January 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March 31,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Defined Benefit Plans, Net</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January 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 comprehensive income before reclassification adjustment</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adjustment - prior service credit(a)</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Reclassification adjustment - actuarial loss(a)</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March 31, 2013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Balance at January 1, 2013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before reclassification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Reclassification adjustment</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 comprehensive loss attributable to noncontrolling interests</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March 31,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Included in the computation of net periodic pension and OPEB cost. Refer to Note 15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and 2012 we were required to use the two-class method for calculating basic earnings per share and the more dilutive of the two-class or the if-converted method to calculate diluted earnings per share as the applicable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 value of our common stock was below $33.00 per common share in the periods ended March 31, 2013 and 2012. Under the two-class method for computing earnings per share, undistributed earnings are allocated to common stock and the Series B Preferred Stock according to their respective participation rights in undistributed earnings, as if all the earnings for the period had been distributed. This allocation to the Series B Preferred Stock holders reduced Net income attributable to common stockholders, resulting in a lower basic and dilutive earnings per share amount. Variability may result in our calculation of earnings per share from period to period depending on whether the application of the two-class method is required.</w:t>
      </w:r>
    </w:p>
    <w:p>
      <w:pPr>
        <w:spacing w:after="0" w:line="173"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were outstanding.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basic and diluted earnings per share (in millions, except for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6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20" w:type="dxa"/>
            <w:vAlign w:val="bottom"/>
          </w:tcPr>
          <w:p>
            <w:pPr>
              <w:spacing w:after="0"/>
              <w:rPr>
                <w:sz w:val="21"/>
                <w:szCs w:val="21"/>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1,315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Less: cumulative dividends on preferred stock and undistributed earnings allocated to Series B Preferred Stock</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participating security(a)(b)</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1,004</w:t>
            </w: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0.64</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1,315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Less: cumulative dividends on preferred stock and undistributed earnings allocated to Series B Preferred Stock</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participating security(a)(c)</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1,010</w:t>
            </w: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1,572</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warrants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Dilutive effect of restricted stock units (RSUs)</w:t>
            </w: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1,692</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0.60</w:t>
            </w:r>
          </w:p>
        </w:tc>
      </w:tr>
      <w:tr>
        <w:trPr>
          <w:trHeight w:val="243"/>
        </w:trPr>
        <w:tc>
          <w:tcPr>
            <w:tcW w:w="8120" w:type="dxa"/>
            <w:vAlign w:val="bottom"/>
            <w:gridSpan w:val="2"/>
          </w:tcPr>
          <w:p>
            <w:pPr>
              <w:jc w:val="right"/>
              <w:ind w:right="7130"/>
              <w:spacing w:after="0"/>
              <w:rPr>
                <w:sz w:val="20"/>
                <w:szCs w:val="20"/>
                <w:color w:val="auto"/>
              </w:rPr>
            </w:pPr>
            <w:r>
              <w:rPr>
                <w:rFonts w:ascii="Arial" w:cs="Arial" w:eastAsia="Arial" w:hAnsi="Arial"/>
                <w:sz w:val="18"/>
                <w:szCs w:val="18"/>
                <w:color w:val="auto"/>
                <w:w w:val="87"/>
              </w:rPr>
              <w:t>__________</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ind w:left="340" w:right="20" w:hanging="332"/>
        <w:spacing w:after="0" w:line="249"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earned but undeclared dividends of $26 million on our Series A Preferred Stock and $20 million on our Series B Preferred Stock in the three months ended March 31, 2013 and 2012.</w:t>
      </w:r>
    </w:p>
    <w:p>
      <w:pPr>
        <w:jc w:val="both"/>
        <w:ind w:left="34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cumulative dividends on preferred stock of $215 million and earnings of $95 million that have been allocated to the Series B Preferred Stock holders in the three months ended March 31, 2013 and cumulative dividends on preferred stock of $215 million and earnings of $96 million that have been allocated to the Series B Preferred Stock holders in the three months ended March 31, 2012.</w:t>
      </w:r>
    </w:p>
    <w:p>
      <w:pPr>
        <w:spacing w:after="0" w:line="1"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cumulative dividends on preferred stock of $215 million and earnings of $87 million that have been allocated to the Series B Preferred Stock holders in the three months ended March 31, 2013 and cumulative dividends on preferred stock of $215 million and earnings of $90 million that have been allocated to the Series B Preferred Stock holders in the three months ended March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 and 2012</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The application of the two-class method resulted in an allocation of undistributed earnings to our Series B Preferred Stock holders and, accordingly, 152 million common stock equivalents from the assumed conversion of the Series B Preferred Stock are not considered outstanding for purposes of determining the weighted-average common shares outstanding in the computation of diluted earnings per share in the three months ended March 31, 2013 and 2012.</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MLC distributed all of its 272 million warrants for our common stock to its unsecured creditors and the GUC Trust. The warrant holders may exercise the warrants at any time prior to their respective expiration dates. Upon exercise of the warrants the shares issued will be included in the number of basic shares outstanding used in the computation of earnings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Warrants to purchase 312 million and 313 million shares of our common stock were outstanding at March 31, 2013 and 2012, of which 46 million shares were not included in the computation of diluted earnings per share because the warrants' exercise price was greater than the average market price of the common shares. Under the treasury stock method, the assumed exercise of the remaining warrants resulted in 134 million and 116 million dilutive shares in the three months ended March 31, 2013 and 2012.</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Diluted earnings per share included the effect of 12 million and 18 million unvested RSUs granted to certain global executives in the three months ended March 31, 2013 and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Stock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granted 6 million RSUs valued at the grant date fair value of our common stock in the three months ended March 31, 2013 and 2012. Substantially all of these awards vest over a three-year service period, as defined in the terms of each award. We have elected to record compensation cost for these awards on a straight-line basis over the entire vesting period. Our policy is to issue new shares upon settlement of RSUs.</w:t>
      </w:r>
    </w:p>
    <w:p>
      <w:pPr>
        <w:spacing w:after="0" w:line="16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2013 awards granted to the Top 25 highest compensated employees will settle on the second and third anniversary dates of grant in 25% increments consistent with the terms of the 2009 Long-Term Incentive Plan. The awards for the Next 75 highest compensated employees will settle on the second and third anniversary dates of grant. The awards to the non-Top 100 highest compensated employees will settle on the first, second and third anniversary dates of grant. Vesting and subsequent settlement will generally occur based upon employment at the end of each specified service period.</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2012 awards granted to the Top 25 highest compensated employees will settle on the second and third anniversary dates of grant in 25% increments consistent with the terms of the 2009 Long-Term Incentive Plan. The awards for the Next 75 and non-Top 100 highest compensated employees will vest and settle on the second and third anniversary dates of grant. Vesting and subsequent settlement will generally occur based upon employment at the end of each specified service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Stock Plan</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three months ended March 31, 2013 and 2012 a portion of each participant's salary accrued on each salary payment date converted to RSUs on a quarterly basis. The awards are fully vested and nonforfeitable upon grant, therefore compensation cost is fully recognized on the date of grant. In March 2012 we amended the plan to provide for cash settlement of awards. As a result we now settle these awards in cash and we reclassified $97 million from Capital surplus to Accrued liabilities and Other liabilities and deferred income taxes. The liability for these awards is remeasured to fair value at the end of each reporting period. Prior to this amendment it was our policy to issue new shares upon settlement of these awards.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the RSUs under our stock incentive plans (RSUs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tcPr>
          <w:p>
            <w:pPr>
              <w:spacing w:after="0"/>
              <w:rPr>
                <w:sz w:val="16"/>
                <w:szCs w:val="16"/>
                <w:color w:val="auto"/>
              </w:rPr>
            </w:pPr>
          </w:p>
        </w:tc>
        <w:tc>
          <w:tcPr>
            <w:tcW w:w="34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January 1, 2013</w:t>
            </w:r>
          </w:p>
        </w:tc>
        <w:tc>
          <w:tcPr>
            <w:tcW w:w="41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26.9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Granted</w:t>
            </w:r>
          </w:p>
        </w:tc>
        <w:tc>
          <w:tcPr>
            <w:tcW w:w="4120" w:type="dxa"/>
            <w:vAlign w:val="bottom"/>
            <w:gridSpan w:val="2"/>
          </w:tcPr>
          <w:p>
            <w:pPr>
              <w:jc w:val="right"/>
              <w:ind w:right="36"/>
              <w:spacing w:after="0"/>
              <w:rPr>
                <w:sz w:val="20"/>
                <w:szCs w:val="20"/>
                <w:color w:val="auto"/>
              </w:rPr>
            </w:pPr>
            <w:r>
              <w:rPr>
                <w:rFonts w:ascii="Arial" w:cs="Arial" w:eastAsia="Arial" w:hAnsi="Arial"/>
                <w:sz w:val="18"/>
                <w:szCs w:val="18"/>
                <w:color w:val="auto"/>
              </w:rPr>
              <w:t>6.8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Settled</w:t>
            </w:r>
          </w:p>
        </w:tc>
        <w:tc>
          <w:tcPr>
            <w:tcW w:w="4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outstanding at March 31, 2013</w:t>
            </w:r>
          </w:p>
        </w:tc>
        <w:tc>
          <w:tcPr>
            <w:tcW w:w="3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RSUs unvested and expected to vest at March 31, 2013</w:t>
            </w:r>
          </w:p>
        </w:tc>
        <w:tc>
          <w:tcPr>
            <w:tcW w:w="34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12.1</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51"/>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RSUs vested and payable at March 31, 2013</w:t>
            </w:r>
          </w:p>
        </w:tc>
        <w:tc>
          <w:tcPr>
            <w:tcW w:w="41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6.4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36</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compensation expense recorded for our stock incentive plans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2013</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2012</w:t>
            </w:r>
          </w:p>
        </w:tc>
        <w:tc>
          <w:tcPr>
            <w:tcW w:w="300" w:type="dxa"/>
            <w:vAlign w:val="bottom"/>
            <w:tcBorders>
              <w:bottom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300" w:type="dxa"/>
            <w:vAlign w:val="bottom"/>
          </w:tcPr>
          <w:p>
            <w:pPr>
              <w:jc w:val="right"/>
              <w:ind w:right="1119"/>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21"/>
                <w:szCs w:val="21"/>
                <w:color w:val="auto"/>
              </w:rPr>
            </w:pP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compensation cost of each RSU that will be settled in equity is based on the fair value of our common stock on the date of grant or, for those RSUs reclassified from liability to equity-based awards, the fair value of our common stock as of the date of the public offering.</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March 31, 2013 the total unrecognized compensation expense for nonvested equity awards was $285 million. This expense is expected to be recorded over a weighted-average period of 2.3 years.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total fair value of RSUs that vested in the three months ended March 31, 2013 and 2012 was $204 million and $49 million.</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total payments of $45 million were made to settle 1.6 million RSUs under stock incentive plans. Payments made in the three months ended March 31, 2012 were insignificant.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Reporting</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We analyze the results of our business through our five segments: GMNA, GME, GMIO, GMSA and GM Financial. The chief operating decision maker evaluates the operating results and performance of our automotive segments through Income (loss) before interest and income taxes, as adjusted for additional amounts, which are presented net of noncontrolling interests, and evaluates GM Financial through income before income taxes.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19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2013 we changed our managerial and financial reporting structure to measure our reportable segments revenue and profitability based on the geographic area in which we sell vehicles to third party customers. The new reporting structure provides clearer profit and revenue visibility across geographic areas and identifies our profitability at the point of sale. Previously, it was based on the geographic area in which the vehicles originated and our managerial and financial reporting structure included intercompany sales and cost of sales in our segment results. Certain expenses such as engineering, warranty, recall campaigns and selling, general and administrative are allocated to the geographic area in which the vehicle is sold to third party customers. We have retrospectively revised the segment presentation for all periods presented.</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following four brands:</w:t>
      </w:r>
    </w:p>
    <w:p>
      <w:pPr>
        <w:spacing w:after="0" w:line="116" w:lineRule="exact"/>
        <w:rPr>
          <w:sz w:val="20"/>
          <w:szCs w:val="20"/>
          <w:color w:val="auto"/>
        </w:rPr>
      </w:pPr>
    </w:p>
    <w:p>
      <w:pPr>
        <w:ind w:left="280"/>
        <w:spacing w:after="0"/>
        <w:tabs>
          <w:tab w:leader="none" w:pos="540" w:val="left"/>
          <w:tab w:leader="none" w:pos="3100" w:val="left"/>
          <w:tab w:leader="none" w:pos="3440" w:val="left"/>
          <w:tab w:leader="none" w:pos="5960" w:val="left"/>
          <w:tab w:leader="none" w:pos="6300" w:val="left"/>
          <w:tab w:leader="none" w:pos="8800" w:val="left"/>
          <w:tab w:leader="none" w:pos="914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Chevrolet</w:t>
      </w:r>
      <w:r>
        <w:rPr>
          <w:sz w:val="20"/>
          <w:szCs w:val="20"/>
          <w:color w:val="auto"/>
        </w:rPr>
        <w:tab/>
      </w:r>
      <w:r>
        <w:rPr>
          <w:rFonts w:ascii="Arial" w:cs="Arial" w:eastAsia="Arial" w:hAnsi="Arial"/>
          <w:sz w:val="18"/>
          <w:szCs w:val="18"/>
          <w:color w:val="auto"/>
        </w:rPr>
        <w:t>•</w:t>
        <w:tab/>
        <w:t>GMC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7"/>
          <w:szCs w:val="17"/>
          <w:color w:val="auto"/>
        </w:rPr>
        <w:t>•</w:t>
        <w:tab/>
        <w:t>Buick</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Chevrolet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Vauxhall</w:t>
      </w:r>
    </w:p>
    <w:p>
      <w:pPr>
        <w:spacing w:after="0" w:line="85" w:lineRule="exact"/>
        <w:rPr>
          <w:sz w:val="20"/>
          <w:szCs w:val="20"/>
          <w:color w:val="auto"/>
        </w:rPr>
      </w:pPr>
    </w:p>
    <w:p>
      <w:pPr>
        <w:sectPr>
          <w:pgSz w:w="11900" w:h="16838" w:orient="portrait"/>
          <w:cols w:equalWidth="0" w:num="6">
            <w:col w:w="2400" w:space="720"/>
            <w:col w:w="2140" w:space="720"/>
            <w:col w:w="60" w:space="280"/>
            <w:col w:w="1780" w:space="720"/>
            <w:col w:w="80" w:space="260"/>
            <w:col w:w="2260"/>
          </w:cols>
          <w:pgMar w:left="240" w:top="125" w:right="239" w:bottom="1440" w:gutter="0" w:footer="0" w:header="0"/>
          <w:type w:val="continuous"/>
        </w:sectPr>
      </w:pPr>
    </w:p>
    <w:p>
      <w:pPr>
        <w:ind w:left="280"/>
        <w:spacing w:after="0"/>
        <w:tabs>
          <w:tab w:leader="none" w:pos="540" w:val="left"/>
        </w:tabs>
        <w:rPr>
          <w:sz w:val="20"/>
          <w:szCs w:val="20"/>
          <w:color w:val="auto"/>
        </w:rPr>
      </w:pPr>
      <w:r>
        <w:rPr>
          <w:rFonts w:ascii="Arial" w:cs="Arial" w:eastAsia="Arial" w:hAnsi="Arial"/>
          <w:sz w:val="16"/>
          <w:szCs w:val="16"/>
          <w:color w:val="auto"/>
        </w:rPr>
        <w:t>•</w:t>
        <w:tab/>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Opel</w:t>
      </w:r>
    </w:p>
    <w:p>
      <w:pPr>
        <w:spacing w:after="0" w:line="222" w:lineRule="exact"/>
        <w:rPr>
          <w:sz w:val="20"/>
          <w:szCs w:val="20"/>
          <w:color w:val="auto"/>
        </w:rPr>
      </w:pPr>
    </w:p>
    <w:p>
      <w:pPr>
        <w:sectPr>
          <w:pgSz w:w="11900" w:h="16838" w:orient="portrait"/>
          <w:cols w:equalWidth="0" w:num="5">
            <w:col w:w="2400" w:space="720"/>
            <w:col w:w="80" w:space="260"/>
            <w:col w:w="1800" w:space="720"/>
            <w:col w:w="60" w:space="280"/>
            <w:col w:w="5100"/>
          </w:cols>
          <w:pgMar w:left="240" w:top="125" w:right="239" w:bottom="1440" w:gutter="0" w:footer="0" w:header="0"/>
          <w:type w:val="continuous"/>
        </w:sectPr>
      </w:pPr>
    </w:p>
    <w:p>
      <w:pPr>
        <w:spacing w:after="0" w:line="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At March 31, 2013 we also had equity ownership stakes directly or indirectly in entities through various regional subsidiaries, including GM Korea, SGM, SGMS, SGMW, FAW-GM and HKJV. These companies design, manufacture and market vehicles under the following brands:</w:t>
      </w:r>
    </w:p>
    <w:p>
      <w:pPr>
        <w:sectPr>
          <w:pgSz w:w="11900" w:h="16838" w:orient="portrait"/>
          <w:cols w:equalWidth="0" w:num="1">
            <w:col w:w="11420"/>
          </w:cols>
          <w:pgMar w:left="240" w:top="125" w:right="239" w:bottom="1440" w:gutter="0" w:footer="0" w:header="0"/>
          <w:type w:val="continuous"/>
        </w:sectPr>
      </w:pPr>
    </w:p>
    <w:p>
      <w:pPr>
        <w:spacing w:after="0" w:line="116"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6"/>
          <w:szCs w:val="16"/>
          <w:color w:val="auto"/>
        </w:rPr>
        <w:t>•</w:t>
        <w:tab/>
        <w:t>Alpheon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1420"/>
        <w:spacing w:after="0"/>
        <w:tabs>
          <w:tab w:leader="none" w:pos="200" w:val="left"/>
        </w:tabs>
        <w:rPr>
          <w:sz w:val="20"/>
          <w:szCs w:val="20"/>
          <w:color w:val="auto"/>
        </w:rPr>
      </w:pPr>
      <w:r>
        <w:rPr>
          <w:rFonts w:ascii="Arial" w:cs="Arial" w:eastAsia="Arial" w:hAnsi="Arial"/>
          <w:sz w:val="18"/>
          <w:szCs w:val="18"/>
          <w:color w:val="auto"/>
        </w:rPr>
        <w:t>•</w:t>
        <w:tab/>
        <w:t>Buick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Chevrolet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Wuling</w:t>
      </w:r>
    </w:p>
    <w:p>
      <w:pPr>
        <w:spacing w:after="0" w:line="74" w:lineRule="exact"/>
        <w:rPr>
          <w:sz w:val="20"/>
          <w:szCs w:val="20"/>
          <w:color w:val="auto"/>
        </w:rPr>
      </w:pPr>
    </w:p>
    <w:p>
      <w:pPr>
        <w:sectPr>
          <w:pgSz w:w="11900" w:h="16838" w:orient="portrait"/>
          <w:cols w:equalWidth="0" w:num="5">
            <w:col w:w="2400" w:space="720"/>
            <w:col w:w="2140" w:space="720"/>
            <w:col w:w="2120" w:space="720"/>
            <w:col w:w="80" w:space="260"/>
            <w:col w:w="2260"/>
          </w:cols>
          <w:pgMar w:left="240" w:top="125" w:right="239" w:bottom="1440" w:gutter="0" w:footer="0" w:header="0"/>
          <w:type w:val="continuous"/>
        </w:sectPr>
      </w:pPr>
    </w:p>
    <w:p>
      <w:pPr>
        <w:ind w:left="280"/>
        <w:spacing w:after="0"/>
        <w:tabs>
          <w:tab w:leader="none" w:pos="540" w:val="left"/>
        </w:tabs>
        <w:rPr>
          <w:sz w:val="20"/>
          <w:szCs w:val="20"/>
          <w:color w:val="auto"/>
        </w:rPr>
      </w:pPr>
      <w:r>
        <w:rPr>
          <w:rFonts w:ascii="Arial" w:cs="Arial" w:eastAsia="Arial" w:hAnsi="Arial"/>
          <w:sz w:val="16"/>
          <w:szCs w:val="16"/>
          <w:color w:val="auto"/>
        </w:rPr>
        <w:t>•</w:t>
        <w:tab/>
        <w:t>Baojun</w:t>
      </w:r>
    </w:p>
    <w:p>
      <w:pPr>
        <w:spacing w:after="0" w:line="20" w:lineRule="exact"/>
        <w:rPr>
          <w:sz w:val="20"/>
          <w:szCs w:val="20"/>
          <w:color w:val="auto"/>
        </w:rPr>
      </w:pPr>
      <w:r>
        <w:rPr>
          <w:sz w:val="20"/>
          <w:szCs w:val="20"/>
          <w:color w:val="auto"/>
        </w:rPr>
        <w:br w:type="column"/>
      </w:r>
    </w:p>
    <w:p>
      <w:pPr>
        <w:jc w:val="center"/>
        <w:ind w:right="1240"/>
        <w:spacing w:after="0"/>
        <w:tabs>
          <w:tab w:leader="none" w:pos="200" w:val="left"/>
        </w:tabs>
        <w:rPr>
          <w:sz w:val="20"/>
          <w:szCs w:val="20"/>
          <w:color w:val="auto"/>
        </w:rPr>
      </w:pPr>
      <w:r>
        <w:rPr>
          <w:rFonts w:ascii="Arial" w:cs="Arial" w:eastAsia="Arial" w:hAnsi="Arial"/>
          <w:sz w:val="18"/>
          <w:szCs w:val="18"/>
          <w:color w:val="auto"/>
        </w:rPr>
        <w:t>•</w:t>
        <w:tab/>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Jiefang</w:t>
      </w:r>
    </w:p>
    <w:p>
      <w:pPr>
        <w:spacing w:after="0" w:line="222" w:lineRule="exact"/>
        <w:rPr>
          <w:sz w:val="20"/>
          <w:szCs w:val="20"/>
          <w:color w:val="auto"/>
        </w:rPr>
      </w:pPr>
    </w:p>
    <w:p>
      <w:pPr>
        <w:sectPr>
          <w:pgSz w:w="11900" w:h="16838" w:orient="portrait"/>
          <w:cols w:equalWidth="0" w:num="4">
            <w:col w:w="2400" w:space="720"/>
            <w:col w:w="2140" w:space="720"/>
            <w:col w:w="60" w:space="280"/>
            <w:col w:w="5100"/>
          </w:cols>
          <w:pgMar w:left="240" w:top="125" w:right="239" w:bottom="1440" w:gutter="0" w:footer="0" w:header="0"/>
          <w:type w:val="continuous"/>
        </w:sectPr>
      </w:pPr>
    </w:p>
    <w:p>
      <w:pPr>
        <w:spacing w:after="0" w:line="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Nonsegment operations are classified as Corporate. Corporate includes investments in Ally Financial, certain centrally recorded income and costs, such as interest, income taxes and corporate expenditures and certain nonsegment specific revenues and expenses.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1"/>
          </w:tcPr>
          <w:p>
            <w:pPr>
              <w:ind w:left="40"/>
              <w:spacing w:after="0"/>
              <w:rPr>
                <w:sz w:val="20"/>
                <w:szCs w:val="20"/>
                <w:color w:val="auto"/>
              </w:rPr>
            </w:pPr>
            <w:r>
              <w:rPr>
                <w:rFonts w:ascii="Arial" w:cs="Arial" w:eastAsia="Arial" w:hAnsi="Arial"/>
                <w:sz w:val="13"/>
                <w:szCs w:val="13"/>
                <w:b w:val="1"/>
                <w:bCs w:val="1"/>
                <w:color w:val="auto"/>
                <w:w w:val="99"/>
              </w:rPr>
              <w:t>At and For the Three Months Ended March 31, 2013</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6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rPr>
              <w:t>GMSA</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300" w:type="dxa"/>
            <w:vAlign w:val="bottom"/>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22,979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4,818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4,820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3,691</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36,344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36,344</w:t>
            </w:r>
          </w:p>
        </w:tc>
        <w:tc>
          <w:tcPr>
            <w:tcW w:w="0" w:type="dxa"/>
            <w:vAlign w:val="bottom"/>
          </w:tcPr>
          <w:p>
            <w:pPr>
              <w:spacing w:after="0"/>
              <w:rPr>
                <w:sz w:val="1"/>
                <w:szCs w:val="1"/>
                <w:color w:val="auto"/>
              </w:rPr>
            </w:pPr>
          </w:p>
        </w:tc>
      </w:tr>
      <w:tr>
        <w:trPr>
          <w:trHeight w:val="272"/>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540</w:t>
            </w:r>
          </w:p>
        </w:tc>
        <w:tc>
          <w:tcPr>
            <w:tcW w:w="0" w:type="dxa"/>
            <w:vAlign w:val="bottom"/>
          </w:tcPr>
          <w:p>
            <w:pPr>
              <w:spacing w:after="0"/>
              <w:rPr>
                <w:sz w:val="1"/>
                <w:szCs w:val="1"/>
                <w:color w:val="auto"/>
              </w:rPr>
            </w:pPr>
          </w:p>
        </w:tc>
      </w:tr>
      <w:tr>
        <w:trPr>
          <w:trHeight w:val="282"/>
        </w:trPr>
        <w:tc>
          <w:tcPr>
            <w:tcW w:w="230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22,979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4,818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4,820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3,691</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36,344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540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36,884</w:t>
            </w:r>
          </w:p>
        </w:tc>
        <w:tc>
          <w:tcPr>
            <w:tcW w:w="0" w:type="dxa"/>
            <w:vAlign w:val="bottom"/>
          </w:tcPr>
          <w:p>
            <w:pPr>
              <w:spacing w:after="0"/>
              <w:rPr>
                <w:sz w:val="1"/>
                <w:szCs w:val="1"/>
                <w:color w:val="auto"/>
              </w:rPr>
            </w:pPr>
          </w:p>
        </w:tc>
      </w:tr>
      <w:tr>
        <w:trPr>
          <w:trHeight w:val="171"/>
        </w:trPr>
        <w:tc>
          <w:tcPr>
            <w:tcW w:w="23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w w:val="96"/>
              </w:rPr>
              <w:t>Income (loss) before automotive interest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0"/>
              <w:spacing w:after="0"/>
              <w:rPr>
                <w:sz w:val="20"/>
                <w:szCs w:val="20"/>
                <w:color w:val="auto"/>
              </w:rPr>
            </w:pPr>
            <w:r>
              <w:rPr>
                <w:rFonts w:ascii="Arial" w:cs="Arial" w:eastAsia="Arial" w:hAnsi="Arial"/>
                <w:sz w:val="13"/>
                <w:szCs w:val="13"/>
                <w:color w:val="auto"/>
              </w:rPr>
              <w:t>and income 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1,414</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(175)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495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(38)</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1,586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1,766</w:t>
            </w:r>
          </w:p>
        </w:tc>
        <w:tc>
          <w:tcPr>
            <w:tcW w:w="0" w:type="dxa"/>
            <w:vAlign w:val="bottom"/>
          </w:tcPr>
          <w:p>
            <w:pPr>
              <w:spacing w:after="0"/>
              <w:rPr>
                <w:sz w:val="1"/>
                <w:szCs w:val="1"/>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Corporate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72"/>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1,584</w:t>
            </w:r>
          </w:p>
        </w:tc>
        <w:tc>
          <w:tcPr>
            <w:tcW w:w="0" w:type="dxa"/>
            <w:vAlign w:val="bottom"/>
          </w:tcPr>
          <w:p>
            <w:pPr>
              <w:spacing w:after="0"/>
              <w:rPr>
                <w:sz w:val="1"/>
                <w:szCs w:val="1"/>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409</w:t>
            </w:r>
          </w:p>
        </w:tc>
        <w:tc>
          <w:tcPr>
            <w:tcW w:w="0" w:type="dxa"/>
            <w:vAlign w:val="bottom"/>
          </w:tcPr>
          <w:p>
            <w:pPr>
              <w:spacing w:after="0"/>
              <w:rPr>
                <w:sz w:val="1"/>
                <w:szCs w:val="1"/>
                <w:color w:val="auto"/>
              </w:rPr>
            </w:pPr>
          </w:p>
        </w:tc>
      </w:tr>
      <w:tr>
        <w:trPr>
          <w:trHeight w:val="128"/>
        </w:trPr>
        <w:tc>
          <w:tcPr>
            <w:tcW w:w="2300" w:type="dxa"/>
            <w:vAlign w:val="bottom"/>
          </w:tcPr>
          <w:p>
            <w:pPr>
              <w:ind w:left="40"/>
              <w:spacing w:after="0" w:line="128" w:lineRule="exact"/>
              <w:rPr>
                <w:sz w:val="20"/>
                <w:szCs w:val="20"/>
                <w:color w:val="auto"/>
              </w:rPr>
            </w:pPr>
            <w:r>
              <w:rPr>
                <w:rFonts w:ascii="Arial" w:cs="Arial" w:eastAsia="Arial" w:hAnsi="Arial"/>
                <w:sz w:val="13"/>
                <w:szCs w:val="13"/>
                <w:color w:val="auto"/>
              </w:rPr>
              <w:t>Net income (loss) attributable to</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(464)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1,175</w:t>
            </w:r>
          </w:p>
        </w:tc>
        <w:tc>
          <w:tcPr>
            <w:tcW w:w="0" w:type="dxa"/>
            <w:vAlign w:val="bottom"/>
          </w:tcPr>
          <w:p>
            <w:pPr>
              <w:spacing w:after="0"/>
              <w:rPr>
                <w:sz w:val="1"/>
                <w:szCs w:val="1"/>
                <w:color w:val="auto"/>
              </w:rPr>
            </w:pPr>
          </w:p>
        </w:tc>
      </w:tr>
      <w:tr>
        <w:trPr>
          <w:trHeight w:val="202"/>
        </w:trPr>
        <w:tc>
          <w:tcPr>
            <w:tcW w:w="2300" w:type="dxa"/>
            <w:vAlign w:val="bottom"/>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3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w w:val="99"/>
              </w:rPr>
              <w:t>Equity in net assets of nonconsolidated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7,348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7,470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7,470</w:t>
            </w:r>
          </w:p>
        </w:tc>
        <w:tc>
          <w:tcPr>
            <w:tcW w:w="0" w:type="dxa"/>
            <w:vAlign w:val="bottom"/>
          </w:tcPr>
          <w:p>
            <w:pPr>
              <w:spacing w:after="0"/>
              <w:rPr>
                <w:sz w:val="1"/>
                <w:szCs w:val="1"/>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89,474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9,831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25,843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19,218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135,618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18,924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153,775</w:t>
            </w:r>
          </w:p>
        </w:tc>
        <w:tc>
          <w:tcPr>
            <w:tcW w:w="0" w:type="dxa"/>
            <w:vAlign w:val="bottom"/>
          </w:tcPr>
          <w:p>
            <w:pPr>
              <w:spacing w:after="0"/>
              <w:rPr>
                <w:sz w:val="1"/>
                <w:szCs w:val="1"/>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1,285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139</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1,939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1,940</w:t>
            </w: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Depreciation, amortization and impairment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of long-lived assets and finite-lived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1,465</w:t>
            </w:r>
          </w:p>
        </w:tc>
        <w:tc>
          <w:tcPr>
            <w:tcW w:w="0" w:type="dxa"/>
            <w:vAlign w:val="bottom"/>
          </w:tcPr>
          <w:p>
            <w:pPr>
              <w:spacing w:after="0"/>
              <w:rPr>
                <w:sz w:val="1"/>
                <w:szCs w:val="1"/>
                <w:color w:val="auto"/>
              </w:rPr>
            </w:pPr>
          </w:p>
        </w:tc>
      </w:tr>
      <w:tr>
        <w:trPr>
          <w:trHeight w:val="262"/>
        </w:trPr>
        <w:tc>
          <w:tcPr>
            <w:tcW w:w="2300" w:type="dxa"/>
            <w:vAlign w:val="bottom"/>
          </w:tcPr>
          <w:p>
            <w:pPr>
              <w:ind w:left="40"/>
              <w:spacing w:after="0"/>
              <w:rPr>
                <w:sz w:val="20"/>
                <w:szCs w:val="20"/>
                <w:color w:val="auto"/>
              </w:rPr>
            </w:pPr>
            <w:r>
              <w:rPr>
                <w:rFonts w:ascii="Arial" w:cs="Arial" w:eastAsia="Arial" w:hAnsi="Arial"/>
                <w:sz w:val="13"/>
                <w:szCs w:val="13"/>
                <w:color w:val="auto"/>
              </w:rPr>
              <w:t>Equity income, net of tax</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40"/>
              <w:spacing w:after="0" w:line="148" w:lineRule="exact"/>
              <w:rPr>
                <w:sz w:val="20"/>
                <w:szCs w:val="20"/>
                <w:color w:val="auto"/>
              </w:rPr>
            </w:pPr>
            <w:r>
              <w:rPr>
                <w:rFonts w:ascii="Arial" w:cs="Arial" w:eastAsia="Arial" w:hAnsi="Arial"/>
                <w:sz w:val="13"/>
                <w:szCs w:val="13"/>
                <w:color w:val="auto"/>
                <w:w w:val="91"/>
              </w:rPr>
              <w:t>Significant non-cash charges not classified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0"/>
              <w:spacing w:after="0"/>
              <w:rPr>
                <w:sz w:val="20"/>
                <w:szCs w:val="20"/>
                <w:color w:val="auto"/>
              </w:rPr>
            </w:pPr>
            <w:r>
              <w:rPr>
                <w:rFonts w:ascii="Arial" w:cs="Arial" w:eastAsia="Arial" w:hAnsi="Arial"/>
                <w:sz w:val="13"/>
                <w:szCs w:val="13"/>
                <w:color w:val="auto"/>
              </w:rPr>
              <w:t>as adjustments in (a)</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89"/>
              </w:rPr>
              <w:t>Impairment charges related to long-lived</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8"/>
        </w:trPr>
        <w:tc>
          <w:tcPr>
            <w:tcW w:w="2300" w:type="dxa"/>
            <w:vAlign w:val="bottom"/>
          </w:tcPr>
          <w:p>
            <w:pPr>
              <w:ind w:left="200"/>
              <w:spacing w:after="0" w:line="148" w:lineRule="exact"/>
              <w:rPr>
                <w:sz w:val="20"/>
                <w:szCs w:val="20"/>
                <w:color w:val="auto"/>
              </w:rPr>
            </w:pPr>
            <w:r>
              <w:rPr>
                <w:rFonts w:ascii="Arial" w:cs="Arial" w:eastAsia="Arial" w:hAnsi="Arial"/>
                <w:sz w:val="13"/>
                <w:szCs w:val="13"/>
                <w:color w:val="auto"/>
                <w:w w:val="87"/>
              </w:rPr>
              <w:t>Impairment charges related to equipment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on operating leases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42"/>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significant non-cash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Consists of Venezuela currency devaluation of $162 million in GMSA and pension settlement charges and income related to various insurance recoveries, net, of $8 million.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4"/>
              </w:rPr>
              <w:t>For the Three Months Ended March 31, 2012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GMNA</w:t>
            </w:r>
          </w:p>
        </w:tc>
        <w:tc>
          <w:tcPr>
            <w:tcW w:w="18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GME</w:t>
            </w:r>
          </w:p>
        </w:tc>
        <w:tc>
          <w:tcPr>
            <w:tcW w:w="14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GMIO</w:t>
            </w:r>
          </w:p>
        </w:tc>
        <w:tc>
          <w:tcPr>
            <w:tcW w:w="14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GMSA</w:t>
            </w:r>
          </w:p>
        </w:tc>
        <w:tc>
          <w:tcPr>
            <w:tcW w:w="12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GM</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3"/>
                <w:szCs w:val="13"/>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Automotive</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Sales</w:t>
            </w:r>
          </w:p>
        </w:tc>
        <w:tc>
          <w:tcPr>
            <w:tcW w:w="1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200"/>
              <w:spacing w:after="0"/>
              <w:rPr>
                <w:sz w:val="20"/>
                <w:szCs w:val="20"/>
                <w:color w:val="auto"/>
              </w:rPr>
            </w:pPr>
            <w:r>
              <w:rPr>
                <w:rFonts w:ascii="Arial" w:cs="Arial" w:eastAsia="Arial" w:hAnsi="Arial"/>
                <w:sz w:val="14"/>
                <w:szCs w:val="14"/>
                <w:color w:val="auto"/>
              </w:rPr>
              <w:t>External customers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23,175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5,255</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5,016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3,867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37,328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37,328</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GM Financial revenue</w:t>
            </w: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83"/>
        </w:trPr>
        <w:tc>
          <w:tcPr>
            <w:tcW w:w="2520" w:type="dxa"/>
            <w:vAlign w:val="bottom"/>
          </w:tcPr>
          <w:p>
            <w:pPr>
              <w:ind w:left="40"/>
              <w:spacing w:after="0"/>
              <w:rPr>
                <w:sz w:val="20"/>
                <w:szCs w:val="20"/>
                <w:color w:val="auto"/>
              </w:rPr>
            </w:pPr>
            <w:r>
              <w:rPr>
                <w:rFonts w:ascii="Arial" w:cs="Arial" w:eastAsia="Arial" w:hAnsi="Arial"/>
                <w:sz w:val="14"/>
                <w:szCs w:val="14"/>
                <w:color w:val="auto"/>
              </w:rPr>
              <w:t>Total net sales and revenue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23,175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5,255</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5,016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3,867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37,328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37,759</w:t>
            </w:r>
          </w:p>
        </w:tc>
        <w:tc>
          <w:tcPr>
            <w:tcW w:w="0" w:type="dxa"/>
            <w:vAlign w:val="bottom"/>
          </w:tcPr>
          <w:p>
            <w:pPr>
              <w:spacing w:after="0"/>
              <w:rPr>
                <w:sz w:val="1"/>
                <w:szCs w:val="1"/>
                <w:color w:val="auto"/>
              </w:rPr>
            </w:pPr>
          </w:p>
        </w:tc>
      </w:tr>
      <w:tr>
        <w:trPr>
          <w:trHeight w:val="170"/>
        </w:trPr>
        <w:tc>
          <w:tcPr>
            <w:tcW w:w="25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520" w:type="dxa"/>
            <w:vAlign w:val="bottom"/>
          </w:tcPr>
          <w:p>
            <w:pPr>
              <w:ind w:left="40"/>
              <w:spacing w:after="0" w:line="157" w:lineRule="exact"/>
              <w:rPr>
                <w:sz w:val="20"/>
                <w:szCs w:val="20"/>
                <w:color w:val="auto"/>
              </w:rPr>
            </w:pPr>
            <w:r>
              <w:rPr>
                <w:rFonts w:ascii="Arial" w:cs="Arial" w:eastAsia="Arial" w:hAnsi="Arial"/>
                <w:sz w:val="14"/>
                <w:szCs w:val="14"/>
                <w:color w:val="auto"/>
                <w:w w:val="98"/>
              </w:rPr>
              <w:t>Income (loss) before automotive interest</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200"/>
              <w:spacing w:after="0"/>
              <w:rPr>
                <w:sz w:val="20"/>
                <w:szCs w:val="20"/>
                <w:color w:val="auto"/>
              </w:rPr>
            </w:pPr>
            <w:r>
              <w:rPr>
                <w:rFonts w:ascii="Arial" w:cs="Arial" w:eastAsia="Arial" w:hAnsi="Arial"/>
                <w:sz w:val="14"/>
                <w:szCs w:val="14"/>
                <w:color w:val="auto"/>
              </w:rPr>
              <w:t>and income taxes-adjusted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(294)</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2,001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2,182</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Corporate interest income</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Automotive interest expense</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6"/>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1,531</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3"/>
        </w:trPr>
        <w:tc>
          <w:tcPr>
            <w:tcW w:w="25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Net income (loss) attributable to</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181"/>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Expenditures for property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157"/>
        </w:trPr>
        <w:tc>
          <w:tcPr>
            <w:tcW w:w="2520" w:type="dxa"/>
            <w:vAlign w:val="bottom"/>
          </w:tcPr>
          <w:p>
            <w:pPr>
              <w:ind w:left="40"/>
              <w:spacing w:after="0" w:line="157" w:lineRule="exact"/>
              <w:rPr>
                <w:sz w:val="20"/>
                <w:szCs w:val="20"/>
                <w:color w:val="auto"/>
              </w:rPr>
            </w:pPr>
            <w:r>
              <w:rPr>
                <w:rFonts w:ascii="Arial" w:cs="Arial" w:eastAsia="Arial" w:hAnsi="Arial"/>
                <w:sz w:val="14"/>
                <w:szCs w:val="14"/>
                <w:color w:val="auto"/>
              </w:rPr>
              <w:t>Depreciation, amortization and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200"/>
              <w:spacing w:after="0" w:line="149" w:lineRule="exact"/>
              <w:rPr>
                <w:sz w:val="20"/>
                <w:szCs w:val="20"/>
                <w:color w:val="auto"/>
              </w:rPr>
            </w:pPr>
            <w:r>
              <w:rPr>
                <w:rFonts w:ascii="Arial" w:cs="Arial" w:eastAsia="Arial" w:hAnsi="Arial"/>
                <w:sz w:val="14"/>
                <w:szCs w:val="14"/>
                <w:color w:val="auto"/>
              </w:rPr>
              <w:t>impairment of long-lived assets and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200"/>
              <w:spacing w:after="0"/>
              <w:rPr>
                <w:sz w:val="20"/>
                <w:szCs w:val="20"/>
                <w:color w:val="auto"/>
              </w:rPr>
            </w:pPr>
            <w:r>
              <w:rPr>
                <w:rFonts w:ascii="Arial" w:cs="Arial" w:eastAsia="Arial" w:hAnsi="Arial"/>
                <w:sz w:val="14"/>
                <w:szCs w:val="14"/>
                <w:color w:val="auto"/>
              </w:rPr>
              <w:t>finite-lived intangible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income,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Significant non-cash charges not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classified as adjustments in (a)</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20" w:type="dxa"/>
            <w:vAlign w:val="bottom"/>
          </w:tcPr>
          <w:p>
            <w:pPr>
              <w:ind w:left="200"/>
              <w:spacing w:after="0" w:line="157" w:lineRule="exact"/>
              <w:rPr>
                <w:sz w:val="20"/>
                <w:szCs w:val="20"/>
                <w:color w:val="auto"/>
              </w:rPr>
            </w:pPr>
            <w:r>
              <w:rPr>
                <w:rFonts w:ascii="Arial" w:cs="Arial" w:eastAsia="Arial" w:hAnsi="Arial"/>
                <w:sz w:val="14"/>
                <w:szCs w:val="14"/>
                <w:color w:val="auto"/>
              </w:rPr>
              <w:t>Impairment charges related to long-</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20" w:type="dxa"/>
            <w:vAlign w:val="bottom"/>
          </w:tcPr>
          <w:p>
            <w:pPr>
              <w:ind w:left="360"/>
              <w:spacing w:after="0"/>
              <w:rPr>
                <w:sz w:val="20"/>
                <w:szCs w:val="20"/>
                <w:color w:val="auto"/>
              </w:rPr>
            </w:pPr>
            <w:r>
              <w:rPr>
                <w:rFonts w:ascii="Arial" w:cs="Arial" w:eastAsia="Arial" w:hAnsi="Arial"/>
                <w:sz w:val="14"/>
                <w:szCs w:val="14"/>
                <w:color w:val="auto"/>
              </w:rPr>
              <w:t>lived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3"/>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Impairment charges related to</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equipment on operating leases</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4"/>
                <w:szCs w:val="14"/>
                <w:color w:val="auto"/>
              </w:rPr>
              <w:t>Total significant non-cash charges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Goodwill impairment charges of $590 million in GME and $22 million in GMIO, which is presented net of noncontrolling interests.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Subsequent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Certain Ally Financial International Operations</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November 2012 GM Financial entered into a definitive agreement with Ally Financial to acquire 100% of the outstanding equity interests in the top level holding companies of its automotive finance and financial services operations in Europe and Latin America and a separate agreement to acquire Ally Financial’s non-controlling equity interests in GMAC-SAIC, which conducts automotive finance and other financial services in China.</w:t>
      </w:r>
    </w:p>
    <w:p>
      <w:pPr>
        <w:spacing w:after="0" w:line="166"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On April 1, 2013 GM Financial completed the acquisition of Ally Financial's European and Latin American automotive finance operations except for France, Portugal and Brazil. GM Financial paid approximately $2.4 billion, subject to certain closing adjustments, to acquire these businesses. In addition GM Financial repaid a $1.3 billion loan that was assumed as part of the acquisition.</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acquisition of Ally Financial's French, Portuguese and Brazilian automotive finance operations and the equity interests in GMAC-SAIC are subject to certain regulatory and other approvals, and are expected to close in 2013 or early 2014. GM Financial expects to pay approximately $1.8 billion to close these acquisitions subject to certain closing adjustments.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will record the fair value of the assets acquired and liabilities assumed on April 1, 2013, the date GM Financial obtained control of the operations, and include the results of their operations and cash flows in their consolidated financial statements from that date forward.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following table summarizes certain pro forma financial information for us and the acquired entities that closed in April had these acquisitions occurred as of the first day in the periods presented, without consideration of historical transactions between the acquired operations and us, as it is impracticable to obtain such information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38,010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1,362</w:t>
            </w:r>
          </w:p>
        </w:tc>
      </w:tr>
    </w:tbl>
    <w:p>
      <w:pPr>
        <w:spacing w:after="0" w:line="229"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It is not possible to reasonably estimate the nature and amount of any potential goodwill or the value of identifiable intangible assets at this time because the valuation of the assets acquired and liabilities assumed was not completed at the date of the issuance of our condensed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and Estimates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Annual Report on Form 10-K for the year ended December 31, 2012 (2012 Form 10-K), as filed with the Securities and Exchange Commission (SEC).</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General Motors Financial Company, Inc.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Wholesale vehicle sales represent deliveries to our dealers and others and correlate to our Net sales and revenue. Retail sales represent deliveries to end customers and are used to estimate our market share. Consistent with industry practice, market share information includes estimates of industry sales in certain countries where public reporting is not legally required or otherwise available on a consistent basis.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Supplemental Consolidating Information</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are providing supplemental consolidating information in order to provide more transparency into the financial position, operating results and cash flows of our two businesses, Automotive and GM Financial.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Use of Estimates in the Preparation of the Financial Statements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amounts of assets and liabilities at the reporting date and the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and diversity and advanced propulsion technologies, including electric vehicles. Our business is diversified across products and geographic markets. We meet the local sales and service needs of our retail and fleet customers with a global network of independent dealers. In the three months ended March 31, 2013, 51.7% of our wholesale vehicle sales volume was generated outside the U.S.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automotive business is organized into four geographically-based segments:</w:t>
      </w:r>
    </w:p>
    <w:p>
      <w:pPr>
        <w:spacing w:after="0" w:line="225" w:lineRule="exact"/>
        <w:rPr>
          <w:sz w:val="20"/>
          <w:szCs w:val="20"/>
          <w:color w:val="auto"/>
        </w:rPr>
      </w:pPr>
    </w:p>
    <w:p>
      <w:pPr>
        <w:jc w:val="both"/>
        <w:ind w:left="500" w:hanging="330"/>
        <w:spacing w:after="0" w:line="26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GMNA has sales, manufacturing and distribution operations in the U.S., Canada and Mexico and sales and distribution operations in Central America and the Caribbean. GMNA represented 53.4% of our wholesale vehicle sales volume in the three months ended March 31, 2013 and we had the largest market share, based upon retail vehicle sales, in North America at 17.1%.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left="500" w:hanging="330"/>
        <w:spacing w:after="0" w:line="297"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GME has sales, manufacturing and distribution operations across Western and Central Europe. GME's wholesale vehicle sales volume, which in addition to Western and Central Europe, includes Eastern Europe (including Russia and the other members of the Commonwealth of Independent States among others) represented 16.0% of our wholesale vehicle sales volume in the three months ended March 31, 2013. In the three months ended March 31, 2013 we estimate we had the number four market share, based upon retail vehicle sales, in Europe at 8.3%. GMIO distributes Chevrolet brand vehicles in Europe. These vehicles are reported within market share for Europe, but wholesale vehicle sales volume is recorded by GMIO.</w:t>
      </w:r>
    </w:p>
    <w:p>
      <w:pPr>
        <w:spacing w:after="0" w:line="50" w:lineRule="exact"/>
        <w:rPr>
          <w:rFonts w:ascii="Arial" w:cs="Arial" w:eastAsia="Arial" w:hAnsi="Arial"/>
          <w:sz w:val="16"/>
          <w:szCs w:val="16"/>
          <w:color w:val="auto"/>
        </w:rPr>
      </w:pPr>
    </w:p>
    <w:p>
      <w:pPr>
        <w:jc w:val="both"/>
        <w:ind w:left="500" w:hanging="330"/>
        <w:spacing w:after="0" w:line="25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GMIO has sales, manufacturing and distribution operations in Asia/Pacific, the Middle East, Africa and Eastern Europe (including Russia and the other members of the Commonwealth of Independent States among others). GMIO represented 15.6% of our wholesale vehicle sales volume in the three months ended March 31, 2013. The Asia/Pacific, Middle East and Africa region is our largest region by retail vehicle sales volume and represented 42.0% of our global retail vehicle sales volume in the three months ended March 31, 2013. In the three months ended March 31, 2013 and 2012 we had market share of 15.2%, based upon retail vehicle sales, in China. GMIO records the wholesale unit volume and financial results of Chevrolet brand vehicles that it distributes and sells in Europe.</w:t>
      </w:r>
    </w:p>
    <w:p>
      <w:pPr>
        <w:spacing w:after="0" w:line="85" w:lineRule="exact"/>
        <w:rPr>
          <w:rFonts w:ascii="Arial" w:cs="Arial" w:eastAsia="Arial" w:hAnsi="Arial"/>
          <w:sz w:val="18"/>
          <w:szCs w:val="18"/>
          <w:color w:val="auto"/>
        </w:rPr>
      </w:pPr>
    </w:p>
    <w:p>
      <w:pPr>
        <w:jc w:val="both"/>
        <w:ind w:left="500" w:hanging="330"/>
        <w:spacing w:after="0" w:line="276"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GMSA has sales, manufacturing, distribution and financing operations in Brazil, Argentina, Colombia, Ecuador and Venezuela as well as sales and distribution operations in Bolivia, Chile, Paraguay, Peru and Uruguay. GMSA represented 15.0% of our wholesale vehicle sales volume in the three months ended March 31, 2013. In the three months ended March 31, 2013 GMSA derived 65.2% of its wholesale vehicle sales volume from Brazil. In the three months ended March 31, 2013 we estimate we had the number one market share, based upon retail vehicle sales, in South America at 17.2% and the number three market share, based upon retail vehicle sales, in Brazil.</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GM Financial specializes in purchasing retail automobile installment sales contracts originated by GM and non-GM franchised and select independent dealers in connection with the sale of used and new automobiles. GM Financial also offers lease products through GM dealerships in connection with the marketing of used and new automobiles that target lessees with sub-prime and prime credit bureau scores. GM Financial primarily generates revenue and cash flows through the purchase, retention, subsequent securitization and servicing of finance receivables. To fund the acquisition of receivables prior to securitization, GM Financial uses available cash and borrowings under its credit facilities. GM Financial earns finance charge income on finance receivables and pays interest expense on borrowings under its credit facilities. GM Financial periodically transfers receivables to securitization trusts that issue asset-backed securities to investors. The securitization trusts are special purpose entities that are also variable interest entities that meet the requirements to be consolidated in the financial statements.</w:t>
      </w:r>
    </w:p>
    <w:p>
      <w:pPr>
        <w:spacing w:after="0" w:line="19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April 2012 GM Financial commenced commercial lending activities in the U.S. centered on floor plan financing of dealer vehicle inventory and dealer loans to finance dealer sites, facilities, facility improvements and working capital. In March 2013 GM Financial launched similar commercial lending in Canada. These loans are made on a secured basis. We believe the availability of financing for our dealers is important to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Strategy</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Our automotive financing strategy centers around ensuring that our dealers and customers have consistently available, transparent and competitive financing options throughout the business and credit cycles. We believe that by having our own capabilities in key financing segments of the market we will be able to achieve more competition from other financing market participants, which we believe improves pricing and service to our dealers and retail customers. We achieve this through our captive finance capabilities at GM Financial and through operating relationships with financial institutions, including Ally Financial. GM Financial continues to expand its business in targeted areas that it views as strategic and to otherwise evaluate opportunities in specific segments of the automotive financing market.</w:t>
      </w:r>
    </w:p>
    <w:p>
      <w:pPr>
        <w:spacing w:after="0" w:line="193"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November 2012 GM Financial entered into agreements with Ally Financial to acquire Ally Financial's automotive finance and financial services businesses in Europe and Latin America. Additionally in November 2012 GM Financial entered into a share transfer agreement with Ally Financial to acquire Ally Financial's equity interest in GMAC-SAIC Automotive Finance Company Limited (GMAC-SAIC) that conducts automotive finance and financial services operations in China. The purchases will allow GM Financial to support our dealers in markets comprising 80% of our global sales. The combined consideration will be approximately $4.2 billion. Pursuant to the transactions, GM Financial's assets are expected to double to approximately $34.3 billion and its liabilities, including consolidated debt, will increase to approximately $26.4 billion compared with $11.8 billion at December 31, 2012.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April 2013 GM Financial completed the acquisition of Ally Financial's European and Latin American automotive finance operations except for France, Portugal and Brazil. GM Financial paid approximately $2.4 billion, subject to certain closing adjustments, to acquire these businesses. In addition GM Financial repaid a $1.3 billion loan that was assumed as part of the acquisition. Refer to Note 24 to our condensed consolidated financial statements for additional information on these acquisitions.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acquisition of Ally Financial's French, Portuguese, and Brazilian automotive finance operations and the equity interests in GMAC-SAIC are subject to certain regulatory and other approvals, and are expected to close in 2013 or early 2014. GM Financial expects to pay approximately $1.8 billion to close these acquisitions subject to certain closing adjustments.</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April 2012 GM Financial commenced commercial lending activities in the U.S. centered on floor plan financing of dealer vehicle inventory and dealer loans to finance dealer sites, facilities, facility improvements and working capital. In March 2013 GM Financial launched similar commercial lending in Canada. These loans are made on a secured basis. We believe the availability of financing for our dealers is important to our business.</w:t>
      </w:r>
    </w:p>
    <w:p>
      <w:pPr>
        <w:spacing w:after="0" w:line="1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addition to the financing we provide through GM Financial, we also ensure availability of competitive financing for our customers and dealers through operating relationships with financial institutions. Historically Ally Financial provided a majority of the financing for our dealers and a significant portion of the financing for our customers in the U.S., Canada and other major international markets where we operate. Ally Financial continues to be the largest third party provider of financing for our dealers and customers. We have added relationships with other financial institutions to increase our competitiveness and benefit from additional financing sources, including arrangements to provide incentivized retail financing to our customers in the U.S., Canada, United Kingdom (U.K.) and Australia.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 on Chinese Market</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Jiefang and Wuling brands. We operate in Chinese markets through a number of joint ventures and maintaining good relations with our joint ventures partners, which are affiliated with the Chinese government, is an important part of our China growth strategy.</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8 to our condensed consolidated financial statements for our direct ownership interests in our Chinese joint ventures, collectively referred to as China JVs.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China JVs (dollars in millions,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2013</w:t>
            </w:r>
          </w:p>
        </w:tc>
        <w:tc>
          <w:tcPr>
            <w:tcW w:w="240" w:type="dxa"/>
            <w:vAlign w:val="bottom"/>
          </w:tcPr>
          <w:p>
            <w:pPr>
              <w:spacing w:after="0"/>
              <w:rPr>
                <w:sz w:val="22"/>
                <w:szCs w:val="22"/>
                <w:color w:val="auto"/>
              </w:rPr>
            </w:pP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wholesale vehicles(a)</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756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Market share(b)</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8,693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6"/>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887</w:t>
            </w:r>
          </w:p>
        </w:tc>
      </w:tr>
      <w:tr>
        <w:trPr>
          <w:trHeight w:val="243"/>
        </w:trPr>
        <w:tc>
          <w:tcPr>
            <w:tcW w:w="798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Including vehicles exported to markets outside of China.</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Market share for China market.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123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During the second half of 2011 and continuing into 2013, the European automotive industry has been severely affected by the ongoing sovereign debt crisis, high unemployment and a lack of consumer confidence coupled with overcapacity. European automotive industry sales to retail and fleet customers were 4.5 million vehicles in the three months ended March 31,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representing a 7.7% decrease compared to the corresponding period in 2012. In the three months ended March 31, 2013 our European market share declined to 8.3% from 8.5% in the year ended December 31, 2012 and the region suffered EBIT (loss)-adjusted of $0.2 billion in the three months ended March 31, 2013 compared to EBIT (loss)-adjusted of $0.3 billion in the corresponding period in 2012.</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have formulated a plan to implement various actions to strengthen our operations and increase our competitiveness. The key areas of the plan include investments in our product portfolio, a revised brand strategy, significant management changes, reducing material, development and production costs, including restructuring activities discussed below, and further leveraging synergies from the alliance between us and Peugeot S.A. (PSA), as subsequently discussed. The success of our plan will depend on a combination of our ability to execute the actions contemplated, as well as external factors which are outside of our control. We believe it is likely that adverse economic conditions, and their effect on the European automotive industry will not improve significantly in the short-term and we expect to continue to incur losses in the region as a result.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Alliance with PSA</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February 2012 we entered into an agreement with PSA to create a long-term and broad-scale global strategic alliance that is expected to leverage the combined strengths and capabilities of the two companies, contribute to our profitability and improve our competitiveness in Europe. In March 2012 we acquired a seven percent equity stake in PSA. In June 2012 we entered into a long-term exclusive service agreement with Gefco, a wholly-owned subsidiary of PSA, to provide logistics services in Europe beginning in 2013. In December 2012 PSA sold its controlling interest in Gefco to an unrelated third party; however, the sale has no impact on the long-term exclusive service agreement. In December 2012 we entered into a product development agreement with PSA to collaborate on the development of certain vehicle platforms, components and modules. As a result of this agreement, in the three months ended March 31, 2013 we acquired the rights to certain intellectual property and technology for total consideration of Euro 0.5 billion (equivalent to $0.6 billion). Consideration of Euro 0.2 billion (equivalent to $0.2 billion) is expected to be paid in cash during 2013 with the remaining consideration to be paid in cash or in-kind exchanges by May 2018. The acquired rights were recorded at the present value of the total payments to be made as technology and intellectual property of $0.6 billion. At March 31, 2013 the carrying amount of our investment in PSA was $0.2 billion.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Activities and Special Attrition Programs, Labor Agreements and Benefit Plan Changes</w:t>
      </w:r>
    </w:p>
    <w:p>
      <w:pPr>
        <w:spacing w:after="0" w:line="22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Due to the expected closure of the Oshawa Consolidated Plant in June 2014, impacted employees will be eligible for a voluntary restructuring separation incentive program in accordance with the existing collective bargaining agreement that provides cash and a car voucher. This may range up to $0.1 billion and will be included in our restructuring liability, net of existing liabilities, upon irrevocable acceptance by both parties.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Through March 31, 2013 the active separation programs related to Germany and the U.K. had a total cost of $0.1 billion and had affected a total of 550 employees. We expect to complete these programs in 2013 and incur an additional $0.2 billion, which will affect an additional 725 employees (including employees at our transmission facility in Bochum, Germany).</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March and April 2013, we also finalized labor agreements in Germany and Spain, which will limit or eliminate labor cost increases at our facilities in those countries in 2013 and for the next several years. In addition to our active restructuring programs in Germany and the U.K. we plan to terminate all vehicle production at our Bochum, Germany facility by the end of 2014 to reduce employee headcount and manufacturing capacity.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Through March 31, 2013 the separation program in Brazil had a total cost of $0.1 billion.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Venezuelan subsidiaries utilize the U.S. Dollar as their functional currency because of the hyperinflationary status of the Venezuelan economy. The Venezuelan government has foreign exchange control regulations which make it more difficult to convert Bolivar Fuerte (BsF) to U.S. Dollars. These regulations affect our Venezuelan subsidiaries' ability to pay non-BsF denominated obligations that do not qualify to be processed by the Venezuela currency exchange agency at the official exchange rates.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February 2013 the Venezuelan government announced that the official fixed exchange rate of BsF 4.3 to $1.00 changed to BsF 6.3 to $1.00 effective February 13, 2013. The devaluation required remeasurement of our Venezuelan subsidiaries' non-U.S. dollar denominated monetary assets and liabilities. The remeasurement resulted in a charge of $0.2 billion in the three months ended March 31, 2013.</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believe it is possible that the Venezuelan government may further devalue the BsF against the U.S. dollar in the future. If the BsF were devalued further, it would result in a charge to our income statement in the period of devaluation. Based on our March 31, 2013 net monetary assets, a further devaluation of the BsF by 1 BsF to $1.00 would result in a charge of approximately $50 million.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2 to our condensed consolidated financial statements for additional details regarding amounts pending government approval for settlement and the net assets, monetary assets and monetary liabilities of our Venezuelan subsidiaries.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ind w:left="20"/>
              <w:spacing w:after="0"/>
              <w:rPr>
                <w:sz w:val="20"/>
                <w:szCs w:val="20"/>
                <w:color w:val="auto"/>
              </w:rPr>
            </w:pPr>
            <w:r>
              <w:rPr>
                <w:rFonts w:ascii="Arial" w:cs="Arial" w:eastAsia="Arial" w:hAnsi="Arial"/>
                <w:sz w:val="11"/>
                <w:szCs w:val="11"/>
                <w:b w:val="1"/>
                <w:bCs w:val="1"/>
                <w:color w:val="auto"/>
              </w:rPr>
              <w:t>Three Months Ended March 31, 2013</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spacing w:after="0"/>
              <w:rPr>
                <w:sz w:val="20"/>
                <w:szCs w:val="20"/>
                <w:color w:val="auto"/>
              </w:rPr>
            </w:pPr>
            <w:r>
              <w:rPr>
                <w:rFonts w:ascii="Arial" w:cs="Arial" w:eastAsia="Arial" w:hAnsi="Arial"/>
                <w:sz w:val="11"/>
                <w:szCs w:val="11"/>
                <w:b w:val="1"/>
                <w:bCs w:val="1"/>
                <w:color w:val="auto"/>
                <w:w w:val="98"/>
              </w:rPr>
              <w:t>Three Months Ended March 31, 2012</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2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sales and revenue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Automotive sales and revenue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36,344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36,344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37,328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37,328</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revenue</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431</w:t>
            </w:r>
          </w:p>
        </w:tc>
      </w:tr>
      <w:tr>
        <w:trPr>
          <w:trHeight w:val="228"/>
        </w:trPr>
        <w:tc>
          <w:tcPr>
            <w:tcW w:w="3340" w:type="dxa"/>
            <w:vAlign w:val="bottom"/>
          </w:tcPr>
          <w:p>
            <w:pPr>
              <w:ind w:left="200"/>
              <w:spacing w:after="0"/>
              <w:rPr>
                <w:sz w:val="20"/>
                <w:szCs w:val="20"/>
                <w:color w:val="auto"/>
              </w:rPr>
            </w:pPr>
            <w:r>
              <w:rPr>
                <w:rFonts w:ascii="Arial" w:cs="Arial" w:eastAsia="Arial" w:hAnsi="Arial"/>
                <w:sz w:val="11"/>
                <w:szCs w:val="11"/>
                <w:color w:val="auto"/>
              </w:rPr>
              <w:t>Total net sales and revenue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36,344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36,884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37,328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37,759</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Automotive cost of sales</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32,613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32,617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32,908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32,910</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w:t>
            </w: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GM Financial interest expense</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63</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other expenses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w:t>
            </w: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Automotive selling, general and administrative expense</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2,939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2,939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2,973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2,973</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automotive expenses, net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r>
      <w:tr>
        <w:trPr>
          <w:trHeight w:val="248"/>
        </w:trPr>
        <w:tc>
          <w:tcPr>
            <w:tcW w:w="3340" w:type="dxa"/>
            <w:vAlign w:val="bottom"/>
          </w:tcPr>
          <w:p>
            <w:pPr>
              <w:ind w:left="200"/>
              <w:spacing w:after="0"/>
              <w:rPr>
                <w:sz w:val="20"/>
                <w:szCs w:val="20"/>
                <w:color w:val="auto"/>
              </w:rPr>
            </w:pPr>
            <w:r>
              <w:rPr>
                <w:rFonts w:ascii="Arial" w:cs="Arial" w:eastAsia="Arial" w:hAnsi="Arial"/>
                <w:sz w:val="11"/>
                <w:szCs w:val="11"/>
                <w:color w:val="auto"/>
              </w:rPr>
              <w:t>Goodwill impairment charges</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617</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35,565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35,925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36,513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36,763</w:t>
            </w:r>
          </w:p>
        </w:tc>
      </w:tr>
      <w:tr>
        <w:trPr>
          <w:trHeight w:val="228"/>
        </w:trPr>
        <w:tc>
          <w:tcPr>
            <w:tcW w:w="3340" w:type="dxa"/>
            <w:vAlign w:val="bottom"/>
          </w:tcPr>
          <w:p>
            <w:pPr>
              <w:ind w:left="360"/>
              <w:spacing w:after="0"/>
              <w:rPr>
                <w:sz w:val="20"/>
                <w:szCs w:val="20"/>
                <w:color w:val="auto"/>
              </w:rPr>
            </w:pPr>
            <w:r>
              <w:rPr>
                <w:rFonts w:ascii="Arial" w:cs="Arial" w:eastAsia="Arial" w:hAnsi="Arial"/>
                <w:sz w:val="11"/>
                <w:szCs w:val="11"/>
                <w:color w:val="auto"/>
              </w:rPr>
              <w:t>Operating income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779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959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815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996</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Automotive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110</w:t>
            </w:r>
          </w:p>
        </w:tc>
      </w:tr>
      <w:tr>
        <w:trPr>
          <w:trHeight w:val="248"/>
        </w:trPr>
        <w:tc>
          <w:tcPr>
            <w:tcW w:w="3340" w:type="dxa"/>
            <w:vAlign w:val="bottom"/>
          </w:tcPr>
          <w:p>
            <w:pPr>
              <w:ind w:left="40"/>
              <w:spacing w:after="0"/>
              <w:rPr>
                <w:sz w:val="20"/>
                <w:szCs w:val="20"/>
                <w:color w:val="auto"/>
              </w:rPr>
            </w:pPr>
            <w:r>
              <w:rPr>
                <w:rFonts w:ascii="Arial" w:cs="Arial" w:eastAsia="Arial" w:hAnsi="Arial"/>
                <w:sz w:val="11"/>
                <w:szCs w:val="11"/>
                <w:color w:val="auto"/>
              </w:rPr>
              <w:t>Interest income and other non-operating income, net</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275</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Loss on extinguishment of debt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r>
      <w:tr>
        <w:trPr>
          <w:trHeight w:val="228"/>
        </w:trPr>
        <w:tc>
          <w:tcPr>
            <w:tcW w:w="3340" w:type="dxa"/>
            <w:vAlign w:val="bottom"/>
          </w:tcPr>
          <w:p>
            <w:pPr>
              <w:ind w:left="40"/>
              <w:spacing w:after="0"/>
              <w:rPr>
                <w:sz w:val="20"/>
                <w:szCs w:val="20"/>
                <w:color w:val="auto"/>
              </w:rPr>
            </w:pPr>
            <w:r>
              <w:rPr>
                <w:rFonts w:ascii="Arial" w:cs="Arial" w:eastAsia="Arial" w:hAnsi="Arial"/>
                <w:sz w:val="11"/>
                <w:szCs w:val="11"/>
                <w:color w:val="auto"/>
              </w:rPr>
              <w:t>Income before income taxes and equity income</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859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1,039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962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1,143</w:t>
            </w: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216</w:t>
            </w:r>
          </w:p>
        </w:tc>
      </w:tr>
      <w:tr>
        <w:trPr>
          <w:trHeight w:val="248"/>
        </w:trPr>
        <w:tc>
          <w:tcPr>
            <w:tcW w:w="3340" w:type="dxa"/>
            <w:vAlign w:val="bottom"/>
          </w:tcPr>
          <w:p>
            <w:pPr>
              <w:ind w:left="40"/>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555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423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423</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1,243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1,350</w:t>
            </w:r>
          </w:p>
        </w:tc>
      </w:tr>
      <w:tr>
        <w:trPr>
          <w:trHeight w:val="248"/>
        </w:trPr>
        <w:tc>
          <w:tcPr>
            <w:tcW w:w="3340" w:type="dxa"/>
            <w:vAlign w:val="bottom"/>
          </w:tcPr>
          <w:p>
            <w:pPr>
              <w:ind w:left="40"/>
              <w:spacing w:after="0"/>
              <w:rPr>
                <w:sz w:val="20"/>
                <w:szCs w:val="20"/>
                <w:color w:val="auto"/>
              </w:rPr>
            </w:pPr>
            <w:r>
              <w:rPr>
                <w:rFonts w:ascii="Arial" w:cs="Arial" w:eastAsia="Arial" w:hAnsi="Arial"/>
                <w:sz w:val="11"/>
                <w:szCs w:val="11"/>
                <w:color w:val="auto"/>
              </w:rPr>
              <w:t>Net income attributable to noncontrolling interests</w:t>
            </w:r>
          </w:p>
        </w:tc>
        <w:tc>
          <w:tcPr>
            <w:tcW w:w="14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(35)</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2"/>
        </w:trPr>
        <w:tc>
          <w:tcPr>
            <w:tcW w:w="334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Net income attributable to stockholders</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1,315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and Retail Vehicle Sales</w:t>
      </w:r>
    </w:p>
    <w:p>
      <w:pPr>
        <w:spacing w:after="0" w:line="22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Wholesale vehicle sales data, which represents sales directly to dealers and others, is the measure that correlates vehicle sales to our revenue from the sale of vehicles, which is the largest component of Automotive sales and revenue. Wholesale vehicle sales exclude vehicles produced by unconsolidated joint ventures. Retail vehicle sales data, which represents estimated sales to the end customer, including fleets, does not correlate directly to the revenue we recognize during the period. However, retail vehicle sales data is indicative of the underlying demand for our vehicles, is the basis for our market share, and is based upon the good faith estimates of management and includes all sales by joint ventures on a total vehicle basis, not based on the percentage of ownership in the joint venture. Market share information is based primarily on retail vehicle sales volume, but estimates may be used where retail vehicle sales volume is not available. Worldwide market share and retail vehicle sales data exclude the markets of Iran, North Korea, Sudan and Syria.</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Retail sales volume includes vehicles produced by certain joint ventures. The joint venture agreements with SAIC-GM-Wuling Automobile Co., Ltd. (SGMW) and FAW-GM Light Duty Commercial Vehicle Co., Ltd. (FAW-GM) allow for significant rights as a member as well as the contractual right to report SGMW and FAW-GM joint venture sales in China.</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Wholesale Vehicle Sales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wholesale vehicle sales of new motor vehicles by automotive segment (vehicles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99"/>
              </w:rPr>
              <w:t>Three Months Ended</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2080" w:type="dxa"/>
            <w:vAlign w:val="bottom"/>
            <w:tcBorders>
              <w:bottom w:val="single" w:sz="8" w:color="auto"/>
            </w:tcBorders>
            <w:gridSpan w:val="3"/>
          </w:tcPr>
          <w:p>
            <w:pPr>
              <w:ind w:left="1040"/>
              <w:spacing w:after="0"/>
              <w:rPr>
                <w:sz w:val="20"/>
                <w:szCs w:val="20"/>
                <w:color w:val="auto"/>
              </w:rPr>
            </w:pPr>
            <w:r>
              <w:rPr>
                <w:rFonts w:ascii="Arial" w:cs="Arial" w:eastAsia="Arial" w:hAnsi="Arial"/>
                <w:sz w:val="13"/>
                <w:szCs w:val="13"/>
                <w:b w:val="1"/>
                <w:bCs w:val="1"/>
                <w:color w:val="auto"/>
              </w:rPr>
              <w:t>March 31, 2013</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rPr>
              <w:t>March 31, 2012</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GME(a)</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GMIO(a)(b)</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GMSA</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1,554</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49"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Chevrolet branded vehicles sold in European markets are distributed by subsidiaries of GM Korea Company (GM Korea), which is a component of GMIO. Revenue and wholesale vehicle sales of Chevrolet branded vehicles sold in European markets are included in GMIO's financial results.</w:t>
      </w:r>
    </w:p>
    <w:p>
      <w:pPr>
        <w:jc w:val="both"/>
        <w:ind w:left="340" w:right="20" w:hanging="332"/>
        <w:spacing w:after="0" w:line="276"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joint venture wholesale vehicle sales presented in the following table are excluded from our wholesale vehicle sales. Wholesale vehicle sales for SAIC GM Investment Limited, the holding company of General Motors India Private Limited and Chevrolet Sales India Private Limited (collectively HKJV) are included in the three months ended March 31, 2013. Refer to Note 3 to our condensed consolidated financial statements for additional information on the acquisition of HKJV.</w:t>
      </w:r>
    </w:p>
    <w:p>
      <w:pPr>
        <w:spacing w:after="0" w:line="200" w:lineRule="exact"/>
        <w:rPr>
          <w:sz w:val="20"/>
          <w:szCs w:val="20"/>
          <w:color w:val="auto"/>
        </w:rPr>
      </w:pP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1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 2013</w:t>
            </w:r>
          </w:p>
        </w:tc>
        <w:tc>
          <w:tcPr>
            <w:tcW w:w="1160" w:type="dxa"/>
            <w:vAlign w:val="bottom"/>
          </w:tcPr>
          <w:p>
            <w:pPr>
              <w:jc w:val="right"/>
              <w:ind w:right="90"/>
              <w:spacing w:after="0"/>
              <w:rPr>
                <w:sz w:val="20"/>
                <w:szCs w:val="20"/>
                <w:color w:val="auto"/>
              </w:rPr>
            </w:pPr>
            <w:r>
              <w:rPr>
                <w:rFonts w:ascii="Arial" w:cs="Arial" w:eastAsia="Arial" w:hAnsi="Arial"/>
                <w:sz w:val="13"/>
                <w:szCs w:val="13"/>
                <w:b w:val="1"/>
                <w:bCs w:val="1"/>
                <w:color w:val="auto"/>
              </w:rPr>
              <w:t>March 31, 2012</w:t>
            </w:r>
          </w:p>
        </w:tc>
      </w:t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Joint venture sales in China</w:t>
            </w: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color w:val="auto"/>
              </w:rPr>
              <w:t>SAIC General Motors Sales Co., Ltd. (SGMS)</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337</w:t>
            </w: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SGMW and FAW-GM</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407</w:t>
            </w: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Joint venture sales in India</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HKJV</w:t>
            </w: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w:t>
            </w: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Retail Vehicle Sales and Competitive Position</w:t>
      </w:r>
    </w:p>
    <w:p>
      <w:pPr>
        <w:spacing w:after="0" w:line="225"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color w:val="auto"/>
        </w:rPr>
        <w:t>The following tables summarize total industry retail sales volume, or estimated sales volume where retail sales volume is not available, of new motor vehicles of domestic and foreign makes and the related competitive position by geographic region (vehicles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13335</wp:posOffset>
            </wp:positionV>
            <wp:extent cx="38931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2013</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2012</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GM</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GM</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Mexico</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North America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Italy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Russia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Uzbekistan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France</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Spain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Europe</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 Middle East and Africa</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China(d)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India(d)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Egypt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Asia/Pacific, Middle East and Africa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10,341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9,899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color w:val="auto"/>
              </w:rPr>
              <w:t>South America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Argentina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Colombia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Venezuela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South America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20,651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20,353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5280" w:type="dxa"/>
            <w:vAlign w:val="bottom"/>
          </w:tcPr>
          <w:p>
            <w:pPr>
              <w:spacing w:after="0"/>
              <w:rPr>
                <w:sz w:val="24"/>
                <w:szCs w:val="24"/>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13335</wp:posOffset>
            </wp:positionV>
            <wp:extent cx="38931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2013</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2012</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GM</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GM</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Cars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Trucks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Crossovers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United States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Canada, Mexico and Other</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North America</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4,227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83"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North America vehicle sales primarily represent sales to the end customer. Europe, Asia/Pacific and South America vehicle sales primarily represent estimated sales to the end customer. In countries where end customer data is not readily available other data sources, such as wholesale or forecast volumes, are used to estimate vehicle sales.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b)  Certain fleet sales that are accounted for as operating leases are included in vehicle sales at the time of delivery to the daily rental car companies.</w:t>
      </w:r>
    </w:p>
    <w:p>
      <w:pPr>
        <w:spacing w:after="0" w:line="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Vehicle sales data may include rounding differences.</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joint venture retail vehicle sales presented in the following table are included in our retail vehicle sales. Vehicle sales for HKJV are included in the three months ended March 31, 2012. Refer to Note 3 to our condensed consolidated financial statements for additional information on the acquisition of HKJV.</w:t>
      </w:r>
    </w:p>
    <w:p>
      <w:pPr>
        <w:spacing w:after="0" w:line="200" w:lineRule="exact"/>
        <w:rPr>
          <w:sz w:val="20"/>
          <w:szCs w:val="20"/>
          <w:color w:val="auto"/>
        </w:r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1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 2013</w:t>
            </w:r>
          </w:p>
        </w:tc>
        <w:tc>
          <w:tcPr>
            <w:tcW w:w="1160" w:type="dxa"/>
            <w:vAlign w:val="bottom"/>
          </w:tcPr>
          <w:p>
            <w:pPr>
              <w:jc w:val="right"/>
              <w:ind w:right="90"/>
              <w:spacing w:after="0"/>
              <w:rPr>
                <w:sz w:val="20"/>
                <w:szCs w:val="20"/>
                <w:color w:val="auto"/>
              </w:rPr>
            </w:pPr>
            <w:r>
              <w:rPr>
                <w:rFonts w:ascii="Arial" w:cs="Arial" w:eastAsia="Arial" w:hAnsi="Arial"/>
                <w:sz w:val="13"/>
                <w:szCs w:val="13"/>
                <w:b w:val="1"/>
                <w:bCs w:val="1"/>
                <w:color w:val="auto"/>
              </w:rPr>
              <w:t>March 31, 2012</w:t>
            </w:r>
          </w:p>
        </w:tc>
      </w:t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Joint venture sales in China</w:t>
            </w: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color w:val="auto"/>
              </w:rPr>
              <w:t>SGMS</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337</w:t>
            </w: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SGMW and FAW-GM</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407</w:t>
            </w:r>
          </w:p>
        </w:tc>
      </w:tr>
      <w:tr>
        <w:trPr>
          <w:trHeight w:val="26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Joint venture sales in India</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HKJV</w:t>
            </w: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Total Net Sales and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2"/>
              <w:spacing w:after="0"/>
              <w:rPr>
                <w:sz w:val="20"/>
                <w:szCs w:val="20"/>
                <w:color w:val="auto"/>
              </w:rPr>
            </w:pPr>
            <w:r>
              <w:rPr>
                <w:rFonts w:ascii="Arial" w:cs="Arial" w:eastAsia="Arial" w:hAnsi="Arial"/>
                <w:sz w:val="14"/>
                <w:szCs w:val="14"/>
                <w:b w:val="1"/>
                <w:bCs w:val="1"/>
                <w:color w:val="auto"/>
              </w:rPr>
              <w:t>%</w:t>
            </w: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GME</w:t>
            </w: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4,818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GMSA</w:t>
            </w: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Total operating segments</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36,848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37,744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140.0 %</w:t>
            </w: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36,884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37,759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three months ended March 31, 2013 Total net sales and revenue decreased by $0.9 billion (or 2.3%) due primarily to: (1) decreased wholesale volumes of $0.9 billion representing 40,000 vehicles primarily in GMNA and GME; (2) unfavorable net foreign currency effect of $0.4 billion due to the weakening of various currencies against the U.S. Dollar; (3) unfavorable vehicle pricing effect of $0.2 billion resulting from increased sales and lease incentives of $0.6 billion, partially offset by favorable price increase of $0.4 billion; (4) decreased daily rental cars lease revenue and reduction in favorable residual adjustments of $0.1 billion; partially offset by (5) favorable vehicle mix of $0.6 billion; (6) increased GM Financial finance income of $0.1 billion</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Cost of Sales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41"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cost of sales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3,727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w:t>
            </w:r>
          </w:p>
        </w:tc>
      </w:tr>
    </w:tbl>
    <w:p>
      <w:pPr>
        <w:spacing w:after="0" w:line="22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the three months ended March 31, 2013 Automotive cost of sales decreased by $0.3 billion (or 0.9%), compared with automotive Total net sales and revenue, which declined by 2.6%, due primarily to: (1) decreased costs of $0.7 billion related to decreased wholesale volumes as previously discussed; (2) decreased policy and warranty expense of $0.3 billion; (3) decreased material and freight costs of $0.2 billion; (4) decreased engineering costs of $0.1 billion; partially offset by (5) unfavorable vehicle mix of $0.7 billion resulting from an increase in the sale of higher cost vehicles primarily in GMNA; (6) increased manufacturing costs of $0.1 billion to support new vehicle launches; (7) unfavorable net foreign currency effect of $0.1 billion related to the net effect the devaluation of the Venezuelan BsF and gains due to the weakening of various currencies against the U.S. Dollar; (8) increased employee costs of $0.1 billion including decreased net pension and other post retirement benefits income and increased pension settlement losses.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Selling, General and Administrative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9"/>
              <w:spacing w:after="0"/>
              <w:rPr>
                <w:sz w:val="20"/>
                <w:szCs w:val="20"/>
                <w:color w:val="auto"/>
              </w:rPr>
            </w:pPr>
            <w:r>
              <w:rPr>
                <w:rFonts w:ascii="Arial" w:cs="Arial" w:eastAsia="Arial" w:hAnsi="Arial"/>
                <w:sz w:val="14"/>
                <w:szCs w:val="14"/>
                <w:b w:val="1"/>
                <w:bCs w:val="1"/>
                <w:color w:val="auto"/>
              </w:rPr>
              <w:t>%</w:t>
            </w:r>
          </w:p>
        </w:tc>
      </w:tr>
      <w:tr>
        <w:trPr>
          <w:trHeight w:val="243"/>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 and administrative expense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2,939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2,973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Automotive selling, general and administrative expense was essentially unchanged from the same period a year ago.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Impairment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400" w:type="dxa"/>
            <w:vAlign w:val="bottom"/>
            <w:gridSpan w:val="6"/>
          </w:tcPr>
          <w:p>
            <w:pPr>
              <w:ind w:left="10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28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2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2013</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1280" w:type="dxa"/>
            <w:vAlign w:val="bottom"/>
            <w:shd w:val="clear" w:color="auto" w:fill="CCEEFF"/>
          </w:tcPr>
          <w:p>
            <w:pPr>
              <w:jc w:val="right"/>
              <w:ind w:right="1082"/>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March 31, 2013 Goodwill impairment charges decreased by $0.6 billion (or 100.0%) due to Goodwill impairment charges of $0.6 billion and $27 million in the GME and GM Korea reporting units recorded in the three months ended March 31, 2012 that did not recur in 2013.</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Income and Other Non-Operating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9"/>
              <w:spacing w:after="0"/>
              <w:rPr>
                <w:sz w:val="20"/>
                <w:szCs w:val="20"/>
                <w:color w:val="auto"/>
              </w:rPr>
            </w:pPr>
            <w:r>
              <w:rPr>
                <w:rFonts w:ascii="Arial" w:cs="Arial" w:eastAsia="Arial" w:hAnsi="Arial"/>
                <w:sz w:val="14"/>
                <w:szCs w:val="14"/>
                <w:b w:val="1"/>
                <w:bCs w:val="1"/>
                <w:color w:val="auto"/>
              </w:rPr>
              <w:t>%</w:t>
            </w:r>
          </w:p>
        </w:tc>
      </w:tr>
      <w:tr>
        <w:trPr>
          <w:trHeight w:val="243"/>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7"/>
        </w:trPr>
        <w:tc>
          <w:tcPr>
            <w:tcW w:w="5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March 31, 2013 Interest income and other non-operating income, net decreased by $0.1 billion (or 37.8%) due primarily to: (1) unfavorable net foreign currency effect of $58 million; (2) decrease of non-operating income related to a bargain purchase gain of $50 million related to the acquisition of GMAC South America in the three months ended March 31, 2012 that did not recur in the three months ended March 31, 2013.</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40" w:type="dxa"/>
            <w:vAlign w:val="bottom"/>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3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243"/>
        </w:trPr>
        <w:tc>
          <w:tcPr>
            <w:tcW w:w="5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7"/>
        </w:trPr>
        <w:tc>
          <w:tcPr>
            <w:tcW w:w="5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Income tax expense increased by $0.2 billion (or 89.4%) due primarily to a $0.3 billion increase attributable to entities included in our effective tax rate calculation including, but not limited to, increased tax</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341"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expense in U.S. and Canada resulting from the release of their valuation allowances in the three months ended December 31, 2012; offset by a U.S. research credit of $0.2 billion due to a change in legislation in the three months ended March 31, 2013.</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Income, Net of Tax</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4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3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494"/>
              <w:spacing w:after="0"/>
              <w:rPr>
                <w:sz w:val="20"/>
                <w:szCs w:val="20"/>
                <w:color w:val="auto"/>
              </w:rPr>
            </w:pPr>
            <w:r>
              <w:rPr>
                <w:rFonts w:ascii="Arial" w:cs="Arial" w:eastAsia="Arial" w:hAnsi="Arial"/>
                <w:sz w:val="14"/>
                <w:szCs w:val="14"/>
                <w:b w:val="1"/>
                <w:bCs w:val="1"/>
                <w:color w:val="auto"/>
              </w:rPr>
              <w:t>%</w:t>
            </w:r>
          </w:p>
        </w:tc>
      </w:tr>
      <w:tr>
        <w:trPr>
          <w:trHeight w:val="250"/>
        </w:trPr>
        <w:tc>
          <w:tcPr>
            <w:tcW w:w="5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JVs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Others</w:t>
            </w:r>
          </w:p>
        </w:tc>
        <w:tc>
          <w:tcPr>
            <w:tcW w:w="2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5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 income,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2013 Equity income, net of tax increased by $0.1 billion (or 31.2%) due primarily to an increase in the earnings of the SGMS and SGM JVs.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Reconciliation of Consolidated, Automotive and GM Financial Segment Results</w:t>
      </w:r>
    </w:p>
    <w:p>
      <w:pPr>
        <w:spacing w:after="0" w:line="22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Management believes earnings before interest and taxes (EBIT)-adjusted provides meaningful supplemental information regarding our automotive segments' operating results because it excludes interest income, interest expense and income taxes as well as certain additional amounts. Management does not consider these excluded items when assessing and measuring the operational and financial performance of the organization, its management teams and when making decisions to allocate resources, such as capital investment, among business units and for internal reporting and as part of its forecasting and budgeting processes. Such adjustments include impairment charges related to goodwill and certain investments, gains or losses on the settlement/extinguishment of obligations and gains or losses on the sale of non-core investments. Management believes this measure allows it to readily view operating trends, perform analytical comparisons and benchmark performance between periods and among geographic regions. We believe EBIT-adjusted is useful in allowing for greater transparency of our core operations and is therefore used by management in its financial and operational decision-making.</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While management believes that EBIT-adjusted provides useful information, it is not an operating measure under U.S. GAAP and there are limitations associated with its use. Our calculation of EBIT-adjusted may not be completely comparable to similarly titled measures of other companies due to potential differences between companies in the method of calculation. As a result the use of EBIT-adjusted has limitations and should not be considered in isolation from, or as a substitute for, other measures such as Net income or Net income attributable to stockholders. Due to these limitations, EBIT-adjusted is used as a supplement to U.S. GAAP measures.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believes income before income taxes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2013 we changed our managerial and financial reporting structure to measure our reportable segments revenue and profitability based on the geographic area in which we sell vehicles to third party customers. The new reporting structure provides clearer profit and revenue visibility across geographic areas and identifies our profitability at the point of sale. Previously, it was based on the geographic area in which the vehicles originated and our managerial and financial reporting structure included intercompany sales and cost of sales in our segment results. Certain expenses such as engineering, warranty, recall campaigns and selling, general and administrative are allocated to the geographic area in which the vehicle is sold to third party customers. We have retrospectively revised the segment presentation for all periods presented.</w:t>
      </w:r>
    </w:p>
    <w:p>
      <w:pPr>
        <w:spacing w:after="0" w:line="178"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The following tables summarize the reconciliation of our automotive segments EBIT-adjusted and GM Financial's income before income taxes to Net income attributable to stockholders and provide supplemental detail of the adjustments, which are presented net of noncontrolling interests (dollars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8"/>
              </w:rPr>
              <w:t>March 31, 2013</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8"/>
              </w:rPr>
              <w:t>March 31, 2012</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Automotive</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EBIT-adjusted</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GMNA(a)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89.2 %  $</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82.1 %</w:t>
            </w:r>
          </w:p>
        </w:tc>
        <w:tc>
          <w:tcPr>
            <w:tcW w:w="0" w:type="dxa"/>
            <w:vAlign w:val="bottom"/>
          </w:tcPr>
          <w:p>
            <w:pPr>
              <w:spacing w:after="0"/>
              <w:rPr>
                <w:sz w:val="1"/>
                <w:szCs w:val="1"/>
                <w:color w:val="auto"/>
              </w:rPr>
            </w:pPr>
          </w:p>
        </w:tc>
      </w:tr>
      <w:tr>
        <w:trPr>
          <w:trHeight w:val="243"/>
        </w:trPr>
        <w:tc>
          <w:tcPr>
            <w:tcW w:w="6340" w:type="dxa"/>
            <w:vAlign w:val="bottom"/>
          </w:tcPr>
          <w:p>
            <w:pPr>
              <w:ind w:left="200"/>
              <w:spacing w:after="0"/>
              <w:rPr>
                <w:sz w:val="20"/>
                <w:szCs w:val="20"/>
                <w:color w:val="auto"/>
              </w:rPr>
            </w:pPr>
            <w:r>
              <w:rPr>
                <w:rFonts w:ascii="Arial" w:cs="Arial" w:eastAsia="Arial" w:hAnsi="Arial"/>
                <w:sz w:val="18"/>
                <w:szCs w:val="18"/>
                <w:color w:val="auto"/>
              </w:rPr>
              <w:t>GME(a)</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GMIO(a)</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43"/>
        </w:trPr>
        <w:tc>
          <w:tcPr>
            <w:tcW w:w="6340" w:type="dxa"/>
            <w:vAlign w:val="bottom"/>
          </w:tcPr>
          <w:p>
            <w:pPr>
              <w:ind w:left="200"/>
              <w:spacing w:after="0"/>
              <w:rPr>
                <w:sz w:val="20"/>
                <w:szCs w:val="20"/>
                <w:color w:val="auto"/>
              </w:rPr>
            </w:pPr>
            <w:r>
              <w:rPr>
                <w:rFonts w:ascii="Arial" w:cs="Arial" w:eastAsia="Arial" w:hAnsi="Arial"/>
                <w:sz w:val="18"/>
                <w:szCs w:val="18"/>
                <w:color w:val="auto"/>
              </w:rPr>
              <w:t>GMSA(a)</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6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automotive EBIT-adjusted</w:t>
            </w:r>
          </w:p>
        </w:tc>
        <w:tc>
          <w:tcPr>
            <w:tcW w:w="360" w:type="dxa"/>
            <w:vAlign w:val="bottom"/>
            <w:tcBorders>
              <w:top w:val="single" w:sz="8" w:color="auto"/>
              <w:bottom w:val="single" w:sz="8" w:color="CCEEFF"/>
            </w:tcBorders>
          </w:tcPr>
          <w:p>
            <w:pPr>
              <w:spacing w:after="0"/>
              <w:rPr>
                <w:sz w:val="24"/>
                <w:szCs w:val="24"/>
                <w:color w:val="auto"/>
              </w:rPr>
            </w:pPr>
          </w:p>
        </w:tc>
        <w:tc>
          <w:tcPr>
            <w:tcW w:w="76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1,586</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100.0 %</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CCEEFF"/>
            </w:tcBorders>
          </w:tcPr>
          <w:p>
            <w:pPr>
              <w:spacing w:after="0"/>
              <w:rPr>
                <w:sz w:val="24"/>
                <w:szCs w:val="24"/>
                <w:color w:val="auto"/>
              </w:rPr>
            </w:pPr>
          </w:p>
        </w:tc>
        <w:tc>
          <w:tcPr>
            <w:tcW w:w="76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100.0 %</w:t>
            </w:r>
          </w:p>
        </w:tc>
        <w:tc>
          <w:tcPr>
            <w:tcW w:w="0" w:type="dxa"/>
            <w:vAlign w:val="bottom"/>
          </w:tcPr>
          <w:p>
            <w:pPr>
              <w:spacing w:after="0"/>
              <w:rPr>
                <w:sz w:val="1"/>
                <w:szCs w:val="1"/>
                <w:color w:val="auto"/>
              </w:rPr>
            </w:pPr>
          </w:p>
        </w:tc>
      </w:tr>
      <w:tr>
        <w:trPr>
          <w:trHeight w:val="23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Corporate interest income</w:t>
            </w: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4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Automotive Financing</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GM Financial income before income taxes</w:t>
            </w: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automotive operations interest and income taxes are recorded centrally in Corporate; therefore, there are no reconciling items for our automotive operating segments between EBIT-adjusted and Net income attributable to stockholders.</w:t>
      </w:r>
    </w:p>
    <w:p>
      <w:pPr>
        <w:spacing w:after="0" w:line="15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the three months ended March 31, 2013 adjustments to EBIT consist of Venezuela currency devaluation of $162 million in GMSA and pension settlement charges and income related to various insurance recoveries, net, of $8 million.</w:t>
      </w:r>
    </w:p>
    <w:p>
      <w:pPr>
        <w:spacing w:after="0" w:line="14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the three months ended March 31, 2012 adjustments to EBIT consist of Goodwill impairment charges of $590 million in GME and $22 million in GMIO, which is presented net of noncontrolling interests.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Consolidating Financial Condition</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91"/>
              </w:rPr>
              <w:t>March 31, 2013</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8"/>
              </w:rPr>
              <w:t>December 31, 2012</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378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1"/>
                <w:szCs w:val="11"/>
                <w:b w:val="1"/>
                <w:bCs w:val="1"/>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Current Assets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17,746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17,133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18,422</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Marketable securities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6,560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6,560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8,988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8,988</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Restricted cash and marketable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686</w:t>
            </w:r>
          </w:p>
        </w:tc>
      </w:tr>
      <w:tr>
        <w:trPr>
          <w:trHeight w:val="248"/>
        </w:trPr>
        <w:tc>
          <w:tcPr>
            <w:tcW w:w="3780" w:type="dxa"/>
            <w:vAlign w:val="bottom"/>
          </w:tcPr>
          <w:p>
            <w:pPr>
              <w:ind w:left="180"/>
              <w:spacing w:after="0"/>
              <w:rPr>
                <w:sz w:val="20"/>
                <w:szCs w:val="20"/>
                <w:color w:val="auto"/>
              </w:rPr>
            </w:pPr>
            <w:r>
              <w:rPr>
                <w:rFonts w:ascii="Arial" w:cs="Arial" w:eastAsia="Arial" w:hAnsi="Arial"/>
                <w:sz w:val="11"/>
                <w:szCs w:val="11"/>
                <w:color w:val="auto"/>
              </w:rPr>
              <w:t>Accounts and notes receivable, net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12,549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12,559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10,384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10,395</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finance receivables,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4,044</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15,200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15,200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14,714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14,714</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Equipment on operating leases, net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1,782</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Deferred income taxes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9,290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9,336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9,369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9,429</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current assets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1,485</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1,543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1,536</w:t>
            </w:r>
          </w:p>
        </w:tc>
      </w:tr>
      <w:tr>
        <w:trPr>
          <w:trHeight w:val="228"/>
        </w:trPr>
        <w:tc>
          <w:tcPr>
            <w:tcW w:w="3780" w:type="dxa"/>
            <w:vAlign w:val="bottom"/>
          </w:tcPr>
          <w:p>
            <w:pPr>
              <w:ind w:left="200"/>
              <w:spacing w:after="0"/>
              <w:rPr>
                <w:sz w:val="20"/>
                <w:szCs w:val="20"/>
                <w:color w:val="auto"/>
              </w:rPr>
            </w:pPr>
            <w:r>
              <w:rPr>
                <w:rFonts w:ascii="Arial" w:cs="Arial" w:eastAsia="Arial" w:hAnsi="Arial"/>
                <w:sz w:val="11"/>
                <w:szCs w:val="11"/>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64,746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7,928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72,570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64,077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5,997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69,996</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Restricted cash and marketable securities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623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380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682</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finance receivables,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6,954</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Equity in net assets of nonconsolidated affiliates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7,470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7,470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6,883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6,883</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Property, net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24,843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24,893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24,196</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Goodwill</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1,278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1,968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695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1,973</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6,809</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GM Financial equipment on operating leases,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2,104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2,039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1,703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1,649</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Deferred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27,643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27,669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27,883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27,922</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Other assets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2,929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(597)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2,377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2,873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2,358</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non-current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70,872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81,205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69,667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79,426</w:t>
            </w:r>
          </w:p>
        </w:tc>
      </w:tr>
      <w:tr>
        <w:trPr>
          <w:trHeight w:val="27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135,618</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18,924</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(767)</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153,775</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133,744</w:t>
            </w:r>
          </w:p>
        </w:tc>
        <w:tc>
          <w:tcPr>
            <w:tcW w:w="12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16,368</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(690)</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149,422</w:t>
            </w:r>
          </w:p>
        </w:tc>
      </w:tr>
      <w:tr>
        <w:trPr>
          <w:trHeight w:val="235"/>
        </w:trPr>
        <w:tc>
          <w:tcPr>
            <w:tcW w:w="37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Accounts payable (principally trade)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27,083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27,117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25,166</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Short-term debt and current portion of long-term debt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Automotive</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1,803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1,748</w:t>
            </w:r>
          </w:p>
        </w:tc>
      </w:tr>
      <w:tr>
        <w:trPr>
          <w:trHeight w:val="248"/>
        </w:trPr>
        <w:tc>
          <w:tcPr>
            <w:tcW w:w="3780" w:type="dxa"/>
            <w:vAlign w:val="bottom"/>
          </w:tcPr>
          <w:p>
            <w:pPr>
              <w:ind w:left="340"/>
              <w:spacing w:after="0"/>
              <w:rPr>
                <w:sz w:val="20"/>
                <w:szCs w:val="20"/>
                <w:color w:val="auto"/>
              </w:rPr>
            </w:pPr>
            <w:r>
              <w:rPr>
                <w:rFonts w:ascii="Arial" w:cs="Arial" w:eastAsia="Arial" w:hAnsi="Arial"/>
                <w:sz w:val="11"/>
                <w:szCs w:val="11"/>
                <w:color w:val="auto"/>
              </w:rPr>
              <w:t>GM Financial</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5,216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3,770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3,770</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Accrued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22,312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22,450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23,168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23,308</w:t>
            </w:r>
          </w:p>
        </w:tc>
      </w:tr>
      <w:tr>
        <w:trPr>
          <w:trHeight w:val="228"/>
        </w:trPr>
        <w:tc>
          <w:tcPr>
            <w:tcW w:w="3780" w:type="dxa"/>
            <w:vAlign w:val="bottom"/>
          </w:tcPr>
          <w:p>
            <w:pPr>
              <w:ind w:left="200"/>
              <w:spacing w:after="0"/>
              <w:rPr>
                <w:sz w:val="20"/>
                <w:szCs w:val="20"/>
                <w:color w:val="auto"/>
              </w:rPr>
            </w:pPr>
            <w:r>
              <w:rPr>
                <w:rFonts w:ascii="Arial" w:cs="Arial" w:eastAsia="Arial" w:hAnsi="Arial"/>
                <w:sz w:val="11"/>
                <w:szCs w:val="11"/>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51,198</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5,468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(127)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56,539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50,092</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3,997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53,992</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Long-term debt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Automotive</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3,424</w:t>
            </w:r>
          </w:p>
        </w:tc>
      </w:tr>
      <w:tr>
        <w:trPr>
          <w:trHeight w:val="248"/>
        </w:trPr>
        <w:tc>
          <w:tcPr>
            <w:tcW w:w="3780" w:type="dxa"/>
            <w:vAlign w:val="bottom"/>
          </w:tcPr>
          <w:p>
            <w:pPr>
              <w:ind w:left="340"/>
              <w:spacing w:after="0"/>
              <w:rPr>
                <w:sz w:val="20"/>
                <w:szCs w:val="20"/>
                <w:color w:val="auto"/>
              </w:rPr>
            </w:pPr>
            <w:r>
              <w:rPr>
                <w:rFonts w:ascii="Arial" w:cs="Arial" w:eastAsia="Arial" w:hAnsi="Arial"/>
                <w:sz w:val="11"/>
                <w:szCs w:val="11"/>
                <w:color w:val="auto"/>
              </w:rPr>
              <w:t>GM Financial</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8,033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8,033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7,108</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Postretirement benefits other than pensions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7,246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7,309</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Pensions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26,775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26,775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27,420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27,420</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liabilities and deferred income taxes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13,301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13,428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13,048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13,169</w:t>
            </w:r>
          </w:p>
        </w:tc>
      </w:tr>
      <w:tr>
        <w:trPr>
          <w:trHeight w:val="228"/>
        </w:trPr>
        <w:tc>
          <w:tcPr>
            <w:tcW w:w="3780" w:type="dxa"/>
            <w:vAlign w:val="bottom"/>
          </w:tcPr>
          <w:p>
            <w:pPr>
              <w:ind w:left="200"/>
              <w:spacing w:after="0"/>
              <w:rPr>
                <w:sz w:val="20"/>
                <w:szCs w:val="20"/>
                <w:color w:val="auto"/>
              </w:rPr>
            </w:pPr>
            <w:r>
              <w:rPr>
                <w:rFonts w:ascii="Arial" w:cs="Arial" w:eastAsia="Arial" w:hAnsi="Arial"/>
                <w:sz w:val="11"/>
                <w:szCs w:val="11"/>
                <w:color w:val="auto"/>
              </w:rPr>
              <w:t>Total non-current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50,742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8,797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(638)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58,901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51,202</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7,820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(592)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58,430</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101,940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14,265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115,440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101,294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11,817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112,422</w:t>
            </w:r>
          </w:p>
        </w:tc>
      </w:tr>
      <w:tr>
        <w:trPr>
          <w:trHeight w:val="24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Equity</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Preferred stock, $0.01 par value</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3780" w:type="dxa"/>
            <w:vAlign w:val="bottom"/>
          </w:tcPr>
          <w:p>
            <w:pPr>
              <w:ind w:left="340"/>
              <w:spacing w:after="0"/>
              <w:rPr>
                <w:sz w:val="20"/>
                <w:szCs w:val="20"/>
                <w:color w:val="auto"/>
              </w:rPr>
            </w:pPr>
            <w:r>
              <w:rPr>
                <w:rFonts w:ascii="Arial" w:cs="Arial" w:eastAsia="Arial" w:hAnsi="Arial"/>
                <w:sz w:val="11"/>
                <w:szCs w:val="11"/>
                <w:color w:val="auto"/>
              </w:rPr>
              <w:t>Series A</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5,536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5,536</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Series B</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4,855</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Common stock, $0.01 par value</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surplus (principally additional paid-in capital)</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23,776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23,776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23,834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23,834</w:t>
            </w:r>
          </w:p>
        </w:tc>
      </w:tr>
      <w:tr>
        <w:trPr>
          <w:trHeight w:val="248"/>
        </w:trPr>
        <w:tc>
          <w:tcPr>
            <w:tcW w:w="3780" w:type="dxa"/>
            <w:vAlign w:val="bottom"/>
          </w:tcPr>
          <w:p>
            <w:pPr>
              <w:ind w:left="200"/>
              <w:spacing w:after="0"/>
              <w:rPr>
                <w:sz w:val="20"/>
                <w:szCs w:val="20"/>
                <w:color w:val="auto"/>
              </w:rPr>
            </w:pPr>
            <w:r>
              <w:rPr>
                <w:rFonts w:ascii="Arial" w:cs="Arial" w:eastAsia="Arial" w:hAnsi="Arial"/>
                <w:sz w:val="11"/>
                <w:szCs w:val="11"/>
                <w:color w:val="auto"/>
              </w:rPr>
              <w:t>Retained earnings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6,350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4,668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11,017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5,503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4,554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10,057</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Accumulated other comprehensive loss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(7,601)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(7,611)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(8,052)</w:t>
            </w:r>
          </w:p>
        </w:tc>
      </w:tr>
      <w:tr>
        <w:trPr>
          <w:trHeight w:val="228"/>
        </w:trPr>
        <w:tc>
          <w:tcPr>
            <w:tcW w:w="3780" w:type="dxa"/>
            <w:vAlign w:val="bottom"/>
          </w:tcPr>
          <w:p>
            <w:pPr>
              <w:ind w:left="200"/>
              <w:spacing w:after="0"/>
              <w:rPr>
                <w:sz w:val="20"/>
                <w:szCs w:val="20"/>
                <w:color w:val="auto"/>
              </w:rPr>
            </w:pPr>
            <w:r>
              <w:rPr>
                <w:rFonts w:ascii="Arial" w:cs="Arial" w:eastAsia="Arial" w:hAnsi="Arial"/>
                <w:sz w:val="11"/>
                <w:szCs w:val="11"/>
                <w:color w:val="auto"/>
              </w:rPr>
              <w:t>Total stockholders’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32,930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4,659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37,587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31,694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4,551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36,244</w:t>
            </w: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756</w:t>
            </w:r>
          </w:p>
        </w:tc>
      </w:tr>
      <w:tr>
        <w:trPr>
          <w:trHeight w:val="228"/>
        </w:trPr>
        <w:tc>
          <w:tcPr>
            <w:tcW w:w="3780" w:type="dxa"/>
            <w:vAlign w:val="bottom"/>
          </w:tcPr>
          <w:p>
            <w:pPr>
              <w:ind w:left="40"/>
              <w:spacing w:after="0"/>
              <w:rPr>
                <w:sz w:val="20"/>
                <w:szCs w:val="20"/>
                <w:color w:val="auto"/>
              </w:rPr>
            </w:pPr>
            <w:r>
              <w:rPr>
                <w:rFonts w:ascii="Arial" w:cs="Arial" w:eastAsia="Arial" w:hAnsi="Arial"/>
                <w:sz w:val="11"/>
                <w:szCs w:val="11"/>
                <w:b w:val="1"/>
                <w:bCs w:val="1"/>
                <w:color w:val="auto"/>
              </w:rPr>
              <w:t>Total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33,678</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4,659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38,335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32,450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4,551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37,000</w:t>
            </w: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2"/>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135,618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18,924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(767)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153,775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133,744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16,368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149,422</w:t>
            </w: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9019"/>
          </w:cols>
          <w:pgMar w:left="1440" w:top="584" w:right="1440"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Marketable securities decreased by $2.4 billion (or 27.0%) due primarily to our reinvesting in shorter term cash equivalents as these marketable securities matured to rebalance our securities portfolio in the normal course of business.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Accounts and notes receivable, net increased by $2.2 billion (or 20.8%) due primarily to a net increase of $2.1 billion related to an increase in GMNA vehicle sales in the month of March 2013 compared to the month of December 2012 attributable to the December holiday shutdown.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Current Liabilities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short-term debt and current portion of long-term debt increased by $1.4 billion (or 38.4%) due primarily to: (1) borrowings on credit facilities of $1.5 billion; (2) current portion of $0.3 billion from the issuance of securitization notes payable; and (3) long-term debt reclassed to current of $0.6 billion; partially offset by (4) principal payments of $1.0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Non-Current Liabilities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Long-term debt increased by $0.9 billion (or 13.0%) due primarily to: (1) long-term portion of $0.7 billion from the issuance of securitization notes payable and (2) issuance of debt on a credit facility with a term of more than 12 months of $0.9 billion; partially offset by (3) long-term debt reclassed to current of $0.6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North America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7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2013 Total net sales and revenue decreased by $0.2 billion (or 0.8%) due primarily to: (1) decreased wholesale volumes of $0.5 billion representing 19,000 vehicles (or 2.2%) due to plant conversions as we retool for our next generation full-size trucks; and (2) unfavorable vehicle pricing of $0.2 billion; partially offset by (3) favorable vehicle mix of $0.6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March 31, 2013 EBIT-adjusted decreased by $0.2 billion (or 13.9%) due primarily to: (1) decreased wholesale volumes of $0.2 billion due to plant conversions as we retool for our next generation full-size trucks; (2) unfavorable vehicle pricing of $0.2 billion; (3) increase in manufacturing expense, including new launches, of $0.1 billion; and (4) decrease in U.S. pension income of $0.1 billion due to settlement of the salaried retiree pension plan; partially offset by (5) a reduction in unfavorable warranty and policy adjustments of $0.2 billion, (6) favorable net vehicle mix of $0.1 billion; and (7) decreased material and freight costs of $0.1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Europe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8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7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41"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Total net sales and revenue decreased by $0.4 billion (or 8.3%) due primarily to decreased wholesale volumes of $0.3 billion representing 17,000 vehicles (or 6.5%) due to the weak European economy.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2013 EBIT (loss)-adjusted decreased by $0.1 billion (or 40.5%) due primarily to: (1) lower manufacturing costs of $0.1 billion due primarily to decreased amortization and depreciation expense due to asset impairments recorded in December 2012, which decreased the depreciable base; and (2) lower engineering expenses of $0.1 billion; offset by (3) unfavorable net vehicle mix of $0.1 billion; and (4) unfavorable foreign currency effect of $0.1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International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7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2013 Total net sales and revenue decreased by $0.2 billion (or 3.9%) due primarily to: (1) decrease of $0.2 billion in wholesale volume of Chevrolet brand vehicles of 16,000 primarily in Europe offset by an increase of $0.2 billion from consolidation of HKJV effective September 2012 resulting in an inclusion of 23,000 wholesale vehicle sales; (2) unfavorable vehicle mix of $0.1 billion; and (3) unfavorable net foreign currency effect of $0.1 billion due to the weakening of the South Africa Rand against the U.S. Dollar.</w:t>
      </w:r>
    </w:p>
    <w:p>
      <w:pPr>
        <w:spacing w:after="0" w:line="18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vehicle sales of our China JVs are not reflected in Total net sales and revenue. The results of our joint ventures are recorded in Equity income, net of tax.</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2013 EBIT-adjusted remained flat, due primarily to: (1) increased equity income, net of tax, of $0.1 billion from our interest in the increased net income of our China JVs; offset by (2) unfavorable net vehicle mix of $0.1 billion; and (3) unfavorable net foreign currency effect of $0.1 billion due primarily to the weakening of the South Africa Rand against the U.S. Dollar. Market conditions in GMIO outside of China continue to be challenging.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South America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7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n.m.</w:t>
            </w:r>
          </w:p>
        </w:tc>
      </w:tr>
      <w:tr>
        <w:trPr>
          <w:trHeight w:val="233"/>
        </w:trPr>
        <w:tc>
          <w:tcPr>
            <w:tcW w:w="574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6"/>
        </w:trPr>
        <w:tc>
          <w:tcPr>
            <w:tcW w:w="5740" w:type="dxa"/>
            <w:vAlign w:val="bottom"/>
          </w:tcPr>
          <w:p>
            <w:pPr>
              <w:spacing w:after="0"/>
              <w:rPr>
                <w:sz w:val="20"/>
                <w:szCs w:val="20"/>
                <w:color w:val="auto"/>
              </w:rPr>
            </w:pPr>
            <w:r>
              <w:rPr>
                <w:rFonts w:ascii="Arial" w:cs="Arial" w:eastAsia="Arial" w:hAnsi="Arial"/>
                <w:sz w:val="16"/>
                <w:szCs w:val="16"/>
                <w:color w:val="auto"/>
              </w:rPr>
              <w:t>n.m. = not meaningful</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2013 Total net sales and revenue decreased by $0.2 billion (or 4.6%) due primarily to: (1) unfavorable net foreign currency effect of $0.3 billion, due to the strengthening of the U.S. Dollar against the Brazilian Real and Argentinian Peso; and (2) decreased wholesale volumes of $0.1 billion representing a decrease of 4,000 vehicles (or 1.7%) consisting of a decrease of 19,000 vehicles spread across several countries with the largest decrease of 8,000 vehicles in Venezuela partially offset by increased wholesale volumes of 15,000 in Brazil; partially offset by (3) favorable vehicle mix of $0.1 billion due to increased sales of the Chevrolet Cruze HB and Chevrolet S10; and (4) favorable vehicle pricing of $0.1 billion, primarily in Argentina due to higher inflation and in Venezuela due to the hyperinflationary economy.</w:t>
      </w:r>
    </w:p>
    <w:p>
      <w:pPr>
        <w:sectPr>
          <w:pgSz w:w="11900" w:h="16838" w:orient="portrait"/>
          <w:cols w:equalWidth="0" w:num="1">
            <w:col w:w="11420"/>
          </w:cols>
          <w:pgMar w:left="240" w:top="34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41"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 (Loss)-Adjusted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March 31, 2013 EBIT(loss)-adjusted was $38 million compared to EBIT-adjusted of $0.2 billion in the three months ended March 31, 2012 due primarily to: (1) unfavorable net foreign currency effect of $0.2 billion, due to the strengthening of the U.S. Dollar against the Brazilian Real and Argentinian Peso; and (2) unfavorable due to a non-recurring bargain gain of $50 million on the purchase of GMAC de Venezuela CA in the corresponding period of 2012; partially offset by (3) favorable vehicle pricing effect of $0.1 billion, primarily in Argentina due to higher inflation and in Venezuela due to the hyperinflationary economy.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50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53"/>
        </w:trPr>
        <w:tc>
          <w:tcPr>
            <w:tcW w:w="57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500" w:type="dxa"/>
            <w:vAlign w:val="bottom"/>
            <w:gridSpan w:val="3"/>
            <w:vMerge w:val="restart"/>
          </w:tcPr>
          <w:p>
            <w:pPr>
              <w:jc w:val="right"/>
              <w:ind w:right="596"/>
              <w:spacing w:after="0"/>
              <w:rPr>
                <w:sz w:val="20"/>
                <w:szCs w:val="20"/>
                <w:color w:val="auto"/>
              </w:rPr>
            </w:pPr>
            <w:r>
              <w:rPr>
                <w:rFonts w:ascii="Arial" w:cs="Arial" w:eastAsia="Arial" w:hAnsi="Arial"/>
                <w:sz w:val="14"/>
                <w:szCs w:val="14"/>
                <w:b w:val="1"/>
                <w:bCs w:val="1"/>
                <w:color w:val="auto"/>
              </w:rPr>
              <w:t>2013 vs. 2012 Change</w:t>
            </w:r>
          </w:p>
        </w:tc>
        <w:tc>
          <w:tcPr>
            <w:tcW w:w="0" w:type="dxa"/>
            <w:vAlign w:val="bottom"/>
          </w:tcPr>
          <w:p>
            <w:pPr>
              <w:spacing w:after="0"/>
              <w:rPr>
                <w:sz w:val="1"/>
                <w:szCs w:val="1"/>
                <w:color w:val="auto"/>
              </w:rPr>
            </w:pPr>
          </w:p>
        </w:tc>
      </w:tr>
      <w:tr>
        <w:trPr>
          <w:trHeight w:val="258"/>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GM Financial revenue increased by $109 million (or 25.3%) due primarily to: (1) increased finance income of $56 million due to a larger loan portfolio balance; and (2) increased lease income of $54 million due to a larger lease portfolio.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2013 Income before income taxes remained flat due primarily to: (1) increased finance income of $56 million due to a larger loan portfolio; and (2) increased lease income of $54 million due to a larger lease portfolio; offset by (3) increased leased vehicle expenses of $40 million due to a larger lease portfolio; (4) increased provision for loan losses of $46 million due to a larger loan portfolio; and (5) increased interest expense of $19 million due to an increase in average debt outstanding.</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Average debt outstanding in the three months ended March 31, 2013 and 2012 was $11.2 billion and $8.6 billion and the effective rate of interest paid for each period was 3.0%.</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420" w:type="dxa"/>
            <w:vAlign w:val="bottom"/>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251"/>
        </w:trPr>
        <w:tc>
          <w:tcPr>
            <w:tcW w:w="57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2013 vs. 2012 Change</w:t>
            </w:r>
          </w:p>
        </w:tc>
      </w:tr>
      <w:tr>
        <w:trPr>
          <w:trHeight w:val="264"/>
        </w:trPr>
        <w:tc>
          <w:tcPr>
            <w:tcW w:w="5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243"/>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stockholders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7"/>
        </w:trPr>
        <w:tc>
          <w:tcPr>
            <w:tcW w:w="5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 Net Loss Attributable to Stockholders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Net loss attributable to stockholders increased by $0.3 billion (or 129.7%) due primarily to an increase in income tax expense of $0.2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believe that our current level of cash and cash equivalents, marketable securities and availability under our secured revolving credit facilities will be sufficient to meet our liquidity needs. However we expect to have substantial cash requirements going forward which we plan to fund through total available liquidity and cash flows generated from operations. Our known material future uses of cash which may vary from time to time based on market conditions and other factors include, among other possible demands: (1) reinvestment in our business through capital expenditures of approximately $8 billion annually as well as engineering</w:t>
      </w:r>
    </w:p>
    <w:p>
      <w:pPr>
        <w:sectPr>
          <w:pgSz w:w="11900" w:h="16838" w:orient="portrait"/>
          <w:cols w:equalWidth="0" w:num="1">
            <w:col w:w="11420"/>
          </w:cols>
          <w:pgMar w:left="240" w:top="34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341"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product development activities; (2) acquiring certain Ally Financial international operations for approximately $4.2 billion and repayment of a loan assumed as part of the acquisition for approximately $1.3 billion; (3) payments to service debt and other long-term obligations; (4) dividend payments on our Series A and Series B Preferred Shares of $0.8 billion annually; and (5) certain litigation and income and indirect tax-related administrative proceedings that may require that we make payments or deposit funds in escrow estimated at $0.9 billion.</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2012 Form 10-K, some of which are outside our control. Macroeconomic conditions could limit our ability to successfully execute our business plans and therefore adversely affect our liquidity plans.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monitor and evaluate opportunities to strengthen our balance sheet and competitive position. These actions may include opportunistic payments to reduce our long-term obligations while maintaining minimal financial leverage as well as the possibility of acquisitions, dispositions and strategic alliances that we believe would generate significant advantages and substantially strengthen our business. These actions may include additional loans, investments with our joint venture partners or the acquisitions of certain operations or ownership stakes in outside businesses. These actions may negatively impact our liquidity in the short-term.</w:t>
      </w:r>
    </w:p>
    <w:p>
      <w:pPr>
        <w:spacing w:after="0" w:line="1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November 2012 GM Financial entered into agreements with Ally Financial to acquire Ally Financial's automotive finance and financial services businesses in Europe and Latin America and Ally Financial's equity interests in GMAC-SAIC that conducts automotive finance services operations in China. The purchase price to acquire this business and equity interests is approximately $4.2 billion, subject to certain possible closing adjustments.</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April 2013 GM Financial completed the acquisition of Ally Financial's European and Latin American automotive finance operations except for France, Portugal and Brazil. GM Financial paid approximately $2.4 billion, subject to certain closing adjustments, to acquire these businesses. In addition GM Financial repaid a $1.3 billion loan that was assumed as part of the acquisition. We provided GM Financial with additional funding, including a capital contribution of $1.3 billion and an intercompany loan of $0.8 billion, to complete these acquisitions. Refer to Note 24 to our condensed consolidated financial statements for additional information on these acquisitions.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acquisition of Ally Financial's French, Portuguese and Brazilian automotive finance operations and the equity interests in GMAC-SAIC are subject to certain regulatory and other approvals, and are expected to close in 2013 or early 2014. GM Financial expects to pay approximately $1.8 billion to close these acquisitions, subject to certain closing adjustments.</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April 2013 we made a payment of $0.7 billion to redeem early the remaining balance of GM Korea's mandatorily redeemable preferred shares that had a carrying amount of $0.5 billion. We recorded the difference of $0.2 billion as a loss on extinguishment of debt in April 2013. Following the redemption, we received proceeds of $0.1 billion on security interests in the preferred shares. These interests had been classified as an available-for-sale marketable security.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MOTORS COMPANY AND SUBSIDIARIES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right="1300"/>
        <w:spacing w:after="0" w:line="281" w:lineRule="auto"/>
        <w:rPr>
          <w:sz w:val="20"/>
          <w:szCs w:val="20"/>
          <w:color w:val="auto"/>
        </w:rPr>
      </w:pPr>
      <w:r>
        <w:rPr>
          <w:rFonts w:ascii="Arial" w:cs="Arial" w:eastAsia="Arial" w:hAnsi="Arial"/>
          <w:sz w:val="16"/>
          <w:szCs w:val="16"/>
          <w:b w:val="1"/>
          <w:bCs w:val="1"/>
          <w:color w:val="auto"/>
        </w:rPr>
        <w:t>Consolidating Statements of Cash Flows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operating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investing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Expenditures for property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Acquisition of companies, net of cash acquired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Proceeds from sale of business units/investments, net of cash disposed</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Increase in 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Decrease in 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and funding of finance receivables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Principal collections and recoveries on finance receivables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leased vehicles,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termination of leased vehicles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investing activities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(used in) investing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financing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Proceeds from issuance of debt (original maturities greater than three months)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on debt (original maturities greater than three months)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financing activities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Effect of exchange rate changes on 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transactions with Automotive/GM Financial</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increase in cash and cash equivalents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and cash equivalents at beginning of period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7"/>
          </w:tcPr>
          <w:p>
            <w:pPr>
              <w:jc w:val="center"/>
              <w:ind w:right="57"/>
              <w:spacing w:after="0"/>
              <w:rPr>
                <w:sz w:val="20"/>
                <w:szCs w:val="20"/>
                <w:color w:val="auto"/>
              </w:rPr>
            </w:pPr>
            <w:r>
              <w:rPr>
                <w:rFonts w:ascii="Arial" w:cs="Arial" w:eastAsia="Arial" w:hAnsi="Arial"/>
                <w:sz w:val="13"/>
                <w:szCs w:val="13"/>
                <w:b w:val="1"/>
                <w:bCs w:val="1"/>
                <w:color w:val="auto"/>
                <w:w w:val="89"/>
              </w:rPr>
              <w:t>Three Months Ended March 31, 2013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7"/>
          </w:tcPr>
          <w:p>
            <w:pPr>
              <w:jc w:val="center"/>
              <w:ind w:right="37"/>
              <w:spacing w:after="0"/>
              <w:rPr>
                <w:sz w:val="20"/>
                <w:szCs w:val="20"/>
                <w:color w:val="auto"/>
              </w:rPr>
            </w:pPr>
            <w:r>
              <w:rPr>
                <w:rFonts w:ascii="Arial" w:cs="Arial" w:eastAsia="Arial" w:hAnsi="Arial"/>
                <w:sz w:val="13"/>
                <w:szCs w:val="13"/>
                <w:b w:val="1"/>
                <w:bCs w:val="1"/>
                <w:color w:val="auto"/>
                <w:w w:val="89"/>
              </w:rPr>
              <w:t>Three Months Ended March 31, 2012</w:t>
            </w:r>
          </w:p>
        </w:tc>
      </w:tr>
      <w:tr>
        <w:trPr>
          <w:trHeight w:val="264"/>
        </w:trPr>
        <w:tc>
          <w:tcPr>
            <w:tcW w:w="140" w:type="dxa"/>
            <w:vAlign w:val="bottom"/>
          </w:tcPr>
          <w:p>
            <w:pPr>
              <w:spacing w:after="0"/>
              <w:rPr>
                <w:sz w:val="22"/>
                <w:szCs w:val="22"/>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Automotive</w:t>
            </w:r>
          </w:p>
        </w:tc>
        <w:tc>
          <w:tcPr>
            <w:tcW w:w="1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GM Financial</w:t>
            </w:r>
          </w:p>
        </w:tc>
        <w:tc>
          <w:tcPr>
            <w:tcW w:w="12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Consolidated</w:t>
            </w:r>
          </w:p>
        </w:tc>
        <w:tc>
          <w:tcPr>
            <w:tcW w:w="14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Automotive</w:t>
            </w:r>
          </w:p>
        </w:tc>
        <w:tc>
          <w:tcPr>
            <w:tcW w:w="120" w:type="dxa"/>
            <w:vAlign w:val="bottom"/>
          </w:tcPr>
          <w:p>
            <w:pPr>
              <w:spacing w:after="0"/>
              <w:rPr>
                <w:sz w:val="22"/>
                <w:szCs w:val="2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GM Financial</w:t>
            </w:r>
          </w:p>
        </w:tc>
        <w:tc>
          <w:tcPr>
            <w:tcW w:w="120" w:type="dxa"/>
            <w:vAlign w:val="bottom"/>
          </w:tcPr>
          <w:p>
            <w:pPr>
              <w:spacing w:after="0"/>
              <w:rPr>
                <w:sz w:val="22"/>
                <w:szCs w:val="22"/>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b w:val="1"/>
                <w:bCs w:val="1"/>
                <w:color w:val="auto"/>
                <w:w w:val="87"/>
              </w:rPr>
              <w:t>Consolidated</w:t>
            </w:r>
          </w:p>
        </w:tc>
      </w:tr>
      <w:tr>
        <w:trPr>
          <w:trHeight w:val="241"/>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543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276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2,272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2,499</w:t>
            </w:r>
          </w:p>
        </w:tc>
      </w:tr>
      <w:tr>
        <w:trPr>
          <w:trHeight w:val="540"/>
        </w:trPr>
        <w:tc>
          <w:tcPr>
            <w:tcW w:w="1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(1,939)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(1,994)</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(2,368)</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(1,773)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(2,198)</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4,027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4,027</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1,694</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56</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(176)</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315</w:t>
            </w:r>
          </w:p>
        </w:tc>
      </w:tr>
      <w:tr>
        <w:trPr>
          <w:trHeight w:val="270"/>
        </w:trPr>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(2,374)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(1,369)</w:t>
            </w:r>
          </w:p>
        </w:tc>
      </w:tr>
      <w:tr>
        <w:trPr>
          <w:trHeight w:val="270"/>
        </w:trPr>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1,861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1,861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1,016</w:t>
            </w:r>
          </w:p>
        </w:tc>
      </w:tr>
      <w:tr>
        <w:trPr>
          <w:trHeight w:val="270"/>
        </w:trPr>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(478)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(304)</w:t>
            </w:r>
          </w:p>
        </w:tc>
      </w:tr>
      <w:tr>
        <w:trPr>
          <w:trHeight w:val="270"/>
        </w:trPr>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w:t>
            </w:r>
          </w:p>
        </w:tc>
      </w:tr>
      <w:tr>
        <w:trPr>
          <w:trHeight w:val="280"/>
        </w:trPr>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241"/>
        </w:trPr>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(1,038)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(1,292)</w:t>
            </w:r>
          </w:p>
        </w:tc>
      </w:tr>
      <w:tr>
        <w:trPr>
          <w:trHeight w:val="540"/>
        </w:trPr>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3,384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3,542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2,254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2,394</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(1,001)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(2,057)</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(217)</w:t>
            </w:r>
          </w:p>
        </w:tc>
      </w:tr>
      <w:tr>
        <w:trPr>
          <w:trHeight w:val="280"/>
        </w:trPr>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241"/>
        </w:trPr>
        <w:tc>
          <w:tcPr>
            <w:tcW w:w="14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2,370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2,167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270"/>
        </w:trPr>
        <w:tc>
          <w:tcPr>
            <w:tcW w:w="14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128</w:t>
            </w:r>
          </w:p>
        </w:tc>
      </w:tr>
      <w:tr>
        <w:trPr>
          <w:trHeight w:val="280"/>
        </w:trPr>
        <w:tc>
          <w:tcPr>
            <w:tcW w:w="1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41"/>
        </w:trPr>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613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1,608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2,221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1,270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1,307</w:t>
            </w:r>
          </w:p>
        </w:tc>
      </w:tr>
      <w:tr>
        <w:trPr>
          <w:trHeight w:val="280"/>
        </w:trPr>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17,133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1,289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18,422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15,499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16,071</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17,746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2,897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20,643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16,769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609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17,378</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-4990465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-4647565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-4304665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-3961130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-3618230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-3275330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-2932430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-2589530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-2245995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-1903095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-1560195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-1217295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-874395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-530860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-187960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00" w:space="600"/>
            <w:col w:w="6720"/>
          </w:cols>
          <w:pgMar w:left="240" w:top="34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Total available liquidity includes cash, cash equivalents, current marketable securities and funds available under credit facilities. At March 31, 2013 our available liquidity was $35.3 billion, including funds available under credit facilities of $11.0 billion. The amount of available liquidity is subject to intra-month and seasonal fluctuations and includes balances held by various business units and subsidiaries worldwide that are needed to fund their operations.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manage our liquidity primarily at our treasury centers as well as at certain of our significant consolidated overseas subsidiaries. Available liquidity held within North America and at our regional treasury centers represented approximately 83% of our available liquidity at March 31, 2013. A portion of our available liquidity includes amounts deemed indefinitely reinvested in our foreign subsidiaries. We have used and will continue to use other methods including intercompany loans to utilize these funds across our global operations as needed.</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cash equivalents and marketable securities balances include investments in U.S. government and agency obligations, foreign government securities, time deposits and certificates of deposits and corporate debt securities, and are primarily denominated in U.S. Dollars. We expect to maintain a sufficient amount of Canadian Dollar (CAD) denominated cash investments to offset certain CAD denominated liabilities, which primarily relate to pension and other postretirement benefits liabilities. These cash investments will incur foreign currency exchange gains or losses based on the movement of the CAD in relation to the U.S. Dollar and will</w:t>
      </w:r>
    </w:p>
    <w:p>
      <w:pPr>
        <w:sectPr>
          <w:pgSz w:w="11900" w:h="16838" w:orient="portrait"/>
          <w:cols w:equalWidth="0" w:num="1">
            <w:col w:w="11420"/>
          </w:cols>
          <w:pgMar w:left="240" w:top="341" w:right="2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41"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therefore reduce our net CAD foreign currency exchange exposure. We held cash investments in CAD denominated securities of $3.2 billion at March 31, 2013. These funds continue to be available to fund our normal ongoing operations and are included in our available liquidity.</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investment guidelines, which we may change from time to time, prescribe certain minimum credit rating thresholds and limit our exposures to any particular sector, asset class, issuance or security type. Substantially all of our current investments in debt securities are with A/A2 or better rated issuers. We actively monitor and manage our liquidity exposure to Europe which is related primarily to short-term bank deposits and short-term debt securities of high-quality European issuers. The following table summarizes our liquidity (dollars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17,133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8,988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Available liquidity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26,121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11,003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11,119</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available liquidity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35,309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37,240</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2013 total available liquidity decreased by $1.9 billion due primarily to: (1) capital expenditures of $1.9 billion; (2) decrease in cash balances due to unfavorable foreign exchange of $0.3 billion; and (3) cash used in financing activities of $0.2 billion relating primarily to dividend payments on our preferred shares; partially offset by (4) cash provided by operating activities of $0.5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and to fund working capital needs at certain of our subsidiaries. The following table summarizes our credit facilities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gridSpan w:val="4"/>
            <w:vMerge w:val="restart"/>
          </w:tcPr>
          <w:p>
            <w:pPr>
              <w:jc w:val="right"/>
              <w:ind w:right="894"/>
              <w:spacing w:after="0"/>
              <w:rPr>
                <w:sz w:val="20"/>
                <w:szCs w:val="20"/>
                <w:color w:val="auto"/>
              </w:rPr>
            </w:pPr>
            <w:r>
              <w:rPr>
                <w:rFonts w:ascii="Arial" w:cs="Arial" w:eastAsia="Arial" w:hAnsi="Arial"/>
                <w:sz w:val="14"/>
                <w:szCs w:val="14"/>
                <w:b w:val="1"/>
                <w:bCs w:val="1"/>
                <w:color w:val="auto"/>
              </w:rPr>
              <w:t>Total Credit Facilities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Amounts Available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Under Credit Facilities</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2012</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22"/>
                <w:szCs w:val="22"/>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revolving credit facilities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Other(a)</w:t>
            </w:r>
          </w:p>
        </w:tc>
        <w:tc>
          <w:tcPr>
            <w:tcW w:w="220" w:type="dxa"/>
            <w:vAlign w:val="bottom"/>
          </w:tcPr>
          <w:p>
            <w:pPr>
              <w:spacing w:after="0"/>
              <w:rPr>
                <w:sz w:val="21"/>
                <w:szCs w:val="21"/>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11,500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11,415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11,003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11,119</w:t>
            </w:r>
          </w:p>
        </w:tc>
        <w:tc>
          <w:tcPr>
            <w:tcW w:w="0" w:type="dxa"/>
            <w:vAlign w:val="bottom"/>
          </w:tcPr>
          <w:p>
            <w:pPr>
              <w:spacing w:after="0"/>
              <w:rPr>
                <w:sz w:val="1"/>
                <w:szCs w:val="1"/>
                <w:color w:val="auto"/>
              </w:rPr>
            </w:pPr>
          </w:p>
        </w:tc>
      </w:tr>
      <w:tr>
        <w:trPr>
          <w:trHeight w:val="20"/>
        </w:trPr>
        <w:tc>
          <w:tcPr>
            <w:tcW w:w="4700" w:type="dxa"/>
            <w:vAlign w:val="bottom"/>
            <w:vMerge w:val="restart"/>
          </w:tcPr>
          <w:p>
            <w:pPr>
              <w:jc w:val="right"/>
              <w:ind w:right="3710"/>
              <w:spacing w:after="0"/>
              <w:rPr>
                <w:sz w:val="20"/>
                <w:szCs w:val="20"/>
                <w:color w:val="auto"/>
              </w:rPr>
            </w:pPr>
            <w:r>
              <w:rPr>
                <w:rFonts w:ascii="Arial" w:cs="Arial" w:eastAsia="Arial" w:hAnsi="Arial"/>
                <w:sz w:val="18"/>
                <w:szCs w:val="18"/>
                <w:color w:val="auto"/>
                <w:w w:val="87"/>
              </w:rPr>
              <w:t>__________</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Includes an unutilized credit facility of $200 million that we terminated in April 2013.</w:t>
      </w:r>
    </w:p>
    <w:p>
      <w:pPr>
        <w:spacing w:after="0" w:line="2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primary borrowing capacity under credit facilities comes from our secured revolving credit facilities comprising a three-year, $5.5 billion facility and a five-year, $5.5 billion facility. Obligations under the secured revolving credit facilities are guaranteed by certain of our domestic subsidiaries and secured by a substantial portion of our domestic assets excluding cash, cash equivalents, marketable securities and GM Financial. Availability under the secured revolving credit facilities is subject to borrowing base restrictions.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three-year, $5.5 billion facility is available to GM Financial as well as other certain wholly-owned domestic and international subsidiaries. The facility includes various sub-limits including a GM Financial borrowing sub-limit of $4.0 billion, a multi-currency borrowing sub-limit of $3.5 billion, a Brazilian Real borrowing sub-limit of $0.5 billion, and a letter of credit sub-facility limit of $1.5 billion. At March 31, 2013 GM Financial has not borrowed under the three-year $5.5 billion facility. We had amounts in use under the letter of credit sub-facility of $0.3 billion at March 31, 2013. We may borrow against this facility from time to time for strategic initiatives and for general corporate purposes.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five-year, $5.5 billion facility is not available to GM Financial and allows for borrowings in U.S. Dollars and other currencies and includes a letter of credit sub-limit of $0.5 billion. While we do not expect to draw on the five-year facility, it provides additional liquidity, financing flexibility and is available for general corporate purposes.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March 31, 2013 net cash provided by operating activities decreased by $1.7 billion due primarily to: (1) lower net income excluding non-cash charges relating to depreciation, amortization and impairment charges of $0.8 billion; (2) unfavorable daily rental car activities of $0.4 billion; (3) unfavorable changes in working capital of $0.3 billion; and (4) unfavorable movements in dealer and customer allowances of $0.3 billion.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2013 net cash provided by investing activities was $0.5 billion compared to net cash used in investing activities of $0.7 billion in the three months ended March 31, 2012 due primarily to: (1) proceeds in excess of new investments in marketable securities of $1.2 billion as we reinvested maturing marketable securities in shorter-term cash equivalents to rebalance our investment portfolio in the normal course of business; and (2) decreased capital expenditures of $0.1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2013 net cash used in financing activities decreased by $0.1 billion due primarily to: (1) net increase in short-term debt facilities of $0.2 billion; partially offset by (2) additional payments on debt obligations of $0.1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and Adjusted Free Cash Flow</w:t>
      </w:r>
    </w:p>
    <w:p>
      <w:pPr>
        <w:spacing w:after="0" w:line="225"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Management believes free cash flow and adjusted free cash flow provide meaningful supplemental information regarding the liquidity of our automotive operations and our ability to generate sufficient cash flow above those required in our business to sustain our operations. We measure free cash flow as cash flow from operations less capital expenditures. We measure adjusted free cash flow as free cash flow adjusted for certain voluntary management actions, primarily related to strengthening our balance sheet. These voluntary management actions represent items that management does not consider when assessing and managing the operational and financial performance of the organization and its management teams. Management believes that adjusting for these actions allows for greater transparency of operating trends and performance between periods. While management believes that free cash flow and adjusted free cash flow provide useful information, they are not operating measures under U.S. GAAP and there are limitations associated with their use. Our calculation of free cash flow and adjusted free cash flow may not be completely comparable to similarly titled measures of other companies due to potential differences between companies in the method of calculation. As a result the use of free cash flow and adjusted free cash flow has limitations and should not be considered in isolation from, or as a substitute for, other measures such as cash flows from operating activities. Due to these limitations, free cash flow and adjusted free cash flow are used as supplements to U.S. GAAP measures. The following table summarizes free cash flow and adjusted free cash flow (dollars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for voluntary management actions</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free cash flow</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In the three months ended March 31, 2013 adjustments for voluntary management actions included contributions to the U.S. salaried pension plan of $0.1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Financial's primary sources of cash are finance charge income, servicing fees, net distributions from securitization trusts, borrowings under credit facilities, transfers of finance receivables to trusts in securitization transactions, collections and recoveries on finance receivables and net proceeds from senior notes transactions. GM Financial's primary uses of cash are purchases of finance receivables and leased assets, funding of commercial finance receivables, repayment of credit facilities, securitization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notes payable and other indebtedness, funding credit enhancement requirements for securitization transactions and credit facilities and operating expenses. GM Financial continues to monitor and evaluate opportunities to optimize its liquidity position and the mix of its debt, which could include future opportunistic repayments or borrowings.</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used cash of $1.4 billion and $1.4 billion for the purchase of consumer finance receivables and $0.5 billion and $0.3 billion for the purchase of leased vehicles in the three months ended March 31, 2013 and 2012. GM Financial used cash of $1.0 billion for the funding of commercial finance receivables in the three months ended March 31, 2013. These purchases were funded initially utilizing cash and borrowings under credit facilities and subsequently funded in securitization transactions. GM Financial received cash of $1.9 billion and $1.0 billion from collections and recoveries on finance receivables in the three months ended March 31, 2013 and 2012.</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2012</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receivables</w:t>
            </w: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706</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capacity on unpledged eligible leased assets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w:t>
            </w: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color w:val="auto"/>
              </w:rPr>
              <w:t>Available liquidity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2,638</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increase in liquidity is due primarily to the addition of a warehouse credit facility to fund GM Financial's commercial lending assets.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Subsequent to March 31, 2013, in connection with the acquisition of certain of Ally Financial's European and Latin American automotive finance operations discussed above, GM Financial received a capital contribution from us of $1.3 billion and an intercompany loan of $0.8 billion and utilized $1.6 billion of its liquidity.</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As previously described, GM Financial has the ability to borrow up to $4.0 billion against our three-year $5.5 billion secured revolving credit facility. GM Financial's borrowings under the facility are limited by our ability to borrow the entire amount available under the facility. Therefore GM Financial may be able to borrow up to $4.0 billion or may be unable to borrow depending on our borrowing activity. If GM Financial does borrow under the facility it expects such borrowings would be short-term in nature. Neither GM Financial, nor any of its subsidiaries, guarantee any obligations under this facility and none of its subsidiaries' assets secure this facility.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normal course of business, in addition to using available cash, GM Financial pledges receivables to and borrows under credit facilities to fund operations and repays these borrowings as appropriate under GM Financial's cash management strategy.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those credit facilities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Facility Amount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Advances</w:t>
            </w:r>
          </w:p>
        </w:tc>
        <w:tc>
          <w:tcPr>
            <w:tcW w:w="10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Facility Amount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Advances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Syndicated warehouse facility(a)</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948</w:t>
            </w:r>
          </w:p>
        </w:tc>
        <w:tc>
          <w:tcPr>
            <w:tcW w:w="4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U.S. lease warehouse facility(b)</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864</w:t>
            </w:r>
          </w:p>
        </w:tc>
        <w:tc>
          <w:tcPr>
            <w:tcW w:w="4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floor plan warehouse facility(c)</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Canada lease warehouse facility(d)</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407</w:t>
            </w:r>
          </w:p>
        </w:tc>
        <w:tc>
          <w:tcPr>
            <w:tcW w:w="4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jc w:val="right"/>
              <w:ind w:right="5530"/>
              <w:spacing w:after="0"/>
              <w:rPr>
                <w:sz w:val="20"/>
                <w:szCs w:val="20"/>
                <w:color w:val="auto"/>
              </w:rPr>
            </w:pPr>
            <w:r>
              <w:rPr>
                <w:rFonts w:ascii="Arial" w:cs="Arial" w:eastAsia="Arial" w:hAnsi="Arial"/>
                <w:sz w:val="18"/>
                <w:szCs w:val="18"/>
                <w:color w:val="auto"/>
                <w:w w:val="87"/>
              </w:rPr>
              <w:t>__________</w:t>
            </w: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49"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May 2013 when the revolving period ends, and if the facility is not renewed, the outstanding balance will be repaid over time based on the amortization of the receivables pledged until February 2020 when the remaining balance will be due and payable.</w:t>
      </w:r>
    </w:p>
    <w:p>
      <w:pPr>
        <w:jc w:val="both"/>
        <w:ind w:left="340" w:hanging="332"/>
        <w:spacing w:after="0" w:line="25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January 2013 GM Financial extended the maturity date of this facility to May 2014. In May 2014 when the revolving period ends, and if the facility is not renewed, the outstanding balance will be repaid over time based on the amortization of the related leased assets pledged until November 2019 when any remaining amount outstanding will be due and payable.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8" w:lineRule="exact"/>
        <w:rPr>
          <w:sz w:val="20"/>
          <w:szCs w:val="20"/>
          <w:color w:val="auto"/>
        </w:rPr>
      </w:pPr>
    </w:p>
    <w:p>
      <w:pPr>
        <w:ind w:left="340" w:hanging="332"/>
        <w:spacing w:after="0" w:line="255"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March 2013 we entered into a $1.0 billion floorplan facility in the U.S. In March 2014 when the revolving period ends, and if the facility is not renewed, the outstanding balance will be repaid in fixed amounts over a six month period with a final maturity in August 2014.</w:t>
      </w:r>
    </w:p>
    <w:p>
      <w:pPr>
        <w:spacing w:after="0" w:line="1" w:lineRule="exact"/>
        <w:rPr>
          <w:rFonts w:ascii="Arial" w:cs="Arial" w:eastAsia="Arial" w:hAnsi="Arial"/>
          <w:sz w:val="16"/>
          <w:szCs w:val="16"/>
          <w:color w:val="auto"/>
        </w:rPr>
      </w:pPr>
    </w:p>
    <w:p>
      <w:pPr>
        <w:jc w:val="both"/>
        <w:ind w:left="340" w:hanging="332"/>
        <w:spacing w:after="0" w:line="276" w:lineRule="auto"/>
        <w:tabs>
          <w:tab w:leader="none" w:pos="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July 2013 when the revolving period ends, and if the facility is not renewed, the outstanding balance will be repaid over time based on the amortization of the related leased assets pledged until January 2019 when any remaining balance will be due and payable. The facility amount represents CAD $800 million at March 31, 2013 and December 31, 2012, and the advances outstanding amount represents CAD $414 million and CAD $353 million at March 31, 2013 and December 31, 2012.</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is required to hold certain funds in restricted cash accounts to provide additional collateral for borrowings under the credit facilities. GM Financial's funding agreements contain various covenants requiring minimum financial ratios, asset quality and portfolio performance ratios (portfolio net loss and delinquency ratios, and pool level cumulative net loss ratios) as well as limits on deferment levels. Failure to meet any of these covenants could result in an event of default under these agreements. If an event of default occurs under these agreements, the lenders could elect to declare all amounts outstanding under these agreements to be immediately due and payable, enforce their interests against collateral pledged under these agreements, restrict GM Financial's ability to obtain additional borrowings and/or remove GM Financial as servicer. As of March 31, 2013 GM Financial was in compliance with all covenants in its credit facilities.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229"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have provided guarantees related to the residual value of operating leases, certain suppliers' commitments, certain product-related claims and third party commercial loans and other obligations. The maximum potential obligation under these commitments was $23.1 billion and $23.5 billion at March 31, 2013 and December 31, 2012.</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17 to our condensed consolidated financial statements for additional information on guarantees we have provided.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16 to our condensed consolidated financial statements for information regarding derivative fair value measurements.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declaration of any dividend on our common stock is a matter to be acted upon by our Board of Directors in its sole discretion. Since our formation we have not paid any dividends on our common stock and have no current plans to pay any dividends on our common stock. Our payment of dividends on our common stock in the future, if any, will be determined by our Board of Directors in its sole discretion out of funds legally available for that purpose and will depend on business conditions, our financial condition, earnings, liquidity and capital requirements, the covenants in our debt instruments and other factors.</w:t>
      </w:r>
    </w:p>
    <w:p>
      <w:pPr>
        <w:spacing w:after="0" w:line="154"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So long as any share of our Series A or B Preferred Stock remains outstanding, no dividend or distribution may be declared or paid on our common stock unless all accrued and unpaid dividends have been paid on our Series A and B Preferred Stock, subject to exceptions, such as dividends on our common stock payable solely in shares of our common stock. Our secured revolving credit facility contains certain restrictions on our ability to pay dividends, subject to exceptions, such as dividends payable solely in shares of our common stock. So long as any share of our Series A Preferred Stock remains outstanding, no dividend or distribution may be declared or paid on our Series B Preferred Stock unless all accrued and unpaid dividends have been paid on our Series A Preferred Stock, subject to exceptions, such as dividends on our Series B Preferred Stock payable solely in shares of our common stock.</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dividends paid on our Series A and B Preferred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Stock</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Series B Preferred Stock(a)</w:t>
            </w:r>
          </w:p>
        </w:tc>
        <w:tc>
          <w:tcPr>
            <w:tcW w:w="2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Preferred Stock dividends paid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Cumulative unpaid dividends on our Series B Preferred Stock were $20 million at March 31, 2013 and 2012.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At March 31, 2013 we employed 217,000 employees of whom 145,000 (67%) were hourly employees and 72,000 (33%) were salaried employees. The following table summarizes worldwide employment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2013</w:t>
            </w:r>
          </w:p>
        </w:tc>
        <w:tc>
          <w:tcPr>
            <w:tcW w:w="158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GMNA(a)</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GME</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GMSA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worldwide</w:t>
            </w: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213</w:t>
            </w:r>
          </w:p>
        </w:tc>
      </w:tr>
      <w:tr>
        <w:trPr>
          <w:trHeight w:val="257"/>
        </w:trPr>
        <w:tc>
          <w:tcPr>
            <w:tcW w:w="8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U.S. - Salaried(a)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 Hourly</w:t>
            </w: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7"/>
        </w:trPr>
        <w:tc>
          <w:tcPr>
            <w:tcW w:w="8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6"/>
          <w:szCs w:val="16"/>
          <w:color w:val="auto"/>
        </w:rPr>
        <w:t>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Headcount increased primarily due to the insourcing of certain information technology support functions that were previously provided by outside parties.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2012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this report and in reports we subsequently file and have previously filed with the SEC on Forms 10-K and 10-Q and file or furnish on Form 8-K, and in related comments by our management, we use words like “anticipate,” “approximately,”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w:t>
      </w:r>
    </w:p>
    <w:p>
      <w:pPr>
        <w:spacing w:after="0" w:line="182" w:lineRule="exact"/>
        <w:rPr>
          <w:sz w:val="20"/>
          <w:szCs w:val="20"/>
          <w:color w:val="auto"/>
        </w:rPr>
      </w:pPr>
    </w:p>
    <w:p>
      <w:pPr>
        <w:ind w:left="660" w:hanging="490"/>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including as required to fund our planned significant investment in new technology;</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realize successful vehicle applications of new technology;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660" w:hanging="490"/>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operations;</w:t>
      </w:r>
    </w:p>
    <w:p>
      <w:pPr>
        <w:spacing w:after="0" w:line="117"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including GM Financial;</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GM Financial's ability to successfully integrate certain Ally Financial international operations;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 strength and stability of the automotive industry, both in the U.S. and in global markets, particularly Europe;</w:t>
      </w:r>
    </w:p>
    <w:p>
      <w:pPr>
        <w:spacing w:after="0" w:line="117" w:lineRule="exact"/>
        <w:rPr>
          <w:rFonts w:ascii="Arial" w:cs="Arial" w:eastAsia="Arial" w:hAnsi="Arial"/>
          <w:sz w:val="18"/>
          <w:szCs w:val="18"/>
          <w:color w:val="auto"/>
        </w:rPr>
      </w:pPr>
    </w:p>
    <w:p>
      <w:pPr>
        <w:ind w:left="660" w:hanging="490"/>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U.S., Europe and other global markets, including the credit markets, or changes in economic conditions, commodity prices, housing prices, foreign currency exchange rates or political stability in the markets in which we operate;</w:t>
      </w:r>
    </w:p>
    <w:p>
      <w:pPr>
        <w:spacing w:after="0" w:line="15" w:lineRule="exact"/>
        <w:rPr>
          <w:rFonts w:ascii="Arial" w:cs="Arial" w:eastAsia="Arial" w:hAnsi="Arial"/>
          <w:sz w:val="16"/>
          <w:szCs w:val="16"/>
          <w:color w:val="auto"/>
        </w:rPr>
      </w:pPr>
    </w:p>
    <w:p>
      <w:pPr>
        <w:ind w:left="660" w:hanging="490"/>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changes in economic, political and market conditions in China, including the effect of competition from new market entrants, on our vehicle sales and market position in China;</w:t>
      </w:r>
    </w:p>
    <w:p>
      <w:pPr>
        <w:spacing w:after="0" w:line="62" w:lineRule="exact"/>
        <w:rPr>
          <w:rFonts w:ascii="Arial" w:cs="Arial" w:eastAsia="Arial" w:hAnsi="Arial"/>
          <w:sz w:val="18"/>
          <w:szCs w:val="18"/>
          <w:color w:val="auto"/>
        </w:rPr>
      </w:pPr>
    </w:p>
    <w:p>
      <w:pPr>
        <w:ind w:left="660" w:right="20" w:hanging="490"/>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the existing, or the adoption of new, laws, regulations, policies or other activities of governments, agencies and similar organizations, including where such actions may affect the production, licensing, distribution or sale of our products, the cost thereof or applicable tax rates;</w:t>
      </w:r>
    </w:p>
    <w:p>
      <w:pPr>
        <w:spacing w:after="0" w:line="15" w:lineRule="exact"/>
        <w:rPr>
          <w:rFonts w:ascii="Arial" w:cs="Arial" w:eastAsia="Arial" w:hAnsi="Arial"/>
          <w:sz w:val="16"/>
          <w:szCs w:val="16"/>
          <w:color w:val="auto"/>
        </w:rPr>
      </w:pPr>
    </w:p>
    <w:p>
      <w:pPr>
        <w:ind w:left="660" w:hanging="49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2012. Refer to Item 7A in our 2012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Our management, with the participation of our Chairman and CEO and Senior Vice President and CFO, evaluated the effectiveness of our disclosure controls and procedures (as defined in Rules 13a-15(e) or 15d-15(e) promulgated under the Exchange Act) at March 31, 2013. Based on this evaluation required by paragraph (b) of Rules 13a-15 or 15d-15, our CEO and CFO concluded that our disclosure controls and procedures were effective as of March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March 31, 2013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41"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Refer to our 2012 Form 10-K for a full description of our material pending legal proceedings. There have been no material changes to the Legal Proceedings disclosed in our 2012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162"/>
        <w:spacing w:after="0" w:line="308" w:lineRule="auto"/>
        <w:rPr>
          <w:sz w:val="20"/>
          <w:szCs w:val="20"/>
          <w:color w:val="auto"/>
        </w:rPr>
      </w:pPr>
      <w:r>
        <w:rPr>
          <w:rFonts w:ascii="Arial" w:cs="Arial" w:eastAsia="Arial" w:hAnsi="Arial"/>
          <w:sz w:val="17"/>
          <w:szCs w:val="17"/>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2012 Form 10-K.</w:t>
      </w:r>
    </w:p>
    <w:p>
      <w:pPr>
        <w:spacing w:after="0" w:line="14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for Cash</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shares were repurchased in the three months ended March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Purchases of Equity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non-cash purchases of equity securities in each of the three months ended March 31,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 May Yet be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Purchased(a)</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2013 through January 31, 2013</w:t>
            </w:r>
          </w:p>
        </w:tc>
        <w:tc>
          <w:tcPr>
            <w:tcW w:w="1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10,471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February 1, 2013 through February 28, 2013</w:t>
            </w:r>
          </w:p>
        </w:tc>
        <w:tc>
          <w:tcPr>
            <w:tcW w:w="1740" w:type="dxa"/>
            <w:vAlign w:val="bottom"/>
          </w:tcPr>
          <w:p>
            <w:pPr>
              <w:jc w:val="right"/>
              <w:ind w:right="56"/>
              <w:spacing w:after="0"/>
              <w:rPr>
                <w:sz w:val="20"/>
                <w:szCs w:val="20"/>
                <w:color w:val="auto"/>
              </w:rPr>
            </w:pPr>
            <w:r>
              <w:rPr>
                <w:rFonts w:ascii="Arial" w:cs="Arial" w:eastAsia="Arial" w:hAnsi="Arial"/>
                <w:sz w:val="18"/>
                <w:szCs w:val="18"/>
                <w:color w:val="auto"/>
              </w:rPr>
              <w:t>311,077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2013 through March 31, 2013</w:t>
            </w:r>
          </w:p>
        </w:tc>
        <w:tc>
          <w:tcPr>
            <w:tcW w:w="17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3,720,987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28.03</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4,042,535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28.08</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00" w:type="dxa"/>
            <w:vAlign w:val="bottom"/>
          </w:tcPr>
          <w:p>
            <w:pPr>
              <w:spacing w:after="0"/>
              <w:rPr>
                <w:sz w:val="20"/>
                <w:szCs w:val="20"/>
                <w:color w:val="auto"/>
              </w:rPr>
            </w:pPr>
            <w:r>
              <w:rPr>
                <w:rFonts w:ascii="Arial" w:cs="Arial" w:eastAsia="Arial" w:hAnsi="Arial"/>
                <w:sz w:val="16"/>
                <w:szCs w:val="16"/>
                <w:color w:val="auto"/>
              </w:rPr>
              <w:t>N/A = not applicable</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left="340" w:hanging="332"/>
        <w:spacing w:after="0" w:line="25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shares of common stock delivered by employees or directors back to us for the payment of taxes resulting from issuance of common stock upon the vesting of Restricted Stock Units and Restricted Stock Awards relating to compensation plans and shares of common stock retained by us for the payment of the exercise price upon the exercise of warrants. Refer to Note 22 to our condensed consolidated financial statements for additional details on employee stock incentive plans and Note 24 to our consolidated financial statements in our 2012 Form 10-K for additional details on warrants issued.</w:t>
      </w:r>
    </w:p>
    <w:p>
      <w:pPr>
        <w:spacing w:after="0" w:line="182"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41"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8480" w:type="dxa"/>
            <w:vAlign w:val="bottom"/>
            <w:gridSpan w:val="3"/>
            <w:vMerge w:val="restart"/>
          </w:tcPr>
          <w:p>
            <w:pPr>
              <w:ind w:left="3960"/>
              <w:spacing w:after="0"/>
              <w:rPr>
                <w:sz w:val="20"/>
                <w:szCs w:val="20"/>
                <w:color w:val="auto"/>
              </w:rPr>
            </w:pPr>
            <w:r>
              <w:rPr>
                <w:rFonts w:ascii="Arial" w:cs="Arial" w:eastAsia="Arial" w:hAnsi="Arial"/>
                <w:sz w:val="14"/>
                <w:szCs w:val="14"/>
                <w:b w:val="1"/>
                <w:bCs w:val="1"/>
                <w:color w:val="auto"/>
              </w:rPr>
              <w:t>Exhibit Name</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6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Number</w:t>
            </w:r>
          </w:p>
        </w:tc>
        <w:tc>
          <w:tcPr>
            <w:tcW w:w="8480" w:type="dxa"/>
            <w:vAlign w:val="bottom"/>
            <w:gridSpan w:val="3"/>
            <w:vMerge w:val="continue"/>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31.1</w:t>
            </w:r>
          </w:p>
        </w:tc>
        <w:tc>
          <w:tcPr>
            <w:tcW w:w="52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Section 302 Certification of the Chief Executive Officer</w:t>
            </w:r>
          </w:p>
        </w:tc>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4"/>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520" w:type="dxa"/>
            <w:vAlign w:val="bottom"/>
          </w:tcPr>
          <w:p>
            <w:pPr>
              <w:spacing w:after="0"/>
              <w:rPr>
                <w:sz w:val="19"/>
                <w:szCs w:val="19"/>
                <w:color w:val="auto"/>
              </w:rPr>
            </w:pPr>
          </w:p>
        </w:tc>
        <w:tc>
          <w:tcPr>
            <w:tcW w:w="8480" w:type="dxa"/>
            <w:vAlign w:val="bottom"/>
            <w:gridSpan w:val="3"/>
          </w:tcPr>
          <w:p>
            <w:pPr>
              <w:ind w:left="140"/>
              <w:spacing w:after="0"/>
              <w:rPr>
                <w:sz w:val="20"/>
                <w:szCs w:val="20"/>
                <w:color w:val="auto"/>
              </w:rPr>
            </w:pPr>
            <w:r>
              <w:rPr>
                <w:rFonts w:ascii="Arial" w:cs="Arial" w:eastAsia="Arial" w:hAnsi="Arial"/>
                <w:sz w:val="16"/>
                <w:szCs w:val="16"/>
                <w:color w:val="auto"/>
              </w:rPr>
              <w:t>Section 302 Certification of the Chief Financial Officer</w:t>
            </w:r>
          </w:p>
        </w:tc>
        <w:tc>
          <w:tcPr>
            <w:tcW w:w="1880" w:type="dxa"/>
            <w:vAlign w:val="bottom"/>
          </w:tcPr>
          <w:p>
            <w:pPr>
              <w:ind w:left="3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32.1</w:t>
            </w:r>
          </w:p>
        </w:tc>
        <w:tc>
          <w:tcPr>
            <w:tcW w:w="5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96"/>
              </w:rPr>
              <w:t>Certification of the Chief Executive Officer Pursuant to 18 U.S.C. Section 1350, As Adopted Pursuant to Section 906 of the</w:t>
            </w:r>
          </w:p>
        </w:tc>
        <w:tc>
          <w:tcPr>
            <w:tcW w:w="1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Sarbanes-Oxley Act of 2002</w:t>
            </w:r>
          </w:p>
        </w:tc>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540" w:type="dxa"/>
            <w:vAlign w:val="bottom"/>
            <w:gridSpan w:val="2"/>
          </w:tcPr>
          <w:p>
            <w:pPr>
              <w:ind w:left="40"/>
              <w:spacing w:after="0"/>
              <w:rPr>
                <w:sz w:val="20"/>
                <w:szCs w:val="20"/>
                <w:color w:val="auto"/>
              </w:rPr>
            </w:pPr>
            <w:r>
              <w:rPr>
                <w:rFonts w:ascii="Arial" w:cs="Arial" w:eastAsia="Arial" w:hAnsi="Arial"/>
                <w:sz w:val="16"/>
                <w:szCs w:val="16"/>
                <w:color w:val="auto"/>
              </w:rPr>
              <w:t>32.2</w:t>
            </w:r>
          </w:p>
        </w:tc>
        <w:tc>
          <w:tcPr>
            <w:tcW w:w="520" w:type="dxa"/>
            <w:vAlign w:val="bottom"/>
          </w:tcPr>
          <w:p>
            <w:pPr>
              <w:spacing w:after="0"/>
              <w:rPr>
                <w:sz w:val="19"/>
                <w:szCs w:val="19"/>
                <w:color w:val="auto"/>
              </w:rPr>
            </w:pPr>
          </w:p>
        </w:tc>
        <w:tc>
          <w:tcPr>
            <w:tcW w:w="8480" w:type="dxa"/>
            <w:vAlign w:val="bottom"/>
            <w:gridSpan w:val="3"/>
          </w:tcPr>
          <w:p>
            <w:pPr>
              <w:ind w:left="140"/>
              <w:spacing w:after="0"/>
              <w:rPr>
                <w:sz w:val="20"/>
                <w:szCs w:val="20"/>
                <w:color w:val="auto"/>
              </w:rPr>
            </w:pPr>
            <w:r>
              <w:rPr>
                <w:rFonts w:ascii="Arial" w:cs="Arial" w:eastAsia="Arial" w:hAnsi="Arial"/>
                <w:sz w:val="16"/>
                <w:szCs w:val="16"/>
                <w:color w:val="auto"/>
                <w:w w:val="96"/>
              </w:rPr>
              <w:t>Certification of the Chief Financial Officer Pursuant to 18 U.S.C. Section 1350, As Adopted Pursuant to Section 906 of the</w:t>
            </w:r>
          </w:p>
        </w:tc>
        <w:tc>
          <w:tcPr>
            <w:tcW w:w="1880" w:type="dxa"/>
            <w:vAlign w:val="bottom"/>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80" w:type="dxa"/>
            <w:vAlign w:val="bottom"/>
            <w:gridSpan w:val="3"/>
          </w:tcPr>
          <w:p>
            <w:pPr>
              <w:ind w:left="140"/>
              <w:spacing w:after="0"/>
              <w:rPr>
                <w:sz w:val="20"/>
                <w:szCs w:val="20"/>
                <w:color w:val="auto"/>
              </w:rPr>
            </w:pPr>
            <w:r>
              <w:rPr>
                <w:rFonts w:ascii="Arial" w:cs="Arial" w:eastAsia="Arial" w:hAnsi="Arial"/>
                <w:sz w:val="16"/>
                <w:szCs w:val="16"/>
                <w:color w:val="auto"/>
              </w:rPr>
              <w:t>Sarbanes-Oxley Act of 2002</w:t>
            </w:r>
          </w:p>
        </w:tc>
        <w:tc>
          <w:tcPr>
            <w:tcW w:w="1880" w:type="dxa"/>
            <w:vAlign w:val="bottom"/>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101.INS*</w:t>
            </w:r>
          </w:p>
        </w:tc>
        <w:tc>
          <w:tcPr>
            <w:tcW w:w="8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XBRL Instance Document</w:t>
            </w:r>
          </w:p>
        </w:tc>
        <w:tc>
          <w:tcPr>
            <w:tcW w:w="1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1060" w:type="dxa"/>
            <w:vAlign w:val="bottom"/>
            <w:gridSpan w:val="3"/>
          </w:tcPr>
          <w:p>
            <w:pPr>
              <w:ind w:left="40"/>
              <w:spacing w:after="0"/>
              <w:rPr>
                <w:sz w:val="20"/>
                <w:szCs w:val="20"/>
                <w:color w:val="auto"/>
              </w:rPr>
            </w:pPr>
            <w:r>
              <w:rPr>
                <w:rFonts w:ascii="Arial" w:cs="Arial" w:eastAsia="Arial" w:hAnsi="Arial"/>
                <w:sz w:val="16"/>
                <w:szCs w:val="16"/>
                <w:color w:val="auto"/>
              </w:rPr>
              <w:t>101.SCH*</w:t>
            </w:r>
          </w:p>
        </w:tc>
        <w:tc>
          <w:tcPr>
            <w:tcW w:w="8480" w:type="dxa"/>
            <w:vAlign w:val="bottom"/>
            <w:gridSpan w:val="3"/>
          </w:tcPr>
          <w:p>
            <w:pPr>
              <w:ind w:left="140"/>
              <w:spacing w:after="0"/>
              <w:rPr>
                <w:sz w:val="20"/>
                <w:szCs w:val="20"/>
                <w:color w:val="auto"/>
              </w:rPr>
            </w:pPr>
            <w:r>
              <w:rPr>
                <w:rFonts w:ascii="Arial" w:cs="Arial" w:eastAsia="Arial" w:hAnsi="Arial"/>
                <w:sz w:val="16"/>
                <w:szCs w:val="16"/>
                <w:color w:val="auto"/>
              </w:rPr>
              <w:t>XBRL Taxonomy Extension Schema Document</w:t>
            </w:r>
          </w:p>
        </w:tc>
        <w:tc>
          <w:tcPr>
            <w:tcW w:w="1880" w:type="dxa"/>
            <w:vAlign w:val="bottom"/>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80" w:type="dxa"/>
            <w:vAlign w:val="bottom"/>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101.CAL*</w:t>
            </w:r>
          </w:p>
        </w:tc>
        <w:tc>
          <w:tcPr>
            <w:tcW w:w="8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XBRL Taxonomy Extension Calculation Linkbase Document</w:t>
            </w:r>
          </w:p>
        </w:tc>
        <w:tc>
          <w:tcPr>
            <w:tcW w:w="1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1060" w:type="dxa"/>
            <w:vAlign w:val="bottom"/>
            <w:gridSpan w:val="3"/>
          </w:tcPr>
          <w:p>
            <w:pPr>
              <w:ind w:left="40"/>
              <w:spacing w:after="0"/>
              <w:rPr>
                <w:sz w:val="20"/>
                <w:szCs w:val="20"/>
                <w:color w:val="auto"/>
              </w:rPr>
            </w:pPr>
            <w:r>
              <w:rPr>
                <w:rFonts w:ascii="Arial" w:cs="Arial" w:eastAsia="Arial" w:hAnsi="Arial"/>
                <w:sz w:val="16"/>
                <w:szCs w:val="16"/>
                <w:color w:val="auto"/>
              </w:rPr>
              <w:t>101.DEF*</w:t>
            </w:r>
          </w:p>
        </w:tc>
        <w:tc>
          <w:tcPr>
            <w:tcW w:w="8480" w:type="dxa"/>
            <w:vAlign w:val="bottom"/>
            <w:gridSpan w:val="3"/>
          </w:tcPr>
          <w:p>
            <w:pPr>
              <w:ind w:left="140"/>
              <w:spacing w:after="0"/>
              <w:rPr>
                <w:sz w:val="20"/>
                <w:szCs w:val="20"/>
                <w:color w:val="auto"/>
              </w:rPr>
            </w:pPr>
            <w:r>
              <w:rPr>
                <w:rFonts w:ascii="Arial" w:cs="Arial" w:eastAsia="Arial" w:hAnsi="Arial"/>
                <w:sz w:val="16"/>
                <w:szCs w:val="16"/>
                <w:color w:val="auto"/>
              </w:rPr>
              <w:t>XBRL Taxonomy Extension Definition Linkbase Document</w:t>
            </w:r>
          </w:p>
        </w:tc>
        <w:tc>
          <w:tcPr>
            <w:tcW w:w="1880" w:type="dxa"/>
            <w:vAlign w:val="bottom"/>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80" w:type="dxa"/>
            <w:vAlign w:val="bottom"/>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101.LAB*</w:t>
            </w:r>
          </w:p>
        </w:tc>
        <w:tc>
          <w:tcPr>
            <w:tcW w:w="8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XBRL Taxonomy Extension Label Linkbase Document</w:t>
            </w:r>
          </w:p>
        </w:tc>
        <w:tc>
          <w:tcPr>
            <w:tcW w:w="1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20"/>
        </w:trPr>
        <w:tc>
          <w:tcPr>
            <w:tcW w:w="1060" w:type="dxa"/>
            <w:vAlign w:val="bottom"/>
            <w:gridSpan w:val="3"/>
          </w:tcPr>
          <w:p>
            <w:pPr>
              <w:ind w:left="40"/>
              <w:spacing w:after="0"/>
              <w:rPr>
                <w:sz w:val="20"/>
                <w:szCs w:val="20"/>
                <w:color w:val="auto"/>
              </w:rPr>
            </w:pPr>
            <w:r>
              <w:rPr>
                <w:rFonts w:ascii="Arial" w:cs="Arial" w:eastAsia="Arial" w:hAnsi="Arial"/>
                <w:sz w:val="16"/>
                <w:szCs w:val="16"/>
                <w:color w:val="auto"/>
              </w:rPr>
              <w:t>101.PRE*</w:t>
            </w:r>
          </w:p>
        </w:tc>
        <w:tc>
          <w:tcPr>
            <w:tcW w:w="8480" w:type="dxa"/>
            <w:vAlign w:val="bottom"/>
            <w:gridSpan w:val="3"/>
          </w:tcPr>
          <w:p>
            <w:pPr>
              <w:ind w:left="140"/>
              <w:spacing w:after="0"/>
              <w:rPr>
                <w:sz w:val="20"/>
                <w:szCs w:val="20"/>
                <w:color w:val="auto"/>
              </w:rPr>
            </w:pPr>
            <w:r>
              <w:rPr>
                <w:rFonts w:ascii="Arial" w:cs="Arial" w:eastAsia="Arial" w:hAnsi="Arial"/>
                <w:sz w:val="16"/>
                <w:szCs w:val="16"/>
                <w:color w:val="auto"/>
              </w:rPr>
              <w:t>XBRL Taxonomy Extension Presentation Linkbase Document</w:t>
            </w:r>
          </w:p>
        </w:tc>
        <w:tc>
          <w:tcPr>
            <w:tcW w:w="1880" w:type="dxa"/>
            <w:vAlign w:val="bottom"/>
          </w:tcPr>
          <w:p>
            <w:pPr>
              <w:ind w:left="320"/>
              <w:spacing w:after="0"/>
              <w:rPr>
                <w:sz w:val="20"/>
                <w:szCs w:val="20"/>
                <w:color w:val="auto"/>
              </w:rPr>
            </w:pPr>
            <w:r>
              <w:rPr>
                <w:rFonts w:ascii="Arial" w:cs="Arial" w:eastAsia="Arial" w:hAnsi="Arial"/>
                <w:sz w:val="16"/>
                <w:szCs w:val="16"/>
                <w:color w:val="auto"/>
              </w:rPr>
              <w:t>Furnished with this</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80" w:type="dxa"/>
            <w:vAlign w:val="bottom"/>
          </w:tcPr>
          <w:p>
            <w:pPr>
              <w:ind w:left="32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49"/>
        </w:trPr>
        <w:tc>
          <w:tcPr>
            <w:tcW w:w="1060" w:type="dxa"/>
            <w:vAlign w:val="bottom"/>
            <w:gridSpan w:val="3"/>
          </w:tcPr>
          <w:p>
            <w:pPr>
              <w:spacing w:after="0"/>
              <w:rPr>
                <w:sz w:val="20"/>
                <w:szCs w:val="20"/>
                <w:color w:val="auto"/>
              </w:rPr>
            </w:pPr>
            <w:r>
              <w:rPr>
                <w:rFonts w:ascii="Arial" w:cs="Arial" w:eastAsia="Arial" w:hAnsi="Arial"/>
                <w:sz w:val="18"/>
                <w:szCs w:val="18"/>
                <w:color w:val="auto"/>
              </w:rPr>
              <w:t>__________</w:t>
            </w:r>
          </w:p>
        </w:tc>
        <w:tc>
          <w:tcPr>
            <w:tcW w:w="3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41"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5760"/>
        <w:spacing w:after="0"/>
        <w:tabs>
          <w:tab w:leader="none" w:pos="620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31750</wp:posOffset>
            </wp:positionV>
            <wp:extent cx="23837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Thomas S. Timko, Vice President, Controller and</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2, 2013</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341" w:right="2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F. Akerson, certify that:</w:t>
      </w:r>
    </w:p>
    <w:p>
      <w:pPr>
        <w:spacing w:after="0" w:line="225" w:lineRule="exact"/>
        <w:rPr>
          <w:sz w:val="20"/>
          <w:szCs w:val="20"/>
          <w:color w:val="auto"/>
        </w:rPr>
      </w:pPr>
    </w:p>
    <w:p>
      <w:pPr>
        <w:ind w:left="380" w:hanging="183"/>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March 31, 2013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F. AKERSON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2, 2013</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Ammann, certify that:</w:t>
      </w:r>
    </w:p>
    <w:p>
      <w:pPr>
        <w:spacing w:after="0" w:line="225" w:lineRule="exact"/>
        <w:rPr>
          <w:sz w:val="20"/>
          <w:szCs w:val="20"/>
          <w:color w:val="auto"/>
        </w:rPr>
      </w:pPr>
    </w:p>
    <w:p>
      <w:pPr>
        <w:ind w:left="380" w:hanging="18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March 31, 2013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2, 2013</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March 31, 2013 as filed with the Securities and Exchange Commission on the date hereof (the “Report”), I, Daniel F. Akerson, Chairman and Chief Executive Officer of the Company, certify, pursuant to 18 U.S.C. § 1350, as adopted pursuant to § 906 of the Sarbanes-Oxley Act of 2002, that to the best of my knowledge:</w:t>
      </w:r>
    </w:p>
    <w:p>
      <w:pPr>
        <w:spacing w:after="0" w:line="166" w:lineRule="exact"/>
        <w:rPr>
          <w:sz w:val="20"/>
          <w:szCs w:val="20"/>
          <w:color w:val="auto"/>
        </w:rPr>
      </w:pPr>
    </w:p>
    <w:p>
      <w:pPr>
        <w:ind w:left="720" w:hanging="17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F. AKERSON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2, 2013</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312"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September 30, 2012 as filed with the Securities and Exchange Commission on the date hereof (the “Report”), I, Daniel Ammann, Senior Vice President and Chief Financial Officer of the Company, certify, pursuant to 18 U.S.C. § 1350, as adopted pursuant to § 906 of the Sarbanes-Oxley Act of 2002, that to the best of my knowledge:</w:t>
      </w:r>
    </w:p>
    <w:p>
      <w:pPr>
        <w:spacing w:after="0" w:line="147" w:lineRule="exact"/>
        <w:rPr>
          <w:sz w:val="20"/>
          <w:szCs w:val="20"/>
          <w:color w:val="auto"/>
        </w:rPr>
      </w:pPr>
    </w:p>
    <w:p>
      <w:pPr>
        <w:ind w:left="720" w:hanging="17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Letter"/>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3"/>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3"/>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lowerLetter"/>
      <w:start w:val="1"/>
    </w:lvl>
    <w:lvl w:ilvl="1">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2019-12-07T20:27:56Z</dcterms:created>
  <dcterms:modified xsi:type="dcterms:W3CDTF">2019-12-07T20:27:56Z</dcterms:modified>
</cp:coreProperties>
</file>