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162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1625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Sr. Vice President &amp; CFO</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720" w:type="dxa"/>
            <w:vAlign w:val="bottom"/>
            <w:gridSpan w:val="5"/>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10"/>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6"/>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113"/>
              <w:spacing w:after="0"/>
              <w:rPr>
                <w:sz w:val="20"/>
                <w:szCs w:val="20"/>
                <w:color w:val="auto"/>
              </w:rPr>
            </w:pPr>
            <w:r>
              <w:rPr>
                <w:rFonts w:ascii="Arial" w:cs="Arial" w:eastAsia="Arial" w:hAnsi="Arial"/>
                <w:sz w:val="17"/>
                <w:szCs w:val="17"/>
                <w:color w:val="0000FF"/>
                <w:w w:val="83"/>
              </w:rPr>
              <w:t>11,118</w:t>
            </w:r>
            <w:r>
              <w:rPr>
                <w:rFonts w:ascii="Arial" w:cs="Arial" w:eastAsia="Arial" w:hAnsi="Arial"/>
                <w:sz w:val="21"/>
                <w:szCs w:val="21"/>
                <w:color w:val="008000"/>
                <w:w w:val="83"/>
                <w:vertAlign w:val="superscript"/>
              </w:rPr>
              <w:t>(2)</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115"/>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35,166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center"/>
              <w:ind w:left="113"/>
              <w:spacing w:after="0"/>
              <w:rPr>
                <w:sz w:val="20"/>
                <w:szCs w:val="20"/>
                <w:color w:val="auto"/>
              </w:rPr>
            </w:pPr>
            <w:r>
              <w:rPr>
                <w:rFonts w:ascii="Arial" w:cs="Arial" w:eastAsia="Arial" w:hAnsi="Arial"/>
                <w:sz w:val="17"/>
                <w:szCs w:val="17"/>
                <w:color w:val="0000FF"/>
                <w:w w:val="89"/>
              </w:rPr>
              <w:t>4,027</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ind w:left="7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30.39</w:t>
            </w:r>
            <w:r>
              <w:rPr>
                <w:rFonts w:ascii="Arial" w:cs="Arial" w:eastAsia="Arial" w:hAnsi="Arial"/>
                <w:sz w:val="21"/>
                <w:szCs w:val="21"/>
                <w:color w:val="008000"/>
                <w:w w:val="89"/>
                <w:vertAlign w:val="superscript"/>
              </w:rPr>
              <w:t>(3)</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31,139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06/30/2011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113"/>
              <w:spacing w:after="0"/>
              <w:rPr>
                <w:sz w:val="20"/>
                <w:szCs w:val="20"/>
                <w:color w:val="auto"/>
              </w:rPr>
            </w:pPr>
            <w:r>
              <w:rPr>
                <w:rFonts w:ascii="Arial" w:cs="Arial" w:eastAsia="Arial" w:hAnsi="Arial"/>
                <w:sz w:val="17"/>
                <w:szCs w:val="17"/>
                <w:color w:val="0000FF"/>
                <w:w w:val="88"/>
              </w:rPr>
              <w:t>16,865</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115"/>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48,004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vMerge w:val="restart"/>
          </w:tcPr>
          <w:p>
            <w:pPr>
              <w:ind w:left="440"/>
              <w:spacing w:after="0"/>
              <w:rPr>
                <w:sz w:val="20"/>
                <w:szCs w:val="20"/>
                <w:color w:val="auto"/>
              </w:rPr>
            </w:pPr>
            <w:r>
              <w:rPr>
                <w:rFonts w:ascii="Arial" w:cs="Arial" w:eastAsia="Arial" w:hAnsi="Arial"/>
                <w:sz w:val="13"/>
                <w:szCs w:val="13"/>
                <w:color w:val="0000FF"/>
              </w:rPr>
              <w:t>11,118</w:t>
            </w:r>
            <w:r>
              <w:rPr>
                <w:rFonts w:ascii="Arial" w:cs="Arial" w:eastAsia="Arial" w:hAnsi="Arial"/>
                <w:sz w:val="21"/>
                <w:szCs w:val="21"/>
                <w:color w:val="008000"/>
                <w:vertAlign w:val="superscript"/>
              </w:rPr>
              <w:t>(2)</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w w:val="92"/>
              </w:rPr>
              <w:t>11,118</w:t>
            </w:r>
            <w:r>
              <w:rPr>
                <w:rFonts w:ascii="Arial" w:cs="Arial" w:eastAsia="Arial" w:hAnsi="Arial"/>
                <w:sz w:val="21"/>
                <w:szCs w:val="21"/>
                <w:color w:val="008000"/>
                <w:w w:val="92"/>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22,230</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06/30/2011</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1060" w:type="dxa"/>
            <w:vAlign w:val="bottom"/>
            <w:vMerge w:val="continue"/>
          </w:tcPr>
          <w:p>
            <w:pPr>
              <w:spacing w:after="0"/>
              <w:rPr>
                <w:sz w:val="13"/>
                <w:szCs w:val="13"/>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(1)</w:t>
            </w:r>
          </w:p>
        </w:tc>
        <w:tc>
          <w:tcPr>
            <w:tcW w:w="760" w:type="dxa"/>
            <w:vAlign w:val="bottom"/>
          </w:tcPr>
          <w:p>
            <w:pPr>
              <w:ind w:left="280"/>
              <w:spacing w:after="0"/>
              <w:rPr>
                <w:sz w:val="20"/>
                <w:szCs w:val="20"/>
                <w:color w:val="auto"/>
              </w:rPr>
            </w:pPr>
            <w:r>
              <w:rPr>
                <w:rFonts w:ascii="Arial" w:cs="Arial" w:eastAsia="Arial" w:hAnsi="Arial"/>
                <w:sz w:val="11"/>
                <w:szCs w:val="11"/>
                <w:color w:val="008000"/>
              </w:rPr>
              <w:t>(1)</w:t>
            </w:r>
          </w:p>
        </w:tc>
        <w:tc>
          <w:tcPr>
            <w:tcW w:w="5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ind w:left="100"/>
              <w:spacing w:after="0" w:line="145" w:lineRule="exact"/>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issued on June 30, 2010 pursuant to the Company's Salary Stock Plan (the "GMSSP") and vested upon grant. The portion of this award currently payable was settled on June 30, 2011 in shares of the Company's Common Stock, less a portion withheld for taxes.</w:t>
      </w:r>
    </w:p>
    <w:p>
      <w:pPr>
        <w:spacing w:after="0" w:line="21" w:lineRule="exact"/>
        <w:rPr>
          <w:rFonts w:ascii="Arial" w:cs="Arial" w:eastAsia="Arial" w:hAnsi="Arial"/>
          <w:sz w:val="13"/>
          <w:szCs w:val="13"/>
          <w:color w:val="008000"/>
        </w:rPr>
      </w:pPr>
    </w:p>
    <w:p>
      <w:pPr>
        <w:ind w:left="40" w:right="180" w:firstLine="5"/>
        <w:spacing w:after="0" w:line="275"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11,118 SSUs, of which 3,706 SSUs were scheduled to be payable on June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33,354 SSUs granted on June 30, 2010, of which 11,118 SSUs became payable on June 30, 2011.</w:t>
      </w:r>
    </w:p>
    <w:p>
      <w:pPr>
        <w:spacing w:after="0" w:line="12" w:lineRule="exact"/>
        <w:rPr>
          <w:rFonts w:ascii="Arial" w:cs="Arial" w:eastAsia="Arial" w:hAnsi="Arial"/>
          <w:sz w:val="12"/>
          <w:szCs w:val="12"/>
          <w:color w:val="008000"/>
        </w:rPr>
      </w:pPr>
    </w:p>
    <w:p>
      <w:pPr>
        <w:ind w:left="40" w:right="18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30" w:lineRule="exact"/>
        <w:rPr>
          <w:rFonts w:ascii="Arial" w:cs="Arial" w:eastAsia="Arial" w:hAnsi="Arial"/>
          <w:sz w:val="13"/>
          <w:szCs w:val="13"/>
          <w:color w:val="008000"/>
        </w:rPr>
      </w:pPr>
    </w:p>
    <w:p>
      <w:pPr>
        <w:ind w:left="40" w:right="24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0"/>
        </w:trPr>
        <w:tc>
          <w:tcPr>
            <w:tcW w:w="1380" w:type="dxa"/>
            <w:vAlign w:val="bottom"/>
            <w:vMerge w:val="restart"/>
          </w:tcPr>
          <w:p>
            <w:pPr>
              <w:spacing w:after="0" w:line="190" w:lineRule="exact"/>
              <w:rPr>
                <w:sz w:val="20"/>
                <w:szCs w:val="20"/>
                <w:color w:val="auto"/>
              </w:rPr>
            </w:pPr>
            <w:r>
              <w:rPr>
                <w:rFonts w:ascii="Arial" w:cs="Arial" w:eastAsia="Arial" w:hAnsi="Arial"/>
                <w:sz w:val="17"/>
                <w:szCs w:val="17"/>
                <w:color w:val="0000FF"/>
                <w:w w:val="94"/>
              </w:rPr>
              <w:t>fact for Mr. Amman</w:t>
            </w:r>
          </w:p>
        </w:tc>
        <w:tc>
          <w:tcPr>
            <w:tcW w:w="9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2019-12-17T01:19:17Z</dcterms:created>
  <dcterms:modified xsi:type="dcterms:W3CDTF">2019-12-17T01:19:17Z</dcterms:modified>
</cp:coreProperties>
</file>