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Jacoby Stefan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52"/>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4,901</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3"/>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8,162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6"/>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2,766</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5,396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2,135</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3,261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4,901</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4,901</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9,802</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72"/>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December 31, 2014 pursuant to the Company's Salary Stock Plan (the "GMSSP") and vested upon grant. The portion of this award currently payable was settled on December 31, 2014.</w:t>
      </w:r>
    </w:p>
    <w:p>
      <w:pPr>
        <w:spacing w:after="0" w:line="30" w:lineRule="exact"/>
        <w:rPr>
          <w:rFonts w:ascii="Arial" w:cs="Arial" w:eastAsia="Arial" w:hAnsi="Arial"/>
          <w:sz w:val="14"/>
          <w:szCs w:val="14"/>
          <w:color w:val="008000"/>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SSUs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$35.17. The employee opted to have these settlements made by delivery of cash, less a portion withheld for taxes.</w:t>
      </w:r>
    </w:p>
    <w:p>
      <w:pPr>
        <w:sectPr>
          <w:pgSz w:w="11900" w:h="16838" w:orient="portrait"/>
          <w:cols w:equalWidth="0" w:num="1">
            <w:col w:w="11520"/>
          </w:cols>
          <w:pgMar w:left="240" w:top="226" w:right="139" w:bottom="1440" w:gutter="0" w:footer="0" w:header="0"/>
          <w:type w:val="continuous"/>
        </w:sectPr>
      </w:pPr>
    </w:p>
    <w:p>
      <w:pPr>
        <w:spacing w:after="0" w:line="9"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3. 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attorney-in-fact for Mr. Jacoby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74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74140"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5"/>
          <w:szCs w:val="15"/>
          <w:color w:val="0000FF"/>
        </w:rPr>
        <w:t>01/05/2015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835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2019-12-08T21:24:08Z</dcterms:created>
  <dcterms:modified xsi:type="dcterms:W3CDTF">2019-12-08T21:24:08Z</dcterms:modified>
</cp:coreProperties>
</file>