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333-215924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vMerge w:val="restart"/>
          </w:tcPr>
          <w:p>
            <w:pPr>
              <w:jc w:val="center"/>
              <w:ind w:right="2"/>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Amount</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58"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Securities Offered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94"/>
              </w:rPr>
              <w:t>Per Share(1)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Price(1)</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$0.01 par value per share</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8"/>
              </w:rPr>
              <w:t>40,000,000</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90"/>
              </w:rPr>
              <w:t>$40.83</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9"/>
              </w:rPr>
              <w:t>$1,633,200,000</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$203,333.40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4"/>
          <w:szCs w:val="24"/>
          <w:color w:val="auto"/>
        </w:rPr>
      </w:pPr>
    </w:p>
    <w:p>
      <w:pPr>
        <w:ind w:left="460" w:right="260" w:hanging="452"/>
        <w:spacing w:after="0" w:line="25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457(c) under the Securities Act of 1933, as amended (the “Securities Act”), based on the average of the high and low prices of the common stock on February 27, 2018, as reported on the New York Stock Exchange.</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February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160020</wp:posOffset>
            </wp:positionV>
            <wp:extent cx="45281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40,000,000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UAW Retiree Medical Benefits Trust (referred to in this prospectus supplement as the “selling stockholder” and the “VEBA Trust”) is offering pursuant to this prospectus supplement 40,000,000 shares of our common stock, par value $0.01 per share. We are not selling any shares of our common stock in this offering. We will not receive any proceeds from the sale of the shares by the selling stockholder.</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“GM”. On February 26, 2018, the last reported sale price of our common stock on the NYSE was $41.54 per share.</w:t>
      </w:r>
    </w:p>
    <w:p>
      <w:pPr>
        <w:spacing w:after="0" w:line="17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Subject to the completion of this offering, we are repurchasing from the underwriters 2,518,257 of the 40,000,000 shares of our common stock offered hereby having an aggregate value of approximately $100 million at a price per share equal to the price per share that the underwriters will pay to the selling stockholder for the shares in this offering.</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Please carefully read this prospectus supplement, the accompanying prospectus and any related free writing prospectus, together with the documents we incorporate by reference, before you invest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Investment in our common stock involves risks. See “</w:t>
      </w:r>
      <w:hyperlink w:anchor="page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 of this prospectus supplement, in the accompanying prospectus and in our periodic reports filed from time to time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217805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underwriters have agreed to purchase the common stock from the selling stockholder at a price of $39.71 per share, which will result in approximately $1.59 billion of proceeds to the selling stockholder, before expenses. The underwriters may offer the shares of common stock, excluding the shares to be repurchased by us, from time to time in one or more transactions on the NYSE, on the over-the-counter market, through negotiated transactions or otherwise, at market prices, at prices related to market prices or at negotiated prices. See “Underwriting.”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expect to deliver the shares of our common stock on or about March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2380" w:type="dxa"/>
            <w:vAlign w:val="bottom"/>
          </w:tcPr>
          <w:p>
            <w:pPr>
              <w:spacing w:after="0"/>
              <w:rPr>
                <w:sz w:val="20"/>
                <w:szCs w:val="20"/>
                <w:color w:val="auto"/>
              </w:rPr>
            </w:pPr>
            <w:r>
              <w:rPr>
                <w:rFonts w:ascii="Arial" w:cs="Arial" w:eastAsia="Arial" w:hAnsi="Arial"/>
                <w:sz w:val="29"/>
                <w:szCs w:val="29"/>
                <w:b w:val="1"/>
                <w:bCs w:val="1"/>
                <w:color w:val="auto"/>
              </w:rPr>
              <w:t>Citigroup</w:t>
            </w:r>
          </w:p>
        </w:tc>
        <w:tc>
          <w:tcPr>
            <w:tcW w:w="2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520" w:type="dxa"/>
            <w:vAlign w:val="bottom"/>
          </w:tcPr>
          <w:p>
            <w:pPr>
              <w:ind w:left="3460"/>
              <w:spacing w:after="0"/>
              <w:rPr>
                <w:sz w:val="20"/>
                <w:szCs w:val="20"/>
                <w:color w:val="auto"/>
              </w:rPr>
            </w:pPr>
            <w:r>
              <w:rPr>
                <w:rFonts w:ascii="Arial" w:cs="Arial" w:eastAsia="Arial" w:hAnsi="Arial"/>
                <w:sz w:val="29"/>
                <w:szCs w:val="29"/>
                <w:b w:val="1"/>
                <w:bCs w:val="1"/>
                <w:color w:val="auto"/>
                <w:w w:val="85"/>
              </w:rPr>
              <w:t>Barclays</w:t>
            </w:r>
          </w:p>
        </w:tc>
      </w:tr>
      <w:tr>
        <w:trPr>
          <w:trHeight w:val="346"/>
        </w:trPr>
        <w:tc>
          <w:tcPr>
            <w:tcW w:w="2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26"/>
        </w:trPr>
        <w:tc>
          <w:tcPr>
            <w:tcW w:w="2380" w:type="dxa"/>
            <w:vAlign w:val="bottom"/>
          </w:tcPr>
          <w:p>
            <w:pPr>
              <w:spacing w:after="0"/>
              <w:rPr>
                <w:sz w:val="24"/>
                <w:szCs w:val="24"/>
                <w:color w:val="auto"/>
              </w:rPr>
            </w:pPr>
          </w:p>
        </w:tc>
        <w:tc>
          <w:tcPr>
            <w:tcW w:w="9040" w:type="dxa"/>
            <w:vAlign w:val="bottom"/>
            <w:gridSpan w:val="3"/>
          </w:tcPr>
          <w:p>
            <w:pPr>
              <w:ind w:left="1160"/>
              <w:spacing w:after="0"/>
              <w:rPr>
                <w:sz w:val="20"/>
                <w:szCs w:val="20"/>
                <w:color w:val="auto"/>
              </w:rPr>
            </w:pPr>
            <w:r>
              <w:rPr>
                <w:rFonts w:ascii="Arial" w:cs="Arial" w:eastAsia="Arial" w:hAnsi="Arial"/>
                <w:sz w:val="18"/>
                <w:szCs w:val="18"/>
                <w:color w:val="auto"/>
              </w:rPr>
              <w:t>The date of this prospectus supplement is February 27, 2018</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040" w:type="dxa"/>
            <w:vAlign w:val="bottom"/>
            <w:gridSpan w:val="2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32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6"/>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132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20" w:type="dxa"/>
            <w:vAlign w:val="bottom"/>
            <w:gridSpan w:val="7"/>
          </w:tcPr>
          <w:p>
            <w:pPr>
              <w:jc w:val="center"/>
              <w:ind w:right="2440"/>
              <w:spacing w:after="0"/>
              <w:rPr>
                <w:sz w:val="20"/>
                <w:szCs w:val="20"/>
                <w:color w:val="auto"/>
              </w:rPr>
            </w:pPr>
            <w:r>
              <w:rPr>
                <w:rFonts w:ascii="Arial" w:cs="Arial" w:eastAsia="Arial" w:hAnsi="Arial"/>
                <w:sz w:val="18"/>
                <w:szCs w:val="18"/>
                <w:b w:val="1"/>
                <w:bCs w:val="1"/>
                <w:color w:val="auto"/>
                <w:w w:val="97"/>
              </w:rPr>
              <w:t>PROSPECTUS SUPPLEMENT</w:t>
            </w:r>
          </w:p>
        </w:tc>
        <w:tc>
          <w:tcPr>
            <w:tcW w:w="1320" w:type="dxa"/>
            <w:vAlign w:val="bottom"/>
          </w:tcPr>
          <w:p>
            <w:pPr>
              <w:spacing w:after="0"/>
              <w:rPr>
                <w:sz w:val="24"/>
                <w:szCs w:val="24"/>
                <w:color w:val="auto"/>
              </w:rPr>
            </w:pPr>
          </w:p>
        </w:tc>
      </w:tr>
      <w:tr>
        <w:trPr>
          <w:trHeight w:val="419"/>
        </w:trPr>
        <w:tc>
          <w:tcPr>
            <w:tcW w:w="1004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33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PROSPECTUS SUPPLEMENT SUMMARY</w:t>
              </w:r>
            </w:hyperlink>
          </w:p>
        </w:tc>
        <w:tc>
          <w:tcPr>
            <w:tcW w:w="140" w:type="dxa"/>
            <w:vAlign w:val="bottom"/>
            <w:tcBorders>
              <w:top w:val="single" w:sz="8" w:color="0000EE"/>
            </w:tcBorders>
          </w:tcPr>
          <w:p>
            <w:pPr>
              <w:spacing w:after="0"/>
              <w:rPr>
                <w:sz w:val="17"/>
                <w:szCs w:val="17"/>
                <w:color w:val="auto"/>
              </w:rPr>
            </w:pPr>
          </w:p>
        </w:tc>
        <w:tc>
          <w:tcPr>
            <w:tcW w:w="6600" w:type="dxa"/>
            <w:vAlign w:val="bottom"/>
            <w:gridSpan w:val="8"/>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RISK FACTORS</w:t>
              </w:r>
            </w:hyperlink>
          </w:p>
        </w:tc>
        <w:tc>
          <w:tcPr>
            <w:tcW w:w="8780" w:type="dxa"/>
            <w:vAlign w:val="bottom"/>
            <w:gridSpan w:val="2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DIVIDEND POLICY</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FORWARD-LOOKING STATEMENTS</w:t>
              </w:r>
            </w:hyperlink>
          </w:p>
        </w:tc>
        <w:tc>
          <w:tcPr>
            <w:tcW w:w="7100" w:type="dxa"/>
            <w:vAlign w:val="bottom"/>
            <w:gridSpan w:val="1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212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SELLING STOCKHOLDER</w:t>
              </w:r>
            </w:hyperlink>
          </w:p>
        </w:tc>
        <w:tc>
          <w:tcPr>
            <w:tcW w:w="7920" w:type="dxa"/>
            <w:vAlign w:val="bottom"/>
            <w:gridSpan w:val="1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292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CERTAIN ERISA CONSIDERATIONS</w:t>
              </w:r>
            </w:hyperlink>
          </w:p>
        </w:tc>
        <w:tc>
          <w:tcPr>
            <w:tcW w:w="7120" w:type="dxa"/>
            <w:vAlign w:val="bottom"/>
            <w:gridSpan w:val="1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464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STOCKHOLDERS AGREEMENT WITH THE VEBA TRUST</w:t>
              </w:r>
            </w:hyperlink>
          </w:p>
        </w:tc>
        <w:tc>
          <w:tcPr>
            <w:tcW w:w="5400" w:type="dxa"/>
            <w:vAlign w:val="bottom"/>
            <w:gridSpan w:val="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MATERIAL UNITED STATES FEDERAL INCOME AND ESTATE TAX CONSIDERATIONS TO NON-U.S. HOLDERS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1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UNDERWRITING</w:t>
              </w:r>
            </w:hyperlink>
          </w:p>
        </w:tc>
        <w:tc>
          <w:tcPr>
            <w:tcW w:w="7580" w:type="dxa"/>
            <w:vAlign w:val="bottom"/>
            <w:tcBorders>
              <w:top w:val="single" w:sz="8" w:color="0000EE"/>
            </w:tcBorders>
            <w:gridSpan w:val="21"/>
          </w:tcPr>
          <w:p>
            <w:pPr>
              <w:spacing w:after="0"/>
              <w:rPr>
                <w:sz w:val="17"/>
                <w:szCs w:val="17"/>
                <w:color w:val="auto"/>
              </w:rPr>
            </w:pPr>
          </w:p>
        </w:tc>
        <w:tc>
          <w:tcPr>
            <w:tcW w:w="1060" w:type="dxa"/>
            <w:vAlign w:val="bottom"/>
            <w:gridSpan w:val="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MATTERS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8580" w:type="dxa"/>
            <w:vAlign w:val="bottom"/>
            <w:gridSpan w:val="2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INCORPORATION OF CERTAIN DOCUMENTS BY REFERENCE</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196"/>
        </w:trPr>
        <w:tc>
          <w:tcPr>
            <w:tcW w:w="50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WHERE YOU CAN FIND MORE INFORMATION</w:t>
              </w:r>
            </w:hyperlink>
          </w:p>
        </w:tc>
        <w:tc>
          <w:tcPr>
            <w:tcW w:w="4980" w:type="dxa"/>
            <w:vAlign w:val="bottom"/>
            <w:gridSpan w:val="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480"/>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80" w:type="dxa"/>
            <w:vAlign w:val="bottom"/>
            <w:gridSpan w:val="4"/>
          </w:tcPr>
          <w:p>
            <w:pPr>
              <w:ind w:left="20"/>
              <w:spacing w:after="0"/>
              <w:rPr>
                <w:sz w:val="20"/>
                <w:szCs w:val="20"/>
                <w:color w:val="auto"/>
              </w:rPr>
            </w:pPr>
            <w:r>
              <w:rPr>
                <w:rFonts w:ascii="Arial" w:cs="Arial" w:eastAsia="Arial" w:hAnsi="Arial"/>
                <w:sz w:val="18"/>
                <w:szCs w:val="18"/>
                <w:b w:val="1"/>
                <w:bCs w:val="1"/>
                <w:color w:val="auto"/>
              </w:rPr>
              <w:t>PROSPECTUS</w:t>
            </w:r>
          </w:p>
        </w:tc>
        <w:tc>
          <w:tcPr>
            <w:tcW w:w="1320" w:type="dxa"/>
            <w:vAlign w:val="bottom"/>
          </w:tcPr>
          <w:p>
            <w:pPr>
              <w:spacing w:after="0"/>
              <w:rPr>
                <w:sz w:val="24"/>
                <w:szCs w:val="24"/>
                <w:color w:val="auto"/>
              </w:rPr>
            </w:pPr>
          </w:p>
        </w:tc>
      </w:tr>
      <w:tr>
        <w:trPr>
          <w:trHeight w:val="432"/>
        </w:trPr>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ABOUT THIS PROSPECTUS</w:t>
              </w:r>
            </w:hyperlink>
          </w:p>
        </w:tc>
        <w:tc>
          <w:tcPr>
            <w:tcW w:w="7800" w:type="dxa"/>
            <w:vAlign w:val="bottom"/>
            <w:gridSpan w:val="18"/>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INCORPORATION OF CERTAIN DOCUMENTS BY REFERENCE</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RISK FACTORS</w:t>
              </w:r>
            </w:hyperlink>
          </w:p>
        </w:tc>
        <w:tc>
          <w:tcPr>
            <w:tcW w:w="3800" w:type="dxa"/>
            <w:vAlign w:val="bottom"/>
            <w:tcBorders>
              <w:top w:val="single" w:sz="8" w:color="0000EE"/>
            </w:tcBorders>
            <w:gridSpan w:val="21"/>
          </w:tcPr>
          <w:p>
            <w:pPr>
              <w:spacing w:after="0"/>
              <w:rPr>
                <w:sz w:val="17"/>
                <w:szCs w:val="17"/>
                <w:color w:val="auto"/>
              </w:rPr>
            </w:pPr>
          </w:p>
        </w:tc>
        <w:tc>
          <w:tcPr>
            <w:tcW w:w="4980" w:type="dxa"/>
            <w:vAlign w:val="bottom"/>
            <w:gridSpan w:val="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GENERAL MOTORS COMPANY</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CONSOLIDATED RATIO OF EARNINGS TO FIXED CHARGES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CONSOLIDATED RATIO OF EARNINGS TO COMBINED FIXED CHARGES AND PREFERRED STOCK DIVIDENDS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0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9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FORWARD-LOOKING STATEMENTS</w:t>
              </w:r>
            </w:hyperlink>
          </w:p>
        </w:tc>
        <w:tc>
          <w:tcPr>
            <w:tcW w:w="7100" w:type="dxa"/>
            <w:vAlign w:val="bottom"/>
            <w:gridSpan w:val="1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0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OVERVIEW OF OUR CAPITAL STOCK</w:t>
              </w:r>
            </w:hyperlink>
          </w:p>
        </w:tc>
        <w:tc>
          <w:tcPr>
            <w:tcW w:w="6960" w:type="dxa"/>
            <w:vAlign w:val="bottom"/>
            <w:gridSpan w:val="11"/>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5480" w:type="dxa"/>
            <w:vAlign w:val="bottom"/>
            <w:tcBorders>
              <w:bottom w:val="single" w:sz="8" w:color="0000EE"/>
            </w:tcBorders>
            <w:gridSpan w:val="24"/>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GENERAL DESCRIPTION OF SECURITIES THAT MAY BE OFFERED</w:t>
              </w:r>
            </w:hyperlink>
          </w:p>
        </w:tc>
        <w:tc>
          <w:tcPr>
            <w:tcW w:w="4560" w:type="dxa"/>
            <w:vAlign w:val="bottom"/>
            <w:gridSpan w:val="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0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DESCRIPTION OF DEBT SECURITIES</w:t>
              </w:r>
            </w:hyperlink>
          </w:p>
        </w:tc>
        <w:tc>
          <w:tcPr>
            <w:tcW w:w="7000" w:type="dxa"/>
            <w:vAlign w:val="bottom"/>
            <w:gridSpan w:val="1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16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DESCRIPTION OF PREFERRED STOCK</w:t>
              </w:r>
            </w:hyperlink>
          </w:p>
        </w:tc>
        <w:tc>
          <w:tcPr>
            <w:tcW w:w="6880" w:type="dxa"/>
            <w:vAlign w:val="bottom"/>
            <w:gridSpan w:val="1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COMMON STOCK</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9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WARRANTS</w:t>
              </w:r>
            </w:hyperlink>
          </w:p>
        </w:tc>
        <w:tc>
          <w:tcPr>
            <w:tcW w:w="7080" w:type="dxa"/>
            <w:vAlign w:val="bottom"/>
            <w:gridSpan w:val="1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45">
              <w:r>
                <w:rPr>
                  <w:rFonts w:ascii="Arial" w:cs="Arial" w:eastAsia="Arial" w:hAnsi="Arial"/>
                  <w:sz w:val="18"/>
                  <w:szCs w:val="18"/>
                  <w:color w:val="0000EE"/>
                  <w:w w:val="97"/>
                </w:rPr>
                <w:t>PLAN OF DISTRIBUTION</w:t>
              </w:r>
            </w:hyperlink>
          </w:p>
        </w:tc>
        <w:tc>
          <w:tcPr>
            <w:tcW w:w="420" w:type="dxa"/>
            <w:vAlign w:val="bottom"/>
            <w:tcBorders>
              <w:top w:val="single" w:sz="8" w:color="0000EE"/>
            </w:tcBorders>
            <w:gridSpan w:val="3"/>
          </w:tcPr>
          <w:p>
            <w:pPr>
              <w:spacing w:after="0"/>
              <w:rPr>
                <w:sz w:val="17"/>
                <w:szCs w:val="17"/>
                <w:color w:val="auto"/>
              </w:rPr>
            </w:pPr>
          </w:p>
        </w:tc>
        <w:tc>
          <w:tcPr>
            <w:tcW w:w="7560" w:type="dxa"/>
            <w:vAlign w:val="bottom"/>
            <w:gridSpan w:val="1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LEGAL MATTERS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8580" w:type="dxa"/>
            <w:vAlign w:val="bottom"/>
            <w:gridSpan w:val="2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WHERE YOU CAN FIND MORE INFORMATION</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46"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This prospectus supplement, the accompanying prospectus and any related free writing prospectus relate to a registration statement that we filed with the U.S. Securities and Exchange Commission (“SEC”) utilizing a shelf registration process. This prospectus supplement and the accompanying prospectus include or incorporate by reference important information about us, our common stock, risks relating to our common stock and other information you should know before investing. You should carefully read this prospectus supplement, the accompanying prospectus and any related free writing prospectus, along with all of the information incorporated by reference in this prospectus supplement and the accompanying prospectus, before making an investment decision.</w:t>
      </w:r>
    </w:p>
    <w:p>
      <w:pPr>
        <w:spacing w:after="0" w:line="15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this prospectus supplement, unless the context indicates otherwise, references to “we,” “our,” “us,” “ourselves,” the “Company,” “General Motors” or “GM” refer to General Motors Company and, where appropriate, its subsidiaries.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Neither we, the selling stockholder,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the selling stockholder, nor any underwriter take responsibility for, and neither we, the selling stockholder, nor any underwriter provide any assurance as to the reliability of, any other information that others may give you. We have not, the selling stockholder has not and the underwriters have not, authorized any other person to provide you with different information. We are not, the selling stockholder is not, and no underwriter is, making an offer to sell these securities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or to which we have referred you is accurate only as of their respective dates. Our business, financial condition, results of operations and prospects may have changed since those dates.</w:t>
      </w:r>
    </w:p>
    <w:p>
      <w:pPr>
        <w:spacing w:after="0" w:line="182"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64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6264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This summary highlights selected information contained elsewhere or incorporated by reference in this prospectus supplement and the accompanying prospectus. This summary describes aspects of our business and our common stock,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S-4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Motors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General Motors Company was incorporated as a Delaware corporation in 2009. We design, build and sell cars, trucks, crossovers and automobile parts worldwide. We also provide automotive financing services through General Motors Financial Company, Inc. (“GM Financial”).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automotive operations meet the demands of our customers through our automotive segments: GM North America (“GMNA”) and GM International (“GMI”). 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in China, with vehicles developed, manufactured and/or marketed under the Baojun, Buick, Cadillac, Chevrolet, Jiefang and Wuling brands.</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Automotive Financing—GM Financial</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GM Financial is our global captive automotive finance company and our global provider of automobile finance solutions. GM Financial conducts its business in North America, South America and through a joint venture in China.</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GM Financial provides retail loan and lease lending across the credit spectrum. Additionally, GM Financial offers commercial products to dealers that include new and used vehicle inventory financing, inventory insurance, and dealer loans, which are loans to finance improvements to dealership facilities, to provide working capital, and to purchase and/or finance dealership real estate. Other commercial products include financing for parts and accessories, dealer fleets and storage centers.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667-1500. Our website is www.gm.com. Our website and the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530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15303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included in, or linked to on, our website are not part of this prospectus supplement or the accompanying prospectus. We have included our website address in this prospectus supplement and in the accompanying prospectus solely as a textual reference.</w:t>
      </w: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Share Repurchase</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Subject to the completion of this offering, we are repurchasing from the underwriters 2,518,257 of the 40,000,000 shares of our common stock offered hereby having an aggregate value of approximately $100 million at a price per share equal to the price per share that the underwriters will pay to the selling stockholder for the shares in this offering. We refer to this repurchase as the “share repurchase.” We intend to fund the share repurchase with available cash.</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4240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24053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0" w:right="1340" w:hanging="81"/>
        <w:spacing w:after="0" w:line="277" w:lineRule="auto"/>
        <w:rPr>
          <w:sz w:val="20"/>
          <w:szCs w:val="20"/>
          <w:color w:val="auto"/>
        </w:rPr>
      </w:pPr>
      <w:r>
        <w:rPr>
          <w:rFonts w:ascii="Arial" w:cs="Arial" w:eastAsia="Arial" w:hAnsi="Arial"/>
          <w:sz w:val="18"/>
          <w:szCs w:val="18"/>
          <w:color w:val="auto"/>
        </w:rPr>
        <w:t>Common stock offered by the selling stockholder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to be sold to the public</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to be repurchased by us</w:t>
      </w:r>
    </w:p>
    <w:p>
      <w:pPr>
        <w:spacing w:after="0" w:line="266"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color w:val="auto"/>
        </w:rPr>
        <w:t>Common stock to be outstanding immediately after this offering and the share repurchase</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listing</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The Offering</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40,000,000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37,481,743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2,518,257 shares (of the 40,000,000 shares offered hereby)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1,400,524,363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under the symbol “GM”.</w:t>
      </w:r>
    </w:p>
    <w:p>
      <w:pPr>
        <w:spacing w:after="0" w:line="2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will not receive any proceeds from the sale of the shares of our common stock by the selling stockholder in this offering.</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See “Risk Factors” beginning on page S-4 of this prospectus supplement, in the accompanying prospectus, and in our periodic reports filed from time to time with the SEC for a discussion of risks you should carefully consider before deciding to invest in our common stock.</w:t>
      </w:r>
    </w:p>
    <w:p>
      <w:pPr>
        <w:spacing w:after="0" w:line="147" w:lineRule="exact"/>
        <w:rPr>
          <w:sz w:val="20"/>
          <w:szCs w:val="20"/>
          <w:color w:val="auto"/>
        </w:rPr>
      </w:pPr>
    </w:p>
    <w:p>
      <w:pPr>
        <w:sectPr>
          <w:pgSz w:w="11900" w:h="16838" w:orient="portrait"/>
          <w:cols w:equalWidth="0" w:num="2">
            <w:col w:w="4200" w:space="180"/>
            <w:col w:w="6840"/>
          </w:cols>
          <w:pgMar w:left="240" w:top="459" w:right="439" w:bottom="1440" w:gutter="0" w:footer="0" w:header="0"/>
          <w:type w:val="continuous"/>
        </w:sectPr>
      </w:pPr>
    </w:p>
    <w:p>
      <w:pPr>
        <w:ind w:left="200" w:right="240" w:firstLine="441"/>
        <w:spacing w:after="0" w:line="259" w:lineRule="auto"/>
        <w:rPr>
          <w:sz w:val="20"/>
          <w:szCs w:val="20"/>
          <w:color w:val="auto"/>
        </w:rPr>
      </w:pPr>
      <w:r>
        <w:rPr>
          <w:rFonts w:ascii="Arial" w:cs="Arial" w:eastAsia="Arial" w:hAnsi="Arial"/>
          <w:sz w:val="18"/>
          <w:szCs w:val="18"/>
          <w:color w:val="auto"/>
        </w:rPr>
        <w:t>The number of shares of our common stock that will be outstanding immediately after this offering and the share repurchase is based on 1,403,042,620 shares of our common stock outstanding as of February 7, 2018, minus the 2,518,257 shares that we are repurchasing from the underwriters in the share repurchase and that will no longer be outstanding following the consummation of this offering and the share repurchase, and excludes:</w:t>
      </w:r>
    </w:p>
    <w:p>
      <w:pPr>
        <w:spacing w:after="0" w:line="92" w:lineRule="exact"/>
        <w:rPr>
          <w:sz w:val="20"/>
          <w:szCs w:val="20"/>
          <w:color w:val="auto"/>
        </w:rPr>
      </w:pPr>
    </w:p>
    <w:p>
      <w:pPr>
        <w:ind w:left="1060" w:hanging="431"/>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approximately 21 million shares of common stock issuable upon the exercise of outstanding warrants; and</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up to approximately 36 million shares of common stock issuable upon settlement of outstanding equity compensation awards.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Investment in our common stock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2017, as updated by our subsequent filings under the Securities Exchange Act of 1934, as amended (the “Exchange Act”), that are incorporated by reference herein, including our Quarterly Reports on Form 10-Q and our Current Reports on Form 8-K and any amendments thereof, before investing in our common stock.</w:t>
      </w:r>
    </w:p>
    <w:p>
      <w:pPr>
        <w:spacing w:after="0" w:line="29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sale or availability for sale of substantial amounts of our common stock could cause the price of our common stock to decline.</w:t>
      </w:r>
    </w:p>
    <w:p>
      <w:pPr>
        <w:spacing w:after="0" w:line="1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large sales could occur, could depress the market price of our common stock. Of the approximately 1,403,042,620 shares of our common stock issued and outstanding at February 7, 2018, approximately 10.0% were held by the VEBA Trust. Following the completion of this offering, the VEBA Trust will have approximately 7.2% of the outstanding shares of our common stock after giving effect to the share repurchase. Additional sales of our common stock by the VEBA Trust, or by any other holder of a substantial number of shares of our common stock, could cause the market price of common stock to decline. In addition, at February 7, 2018, there were warrants outstanding to acquire approximately 21 million shares of our common stock at an exercise price of $18.33 per share. Exercises of such warrants could cause the market price of our common stock to decline.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not receive dividends on our common stock.</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Holders of our common stock are only entitled to receive such dividends as our Board of Directors may declare out of funds legally available for such purpose. Although our Board of Directors began declaring quarterly dividends on our common stock in the three months ended March 31, 2014, the declaration of any dividend on our common stock is a matter to be acted upon by our Board of Directors in its sole discretion, and will depend on business conditions, our financial condition, earnings, liquidity and capital requirements and other factors. Accordingly, our common stock dividend may be reduced or eliminated in the future. This could adversely affect the market price of our common stock.</w:t>
      </w:r>
    </w:p>
    <w:p>
      <w:pPr>
        <w:spacing w:after="0" w:line="2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organizational documents and Delaware law could delay or prevent a takeover attempt or change in control of our Company, which could adversely affect the price of our common stock.</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certificate of incorporation, as amended (“Certificate of Incorporation”), our bylaws, as amended (“Bylaws”), and Delaware law contain provisions that could have the effect of rendering more difficult or discouraging an acquisition deemed undesirable by our Board of Directors. Our organizational documents include provisions:</w:t>
      </w:r>
    </w:p>
    <w:p>
      <w:pPr>
        <w:spacing w:after="0" w:line="8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authorizing blank check preferred stock, which could be issued with voting, liquidation, dividend and other rights superior to our common stock;</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prohibiting our stockholders from taking action by written consent in lieu of a meeting except where such consent is signed by the holders of all shares of stock of the Company then outstanding and entitled to vote;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 of candidates for election to our Board of Directors; and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the determination of the number of directors on our Board of Directors and the filling of vacancies or newly created seats on the board to our Board of Directors then in office.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alone or together, could delay hostile takeovers and changes in control of the Company or changes in management.</w:t>
      </w:r>
    </w:p>
    <w:p>
      <w:pPr>
        <w:spacing w:after="0" w:line="22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we are subject to Section 203 of the General Corporation Law of the State of Delaware, which generally prohibits a corporation from engaging in various business combination transactions with any “interested stockholder” (generally defined as a stockholder who owns 15% or more of a corporation’s voting stock) for a period of three years following the time that such stockholder became an interested stockholder, except under certain circumstances including receipt of prior board approval.</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provision of our Certificate of Incorporation or our Bylaws or Delaware law that has the effect of delaying or deterring a hostile takeover or change in control could limit the opportunity for investors to receive a premium for their shares of our common stock and could also affect the price that some investors are willing to pay for our common stock.</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See the sections of the accompanying prospectus entitled “Overview of Our Capital Stock—Certain Provisions of Our Certificate of Incorporation and Bylaws” and “Overview of Our Capital Stock—Certain Anti-Takeover Effects of Delaware Law” for a further discussion of these provisions.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sale of the shares of our common stock by the selling stockholder in this offering.</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Board of Directors began declaring quarterly dividends on our common stock in the three months ended March 31, 2014. It is anticipated that dividends on our common stock will continue to be declared and paid quarterly. However the declaration of any dividend on our common stock is a matter to be acted upon by our Board of Directors in its sole discretion. Any dividend will be paid out of funds legally available for that purpose. Our payment of dividends in the future will depend on business conditions, our financial condition, earnings, liquidity and capital requirements and other factors. For more information on the cash dividends declared on our common stock for the years ended December 31, 2017, 2016 and 2015, refer to “Item 6. Selected Financial Data” in our Annual Report on Form 10-K for the fiscal year ended December 31, 2017, which is incorporated by reference into this prospectus supplement.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supplement and the accompanying prospectus may include or incorporate by reference “forward-looking statements” within the meaning of Section 27A of the Securities Act of 1933, as amended (the “Securities Act”), and Section 21E of the Exchange Act.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All statements included or incorporated by reference in this prospectus supplement and the accompanying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9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supplement, the accompanying prospectus and the documents incorporated by reference under the captions “Risk Factors” and “Forward-Looking Statements” and elsewhere in those documents.</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This prospectus supplement relates to the resale of shares of our common stock by the selling stockholder. The following table sets forth as of February 7, 2018 information regarding the beneficial ownership of shares of our common stock by the selling stockholder.</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number of shares beneficially owned by the selling stockholder is determined under rules issued by the SEC. Under these rules, beneficial ownership includes any shares as to which the individual or entity has sole or shared voting power or investment power. In addition, under these rules, an individual or entity beneficially owns any shares issuable upon the exercise of any options or warrants held by such person or entity that were exercisable on February 7, 2018 or within 60 days after February 7, 2018. In computing the percentage ownership of each individual and entity, the number of outstanding shares of our common stock includes any shares subject to options or warrants held by that individual or entity that were exercisable on or within 60 days after February 7,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5"/>
              </w:rPr>
              <w:t>Shares</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Percentage</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Shares</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Owned</w:t>
            </w:r>
          </w:p>
        </w:tc>
        <w:tc>
          <w:tcPr>
            <w:tcW w:w="14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Shares Being</w:t>
            </w: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Prior to</w:t>
            </w: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8"/>
        </w:trPr>
        <w:tc>
          <w:tcPr>
            <w:tcW w:w="4640" w:type="dxa"/>
            <w:vAlign w:val="bottom"/>
            <w:gridSpan w:val="2"/>
            <w:vMerge w:val="continue"/>
          </w:tcPr>
          <w:p>
            <w:pPr>
              <w:spacing w:after="0"/>
              <w:rPr>
                <w:sz w:val="15"/>
                <w:szCs w:val="15"/>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Offering</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Offering (1)</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Offered</w:t>
            </w: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Offering</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Offering (2)</w:t>
            </w:r>
          </w:p>
        </w:tc>
        <w:tc>
          <w:tcPr>
            <w:tcW w:w="0" w:type="dxa"/>
            <w:vAlign w:val="bottom"/>
          </w:tcPr>
          <w:p>
            <w:pPr>
              <w:spacing w:after="0"/>
              <w:rPr>
                <w:sz w:val="1"/>
                <w:szCs w:val="1"/>
                <w:color w:val="auto"/>
              </w:rPr>
            </w:pPr>
          </w:p>
        </w:tc>
      </w:tr>
      <w:tr>
        <w:trPr>
          <w:trHeight w:val="175"/>
        </w:trPr>
        <w:tc>
          <w:tcPr>
            <w:tcW w:w="176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rPr>
              <w:t>UAW Retiree Medical</w:t>
            </w:r>
          </w:p>
        </w:tc>
        <w:tc>
          <w:tcPr>
            <w:tcW w:w="288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Benefits Trust, as advised by its</w:t>
            </w:r>
          </w:p>
        </w:tc>
        <w:tc>
          <w:tcPr>
            <w:tcW w:w="9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independent fiduciary and investment manager Brock</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Fiduciary Services LLC (3)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140,150,000</w:t>
            </w:r>
          </w:p>
        </w:tc>
        <w:tc>
          <w:tcPr>
            <w:tcW w:w="5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40,000,000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100,150,000</w:t>
            </w:r>
          </w:p>
        </w:tc>
        <w:tc>
          <w:tcPr>
            <w:tcW w:w="5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1,403,042,620 shares of our common stock outstanding on February 7, 2018.</w:t>
      </w:r>
    </w:p>
    <w:p>
      <w:pPr>
        <w:spacing w:after="0" w:line="23"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1,400,524,363 shares of our common stock outstanding following consummation of this offering and the share repurchase. This total is calculated based on 1,403,042,620 shares of our common stock outstanding as of February 7, 2018, minus 2,518,257 shares that we are repurchasing from the underwriters in the share repurchase and that will no longer be outstanding following the consummation of this offering and the share repurchase.</w:t>
      </w:r>
    </w:p>
    <w:p>
      <w:pPr>
        <w:spacing w:after="0" w:line="1" w:lineRule="exact"/>
        <w:rPr>
          <w:rFonts w:ascii="Arial" w:cs="Arial" w:eastAsia="Arial" w:hAnsi="Arial"/>
          <w:sz w:val="18"/>
          <w:szCs w:val="18"/>
          <w:color w:val="auto"/>
        </w:rPr>
      </w:pPr>
    </w:p>
    <w:p>
      <w:pPr>
        <w:ind w:left="460" w:right="160" w:hanging="452"/>
        <w:spacing w:after="0" w:line="29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the VEBA Trust’s acquisition in 2009 of the shares of GM common stock subject to this offering, the U.S. Department of Labor required the VEBA Trust to appoint an independent fiduciary to make all decisions with respect to the disposition of such shares. Brock Fiduciary Services LLC (“Brock Fiduciary”) is the independent fiduciary and investment manager to the VEBA Trust for these shares. The address of Brock Fiduciary is 521 Fifth Avenue, 39th Floor, New York, New York 10175. Brock Fiduciary has informed us that the proceeds from the sale of the shares of our common stock by the VEBA Trust in this offering will be solely for the benefit of the GM Separate Retiree Account of the VEBA Trust.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ERISA CONSIDERATIONS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Employee benefit plans subject to the Employee Retirement Income Security Act of 1974, as amended (“ERISA”), are prohibited under Section 406 of ERISA from engaging in certain transactions with entities that are “parties in interest” to the plan, including entities that may be (or may be affiliates of) service providers or fiduciaries to the selling stockholder, unless an exemption, whether statutory (including Section 408(b)(17) of ERISA relating to transactions between a plan and certain service providers) or regulatory, is applicable to the transaction. Prospective purchasers of our common stock that may be “parties in interest” to the plan which is funded through the selling stockholder should consult with their counsel regarding the potential applicability of Section 406 of ERISA and the potential availability of an exemption, and there can be no assurance that any exemption, if required, will be available with respect to any particular transaction involving our common stock.</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STOCKHOLDERS AGREEMENT WITH THE VEBA TRUST</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2009, the Company and the VEBA Trust entered into a Stockholders Agreement (the “Stockholders Agreement”). The Stockholders Agreement obligates the VEBA Trust to vote its shares of our common stock on each matter presented to our stockholders at any meeting of our stockholders in the same proportionate manner as the holders of our common stock (other than the VEBA Trust, its affiliates and our directors and executive officers) voted in connection with each such matter. Pursuant to the Stockholders Agreement, the VEBA Trust has the right to designate one nominee to our Board of Directors for so long as its holding of shares of our common stock exceeds a specified ownership threshold, subject to the consent of the International Union, United Automobile, Aerospace and Agricultural Implement Workers of America (the “UAW”) and approval by our Board of Directors (not to be unreasonably withheld). The VEBA Trust will be subject to the terms of the Stockholders Agreement until it beneficially owns less than two percent of the shares of our common stock then issued and outstanding.</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UNITED STATES FEDERAL INCOME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ESTATE TAX CONSIDERATIONS TO NON-U.S. HOLDERS</w:t>
      </w:r>
    </w:p>
    <w:p>
      <w:pPr>
        <w:spacing w:after="0" w:line="21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following is a summary of material United States federal income and estate tax considerations to a Non-U.S. holder (as defined below) of the purchase, ownership and disposition of our common stock sold pursuant to this offering. Except where noted, this summary deals only with common stock that is held as a “capital asset” within the meaning of Section 1221 of the Code (generally, property held for investment). This summary is based upon provisions of the Internal Revenue Code of 1986, as amended (the “Code”), U.S. Treasury regulations, rulings and judicial decisions as of the date hereof, all of which are subject to change or differing interpretation, possibly with retroactive effect. We have not sought any ruling from the Internal Revenue Service (“IRS”) with respect to the statements made and the conclusions reached in the following summary, and there can be no assurance that the IRS or a court will agree with such statements and conclusions. This discussion does not address any state, local, or foreign tax consequences (nor except where noted, the application of tax treaties), nor any federal tax consequences other than federal income and estate tax consequences. Persons considering the purchase, ownership, or disposition of our common stock should consult their tax advisors concerning U.S. federal, state, local, foreign or other tax consequences in light of their particular situations.</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for United States federal income tax purposes) that is not, for United States federal income tax purposes, any of the following:</w:t>
      </w:r>
    </w:p>
    <w:p>
      <w:pPr>
        <w:spacing w:after="0" w:line="7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rules may also apply to certain Non-U.S. Holders, such as:</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investors in pass-through entities that are subject to special treatment under the IRC.</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If an entity or other arrangement treated as a partnership for United States federal income tax purposes holds our common stock, the tax treatment of a partner in the partnership will generally depend upon the status of the partner, activities of the partnership and certain determinations made at the partner level. If you are a partner of a partnership holding our common stock, you should consult your tax advisors.</w:t>
      </w:r>
    </w:p>
    <w:p>
      <w:pPr>
        <w:spacing w:after="0" w:line="162" w:lineRule="exact"/>
        <w:rPr>
          <w:sz w:val="20"/>
          <w:szCs w:val="20"/>
          <w:color w:val="auto"/>
        </w:rPr>
      </w:pPr>
    </w:p>
    <w:p>
      <w:pPr>
        <w:ind w:right="360" w:firstLine="456"/>
        <w:spacing w:after="0" w:line="261" w:lineRule="auto"/>
        <w:rPr>
          <w:sz w:val="20"/>
          <w:szCs w:val="20"/>
          <w:color w:val="auto"/>
        </w:rPr>
      </w:pPr>
      <w:r>
        <w:rPr>
          <w:rFonts w:ascii="Arial" w:cs="Arial" w:eastAsia="Arial" w:hAnsi="Arial"/>
          <w:sz w:val="18"/>
          <w:szCs w:val="18"/>
          <w:b w:val="1"/>
          <w:bCs w:val="1"/>
          <w:color w:val="auto"/>
        </w:rPr>
        <w:t>THIS SUMMARY IS FOR GENERAL INFORMATION ONLY AND IS NOT INTENDED TO CONSTITUTE A COMPLETE DESCRIPTION OF ALL TAX CONSEQUENCES FOR NON-U.S. HOLDERS RELATING TO THE ACQUISITION, OWNERSHIP AND DISPOSITION OF OUR COMMON STOCK. PROSPECTIVE HOLDERS OF OUR COMMON STOCK SHOULD CONSULT WITH THEIR TAX ADVISORS REGARDING THE TAX CONSEQUENCES TO THEM (INCLUDING</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THE APPLICATION AND EFFECT OF ANY STATE, LOCAL, FOREIGN INCOME AND OTHER TAX LAWS) OF THE ACQUISITION, OWNERSHIP AND DISPOSITION OF OUR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Any distributions of cash or property on our common stock will constitute dividends for United States federal income tax purposes to the extent paid from our current or accumulated earnings and profits, as determined under United States federal income tax principles. To the extent those distributions exceed our current and accumulated earnings and profits, the distributions will be treated as a non-taxable return of capital to the extent of the Non-U.S. Holder’s tax basis in our common stock (determined on a share-by-share basis) and, thereafter, as capital gain from the sale or exchange of such common stock. See “—Gain on Disposition of Common Stock.”</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Subject to the withholding requirements under FATCA (as defined below) and with respect to effectively connected dividends, each of which is discussed below, 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are not subject to the withholding tax (provided certain certification and disclosure requirements are satisfied), unless an applicable income tax treaty provides otherwise. Instead, such dividends are subject to United States federal income tax on a net income basis in the same manner as if the Non-U.S. Holder were a United States person as defined under the Code unless an applicable income tax treaty provides otherwise. A Non-U.S. Holder that is a corporation may also be subject to a “branch profits tax” at a 30% rate (or such lower rate specified by an applicable income tax treaty) on such effectively connected dividends, as adjusted for certain items.</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Non-U.S. Holder who wishes to claim the benefit of an applicable treaty rate and avoid backup withholding, as discussed below, for dividends will be required (a) to complete an Internal Revenue Service Form W-8BEN or W-8BEN-E (or other applicable documentation)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A Non-U.S. Holder whose dividends are effectively connected with a United States trade or business will not be subject to U.S. withholding tax if the Non-U.S. Holder satisfies certain certification requirements by providing the applicable withholding agent a properly executed IRS Form W-8ECI (or, in certain cases, IRS Form W-8BEN-E or W-8BEN) certifying eligibility for exemption. Special certification and other requirements apply to certain non-U.S. holders that are pass-through entities rather than corporations or individuals.</w:t>
      </w:r>
    </w:p>
    <w:p>
      <w:pPr>
        <w:spacing w:after="0" w:line="19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Non-U.S. Holder eligible for a reduced rate of United States withholding tax pursuant to an income tax treaty may obtain a refund of any excess amounts withheld by timely filing an appropriate claim for refund with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While backup withholding and withholding under FATCA may apply upon the disposition of our common stock (see the discussion below), any gain realized on the disposition of our common stock generally will not be subject to United States federal income tax unless:</w:t>
      </w:r>
    </w:p>
    <w:p>
      <w:pPr>
        <w:spacing w:after="0" w:line="76" w:lineRule="exact"/>
        <w:rPr>
          <w:sz w:val="20"/>
          <w:szCs w:val="20"/>
          <w:color w:val="auto"/>
        </w:rPr>
      </w:pPr>
    </w:p>
    <w:p>
      <w:pPr>
        <w:ind w:left="900" w:right="24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75"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that disposition, and certain other conditions are met;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(“USRPHC”) for United States federal income tax purposes and certain other conditions are met.</w:t>
      </w:r>
    </w:p>
    <w:p>
      <w:pPr>
        <w:spacing w:after="0" w:line="17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 Non-U.S. Holder described in the first bullet point immediately above will be subject to tax on its net gain in the same manner as if it were a United States person as defined under the Code. In addition, if a Non-U.S. Holder that is treated as a corporation for U.S. federal income tax purposes falls under the first bullet point immediately above, it may be subject to the branch profits tax equal to 30% (or such lower rate specified by an applicable income tax treaty) of its effectively connected earnings and profits, subject to adjustments.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 individual Non-U.S. Holder described in the second bullet point immediately above will be subject to a flat 30% tax (or such lower rate specified by an applicable income tax treaty) on the gain derived from the disposition, which may be offset by United States source capital losses (even though the individual is not considered a resident of the United States), provided the Non-U.S. Holder has timely filed United States federal income tax returns with respect to such losses.</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With respect to the third bullet point immediately above, we believe we are not and do not anticipate becoming a USRPHC for United States federal income tax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Common stock held by an individual treated as a non-U.S. holder (as specially defined for U.S. federal estate tax purposes) at the time of death will be included in such holder’s gross estate for United States federal estate tax purposes and, therefore, may be subject to U.S. federal estate tax, unless an applicable estate tax treaty provides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Information reporting generally will apply to the amount of dividends paid to each Non-U.S.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Proceeds of a disposition of our common stock conducted through a non-United States office of a non-United States broker generally will not be subject to information reporting or backup withholding. However, information reporting and, depending on the circumstances, backup withholding will apply to the proceeds of a disposition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5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a non-U.S. holder’s United States federal income tax liability provided the required information is timely furnished to the Internal Revenue Service.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Under Sections 1471 through 1474 of the Code (such Sections commonly referred to as the Foreign Account Tax Compliance Act, or “FATCA”), a 30% United States federal withholding tax may apply to any dividends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Certain countries have entered into intergovernmental agreements with the United States implementing FATCA and such agreements may provide different rules with respect to a foreign financial institution in such countries. Withholding under FATCA applies to payments as described above regardless of whether the recipient receives the payments as a beneficial owner or acting as an intermediary. If a dividend payment is both subject to withholding under FATCA and subject to the withholding tax discussed above under “—Dividends,” the withholding under FATCA may be credited against, and therefore reduce, such other withholding tax. You should consult your tax advisor regarding these requirements and whether they may be relevant to your ownership and disposition of our common stock.</w:t>
      </w:r>
    </w:p>
    <w:p>
      <w:pPr>
        <w:spacing w:after="0" w:line="17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THE UNITED STATES FEDERAL INCOME AND ESTATE TAX SUMMARY SET FORTH ABOVE IS FOR GENERAL INFORMATION PURPOSES ONLY, DOES NOT PURPORT TO BE A COMPLETE DESCRIPTION OF THE POTENTIAL TAX CONSIDERATIONS RELATING TO OUR SHARES OF COMMON STOCK AND IS NOT TAX ADVICE. INVESTORS SHOULD CONSULT THEIR TAX ADVISORS REGARDING THE SPECIFIC TAX CONSEQUENCES TO THEM OF THE PURCHASE, OWNERSHIP AND DISPOSITION OF THE SHARES OF COMMON STOCK.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underwriters named below, for whom Citigroup Global Markets Inc. and Barclays Capital Inc. are acting as representatives, have severally agreed to purchase, and the selling stockholder has agreed to sell to the underwriters, severally, the number of shares indicated below:</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6580" w:type="dxa"/>
            <w:vAlign w:val="bottom"/>
            <w:gridSpan w:val="3"/>
          </w:tcPr>
          <w:p>
            <w:pPr>
              <w:spacing w:after="0"/>
              <w:rPr>
                <w:sz w:val="20"/>
                <w:szCs w:val="20"/>
                <w:color w:val="auto"/>
              </w:rPr>
            </w:pPr>
            <w:r>
              <w:rPr>
                <w:rFonts w:ascii="Arial" w:cs="Arial" w:eastAsia="Arial" w:hAnsi="Arial"/>
                <w:sz w:val="14"/>
                <w:szCs w:val="14"/>
                <w:color w:val="auto"/>
              </w:rPr>
              <w:t>Name</w:t>
            </w: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Number of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6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Citigroup Global Markets Inc.</w:t>
            </w: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underwriters are offering the shares of common stock subject to their acceptance of the shares from the selling stockholder, subject to prior sale and subject to their right to reject any order in whole or in part. The underwriting agreement provides that the obligations of the underwriters to pay for and accept delivery of the shares of common stock offered by this prospectus supplement and accompanying prospectus are subject to the approval of certain legal matters by their counsel and to certain other conditions. The underwriters are obligated to take and pay for all of the shares of common stock offered by this prospectus supplement and accompanying prospectus if any such shares are taken. The underwriting agreement also provides that if one or more underwriters default, the purchase commitments of the non-defaulting underwriters may be increased or the offering may be terminated.</w:t>
      </w:r>
    </w:p>
    <w:p>
      <w:pPr>
        <w:spacing w:after="0" w:line="16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Subject to the completion of this offering, we are repurchasing from the underwriters 2,518,257 of the 40,000,000 shares of our common stock offered hereby having an aggregate value of approximately $100 million at a price per share equal to the price per share that the underwriters will pay to the selling stockholder for the shares in this offering.</w:t>
      </w:r>
    </w:p>
    <w:p>
      <w:pPr>
        <w:spacing w:after="0" w:line="18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underwriters have agreed to purchase the common stock from the selling stockholder at a price of $39.71 per share, which will result in approximately $1.59 billion of proceeds to the selling stockholder before expenses. The underwriters propose to offer the shares of common stock, excluding the shares to be repurchased by us, from time to time for sale in one or more transactions on the New York Stock Exchange, on the over-the-counter market, through negotiated transactions or otherwise, at market prices, at prices related to market prices or at negotiated prices, subject to receipt and acceptance by them and subject to their right to reject any order in whole or in part. The underwriters may effect such transactions by selling shares of common stock to or through dealers, and such dealers may receive compensation in the form of discounts, concessions or commissions from the underwriters and/or purchasers of shares of common stock for whom the underwriters may act as agent or to whom the underwriters may sell as principal. In connection with the sale of the shares of common stock offered hereby, excluding the shares to be repurchased by us, the underwriters may be deemed to have received compensation in the form of underwriting discounts.</w:t>
      </w:r>
    </w:p>
    <w:p>
      <w:pPr>
        <w:spacing w:after="0" w:line="18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estimate that the total offering expenses payable by us for this offering (excluding the price we will pay for the shares to be repurchased by us) will be approximately $0.7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trading symbol “GM”.</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have agreed that, without the prior written consent of the representatives, on behalf of the underwriters, we will not, during the period ending 30 days after the date of this prospectus supplement (the “Company restricted period”):</w:t>
      </w:r>
    </w:p>
    <w:p>
      <w:pPr>
        <w:spacing w:after="0" w:line="76" w:lineRule="exact"/>
        <w:rPr>
          <w:sz w:val="20"/>
          <w:szCs w:val="20"/>
          <w:color w:val="auto"/>
        </w:rPr>
      </w:pPr>
    </w:p>
    <w:p>
      <w:pPr>
        <w:ind w:left="900" w:right="26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shares of common stock or such other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whether any such transaction described above is to be settled by delivery of shares of common stock or such other securities, in cash or otherwise.</w:t>
      </w:r>
    </w:p>
    <w:p>
      <w:pPr>
        <w:spacing w:after="0" w:line="23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In addition, we have agreed that, without the prior written consent of the representatives, on behalf of the underwriters, we will not, during the Company restricted period, file with the SEC a registration statement under the Securities Act relating to any shares of common stock or any securities convertible into or exercisable or exchangeable for shares of common stock.</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selling stockholder has agreed that, without the prior written consent of the representatives, on behalf of the underwriters, it will not, during the period ending 90 days after the date of this prospectus supplement (the “selling stockholder restricted period”):</w:t>
      </w:r>
    </w:p>
    <w:p>
      <w:pPr>
        <w:spacing w:after="0" w:line="76" w:lineRule="exact"/>
        <w:rPr>
          <w:sz w:val="20"/>
          <w:szCs w:val="20"/>
          <w:color w:val="auto"/>
        </w:rPr>
      </w:pPr>
    </w:p>
    <w:p>
      <w:pPr>
        <w:ind w:left="900" w:right="20" w:hanging="446"/>
        <w:spacing w:after="0" w:line="297"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(including without limitation, shares of common stock or any securities convertible into or exercisable or exchangeable for common stock which may be deemed to be beneficially owned by the selling stockholder in accordance with the rules and regulations of the SEC and securities which may be issued upon exercise of a stock option or warrant); or</w:t>
      </w:r>
    </w:p>
    <w:p>
      <w:pPr>
        <w:spacing w:after="0" w:line="63"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shares of common stock or such other securities convertible into or exercisable or exchangeable for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whether any such transaction described above is to be settled by delivery of shares of common stock or such other securities, in cash or otherwise.</w:t>
      </w:r>
    </w:p>
    <w:p>
      <w:pPr>
        <w:spacing w:after="0" w:line="23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the selling stockholder has agreed that, without the prior written consent of the representatives, on behalf of the underwriters, the selling stockholder will not, during the period ending 90 days after the date of this prospectus supplement, make any demand for or exercise any right with respect to the registration of any shares of common stock or any security convertible into or exercisable or exchangeable for shares of common stock.</w:t>
      </w:r>
    </w:p>
    <w:p>
      <w:pPr>
        <w:spacing w:after="0" w:line="14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restrictions on us and the selling stockholder described above are subject to certain limited exceptions and do not apply to the sale of shares of common stock to the underwriters.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us, the restrictions above also do not apply to:</w:t>
      </w:r>
    </w:p>
    <w:p>
      <w:pPr>
        <w:spacing w:after="0" w:line="131" w:lineRule="exact"/>
        <w:rPr>
          <w:sz w:val="20"/>
          <w:szCs w:val="20"/>
          <w:color w:val="auto"/>
        </w:rPr>
      </w:pPr>
    </w:p>
    <w:p>
      <w:pPr>
        <w:ind w:left="900" w:right="20" w:hanging="446"/>
        <w:spacing w:after="0" w:line="30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issuance and/or sale of shares of common stock or any securities convertible into or exercisable or exchangeable for shares of common stock or the grant of equity-based awards (including options, restricted stock awards, restricted stock units, salary stock units and/or performance stock units) pursuant to the terms of any agreement or pursuant to any employee stock option plan, employee stock incentive plan or employee stock ownership plan existing as of the date of this prospectus supplement or described in the documents incorporated by reference herein;</w:t>
      </w:r>
    </w:p>
    <w:p>
      <w:pPr>
        <w:spacing w:after="0" w:line="59" w:lineRule="exact"/>
        <w:rPr>
          <w:rFonts w:ascii="Arial" w:cs="Arial" w:eastAsia="Arial" w:hAnsi="Arial"/>
          <w:sz w:val="16"/>
          <w:szCs w:val="16"/>
          <w:color w:val="auto"/>
        </w:rPr>
      </w:pPr>
    </w:p>
    <w:p>
      <w:pPr>
        <w:ind w:left="900" w:right="140" w:hanging="446"/>
        <w:spacing w:after="0" w:line="279"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issuance of shares of common stock upon the conversion, exercise, exchange or settlement of any securities or equity-based awards that are convertible into, exercisable or exchangeable for, or which may be settled for, shares of common stock (including warrants, options, restricted stock awards, restricted stock units, salary stock units and performance stock units) and that are outstanding as of the date of this prospectus supplement or are described herein or in the documents incorporated by reference herein;</w:t>
      </w:r>
    </w:p>
    <w:p>
      <w:pPr>
        <w:spacing w:after="0" w:line="76" w:lineRule="exact"/>
        <w:rPr>
          <w:rFonts w:ascii="Arial" w:cs="Arial" w:eastAsia="Arial" w:hAnsi="Arial"/>
          <w:sz w:val="17"/>
          <w:szCs w:val="17"/>
          <w:color w:val="auto"/>
        </w:rPr>
      </w:pPr>
    </w:p>
    <w:p>
      <w:pPr>
        <w:ind w:left="900" w:right="18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issuance of shares of common stock or any securities convertible into or exercisable or exchangeable for common stock in connection with transfers to dividend reinvestment plans or to employee benefit plans in effect as of the date of this prospectus supplement;</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shares of common stock to existing holders of such stock for purposes of effecting a stock dividend or stock split;</w:t>
      </w:r>
    </w:p>
    <w:p>
      <w:pPr>
        <w:spacing w:after="0" w:line="130" w:lineRule="exact"/>
        <w:rPr>
          <w:rFonts w:ascii="Arial" w:cs="Arial" w:eastAsia="Arial" w:hAnsi="Arial"/>
          <w:sz w:val="18"/>
          <w:szCs w:val="18"/>
          <w:color w:val="auto"/>
        </w:rPr>
      </w:pPr>
    </w:p>
    <w:p>
      <w:pPr>
        <w:ind w:left="900" w:right="20" w:hanging="446"/>
        <w:spacing w:after="0" w:line="271"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issuance of, or the entering into of an agreement to issue, shares of common stock or any securities convertible into or exercisable or exchangeable for common stock as consideration or partial consideration for any bona fide merger, acquisition, business combination or other strategic or commercial transaction or relationship; provided that the shares of common stock, options, warrants or other convertible or exchangeable securities relating to common stock so issued or so agreed to be issued shall not have a fair market value (as reasonably determined by us after consultation with the representatives), at the time of the earlier of the issuance of such securities or the execution of the agreement to issue such securities, in an amount greater than $5.0 billion and provided that the recipient of any securities so issued shall prior to any such issuance execute a lock-up agreement containing substantially the same selling stockholder lock-up restrictions described in this “Underwriting” section for the balance of the 30-day Company restricted period; or</w:t>
      </w:r>
    </w:p>
    <w:p>
      <w:pPr>
        <w:spacing w:after="0" w:line="84" w:lineRule="exact"/>
        <w:rPr>
          <w:rFonts w:ascii="Arial" w:cs="Arial" w:eastAsia="Arial" w:hAnsi="Arial"/>
          <w:sz w:val="17"/>
          <w:szCs w:val="17"/>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filing of a registration statement on Form S-4 and/or Form S-8 (or any successor form) in connection with any of the foregoing exceptions.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selling stockholder, the restrictions described above also do not apply to:</w:t>
      </w:r>
    </w:p>
    <w:p>
      <w:pPr>
        <w:spacing w:after="0" w:line="131" w:lineRule="exact"/>
        <w:rPr>
          <w:sz w:val="20"/>
          <w:szCs w:val="20"/>
          <w:color w:val="auto"/>
        </w:rPr>
      </w:pPr>
    </w:p>
    <w:p>
      <w:pPr>
        <w:ind w:left="900" w:right="32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transfers or other dispositions of shares of common stock or any securities convertible into or exercisable or exchangeable for shares of common stock pursuant to sales plans pursuant to Rule 10b5-1;</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transfers of common stock or any securities convertible into or exercisable or exchangeable for common stock as a bona fide gift or gifts;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distributions of common stock to members, limited partners, stockholders or creditors of the selling stockholder; or</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transfers of common stock or any securities convertible into or exercisable or exchangeable for common stock to (i) us or (ii) a corporation, partnership, limited liability company or other entity that is a controlled or managed affiliate of the selling stockholder or controls or manages the selling stockholder or is under common control with the selling stockholder,</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provided that, in the case of any transfer or distribution pursuant to the second, third and fourth bullets above, each transferee shall sign and deliver to the representatives a lock-up letter containing substantially the same lock-up restrictions described above for the balance of the selling stockholder restricted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representatives, in their sole discretion, may release the common stock and other securities in whole or in part at any time with or without notice.</w:t>
      </w:r>
    </w:p>
    <w:p>
      <w:pPr>
        <w:spacing w:after="0" w:line="24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if they are commenced.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A prospectus supplement in electronic format may be made available on websites maintained by an underwriter, or selling group member, if any, participating in this offering. The underwriters may allocate a number of shares of common stock for sale to online brokerage account holders. Internet distributions will be allocated on the same basis as other allocations.</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investment banking, commercial banking and other services for us for which they received or will receive compensatory fees and expense reimbursements. In addition, certain of the underwriters or their respective affiliates are lenders under our revolving credit facilities.</w:t>
      </w:r>
    </w:p>
    <w:p>
      <w:pPr>
        <w:spacing w:after="0" w:line="15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the ordinary course of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company.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relation to each Member State of the European Economic Area (each, a “Relevant Member State”), each underwriter has represented and agreed that it has not made and will not make an offer of shares of our common stock that are the subject of this offering to the public in that Relevant Member State other than:</w:t>
      </w:r>
    </w:p>
    <w:p>
      <w:pPr>
        <w:spacing w:after="0" w:line="8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provided that no such offer of shares of our common stock shall require the Company or any underwriter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For the purpose of the above provisions, the expression “an offer to the public” in relation to any shares of our common stock in any Relevant Member State means the communication in any form and by any means of sufficient information on the terms of the offer and the shares of our common stock to be offered so as to enable an investor to decide to purchase or subscribe the shares of our common stock, as the same may be varied in the Relevant Member State by any measure implementing the Prospectus Directive in the Relevant Member State and the expression “Prospectus Directive” means Directive 2003/71/EC (as amended, including by Directive 2010/73/EU) and includes any relevant implementing measure in the Relevant Member State.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900" w:right="6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any shares of our common stock that are the subject of this offering in circumstances in which Section 21(1) of the FSMA does not apply to us; and</w:t>
      </w:r>
    </w:p>
    <w:p>
      <w:pPr>
        <w:spacing w:after="0" w:line="92"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any shares of our common stock in, from or otherwise involving the United Kingdom.</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900" w:right="40" w:hanging="325"/>
        <w:spacing w:after="0" w:line="25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has not offered or sold and will not offer or sell in Hong Kong, by means of any document, any shares of our common stock that are the subject of this offering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or invitation to the public within the meaning of that Ordinance; and</w:t>
      </w:r>
    </w:p>
    <w:p>
      <w:pPr>
        <w:spacing w:after="0" w:line="93" w:lineRule="exact"/>
        <w:rPr>
          <w:rFonts w:ascii="Arial" w:cs="Arial" w:eastAsia="Arial" w:hAnsi="Arial"/>
          <w:sz w:val="18"/>
          <w:szCs w:val="18"/>
          <w:color w:val="auto"/>
        </w:rPr>
      </w:pPr>
    </w:p>
    <w:p>
      <w:pPr>
        <w:ind w:left="900" w:right="40" w:hanging="325"/>
        <w:spacing w:after="0" w:line="297"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it has not issued or had in its possession for the purposes of issue, and will not issue or have in its possession for the purposes of issue, whether in Hong Kong or elsewhere, any advertisement, invitation or document relating to the shares of our common stock,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shares of our common stock that are the subject of this offering have not been and will not be registered under the Financial Instruments and Exchange Law of Japan (the Financial Instruments and Exchange Law) and each underwriter has agreed that it will not offer or sell any shares of our common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prospectus supplement (and the accompanying prospectus) has not been registered as a prospectus with the Monetary Authority of Singapore. Accordingly, this prospectus supplement (and the accompanying prospectus) and any other document or material in connection with the offer or sale, or invitation for subscription or purchase, of the shares of our common stock that are the subject of this offering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Where the shares of our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of our common stock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validity of the shares of our common stock offered hereby will be passed upon for us by Jenner &amp; Block LLP. Certain legal matters will be passed upon for the underwriters by Davis Polk &amp; Wardwell LLP. Certain legal matters will be passed upon for Brock Fiduciary, the independent fiduciary and investment manager to the selling stockholder solely for the benefit of the GM Separate Retiree Account, by Milbank, Tweed, Hadley &amp; McCloy LLP.</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financial statements of General Motors Company incorporated in this prospectus supplement by reference from the Company’s Annual Report on Form 10-K for the year ended December 31, 2017, and the effectiveness of General Motors Company’s internal control over financial reporting have been audited by Deloitte &amp; Touche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that is incorporated by reference will automatically update and supersede this information. This prospectus supplement incorporates by reference the documents and reports listed below and any future filings that we make with the SEC under Sections 13(a), 13(c), 14 or 15(d) of the Exchange Act until the date of completion of this offering (provided, however, that this prospectus supplement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360"/>
          </w:cols>
          <w:pgMar w:left="240" w:top="459" w:right="29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GM SEC Filings (File No. 001-34960)</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portions of our Definitive Proxy Statement on Schedule 14A for our 2017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Annual Meeting of Stockholders that are incorporated by reference into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Annual Report on Form 10-K for the fiscal year ended December 31, 2016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Period</w:t>
      </w:r>
    </w:p>
    <w:p>
      <w:pPr>
        <w:spacing w:after="0" w:line="12" w:lineRule="exact"/>
        <w:rPr>
          <w:sz w:val="20"/>
          <w:szCs w:val="20"/>
          <w:color w:val="auto"/>
        </w:rPr>
      </w:pPr>
    </w:p>
    <w:p>
      <w:pPr>
        <w:ind w:right="40"/>
        <w:spacing w:after="0" w:line="384" w:lineRule="auto"/>
        <w:rPr>
          <w:sz w:val="20"/>
          <w:szCs w:val="20"/>
          <w:color w:val="auto"/>
        </w:rPr>
      </w:pPr>
      <w:r>
        <w:rPr>
          <w:rFonts w:ascii="Arial" w:cs="Arial" w:eastAsia="Arial" w:hAnsi="Arial"/>
          <w:sz w:val="18"/>
          <w:szCs w:val="18"/>
          <w:color w:val="auto"/>
        </w:rPr>
        <w:t>Year ended December 31, 2017 (filed with the SEC on February 6, 2018) Date filed: April 13, 2017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Dates filed: February 12, 2018 and February 13, 2018</w:t>
      </w:r>
    </w:p>
    <w:p>
      <w:pPr>
        <w:spacing w:after="0" w:line="117" w:lineRule="exact"/>
        <w:rPr>
          <w:sz w:val="20"/>
          <w:szCs w:val="20"/>
          <w:color w:val="auto"/>
        </w:rPr>
      </w:pPr>
    </w:p>
    <w:p>
      <w:pPr>
        <w:sectPr>
          <w:pgSz w:w="11900" w:h="16838" w:orient="portrait"/>
          <w:cols w:equalWidth="0" w:num="2">
            <w:col w:w="5640" w:space="420"/>
            <w:col w:w="5300"/>
          </w:cols>
          <w:pgMar w:left="240" w:top="459" w:right="299" w:bottom="1440" w:gutter="0" w:footer="0" w:header="0"/>
          <w:type w:val="continuous"/>
        </w:sectPr>
      </w:pPr>
    </w:p>
    <w:p>
      <w:pPr>
        <w:jc w:val="both"/>
        <w:ind w:right="5640"/>
        <w:spacing w:after="0" w:line="286" w:lineRule="auto"/>
        <w:rPr>
          <w:sz w:val="20"/>
          <w:szCs w:val="20"/>
          <w:color w:val="auto"/>
        </w:rPr>
      </w:pPr>
      <w:r>
        <w:rPr>
          <w:rFonts w:ascii="Arial" w:cs="Arial" w:eastAsia="Arial" w:hAnsi="Arial"/>
          <w:sz w:val="17"/>
          <w:szCs w:val="17"/>
          <w:color w:val="auto"/>
        </w:rPr>
        <w:t>The description of the common stock set forth in our registration statement on Form 8-A, filed November 10, 2010, and any amendments and reports filed for the purpose of updating such description.</w:t>
      </w:r>
    </w:p>
    <w:p>
      <w:pPr>
        <w:spacing w:after="0" w:line="166"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Thomas S. Timko, Vice President, Controller, Chief Accounting Officer and Global Business Services, at the following address and telephone number:</w:t>
      </w:r>
    </w:p>
    <w:p>
      <w:pPr>
        <w:spacing w:after="0" w:line="5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(313) 667-1500</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with the SEC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supplement. Reports and other information can also be inspected at the offices of the New York Stock Exchange, Inc., 11 Wall Street, New York, New York 10005, where our common stock is listed.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60"/>
          </w:cols>
          <w:pgMar w:left="240" w:top="459" w:right="29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172085</wp:posOffset>
            </wp:positionV>
            <wp:extent cx="986155" cy="986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8615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GENERAL MOTORS COMPANY</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177165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prospectus contains summaries of the general terms of the securities we may offer from time to time:</w:t>
      </w:r>
    </w:p>
    <w:p>
      <w:pPr>
        <w:spacing w:after="0" w:line="252" w:lineRule="exact"/>
        <w:rPr>
          <w:sz w:val="20"/>
          <w:szCs w:val="20"/>
          <w:color w:val="auto"/>
        </w:rPr>
      </w:pPr>
    </w:p>
    <w:p>
      <w:pPr>
        <w:ind w:left="1120" w:hanging="207"/>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securities, in one or more series,</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common stock is listed on the New York Stock Exchange under the symbol “GM” and on the Toronto Stock Exchange under the symbol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“GMM.”</w:t>
      </w:r>
    </w:p>
    <w:p>
      <w:pPr>
        <w:spacing w:after="0" w:line="211"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480" w:firstLine="799"/>
        <w:spacing w:after="0" w:line="31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Investment in our securities involves risk. See “</w:t>
      </w:r>
      <w:hyperlink w:anchor="page3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136525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40" w:firstLine="799"/>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February 7, 2017.</w:t>
      </w:r>
    </w:p>
    <w:p>
      <w:pPr>
        <w:sectPr>
          <w:pgSz w:w="11900" w:h="16838" w:orient="portrait"/>
          <w:cols w:equalWidth="0" w:num="1">
            <w:col w:w="11380"/>
          </w:cols>
          <w:pgMar w:left="240" w:top="459" w:right="2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014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20" w:type="dxa"/>
            <w:vAlign w:val="bottom"/>
          </w:tcPr>
          <w:p>
            <w:pPr>
              <w:spacing w:after="0"/>
              <w:rPr>
                <w:sz w:val="17"/>
                <w:szCs w:val="17"/>
                <w:color w:val="auto"/>
              </w:rPr>
            </w:pPr>
          </w:p>
        </w:tc>
      </w:tr>
      <w:tr>
        <w:trPr>
          <w:trHeight w:val="493"/>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320" w:type="dxa"/>
            <w:vAlign w:val="bottom"/>
            <w:gridSpan w:val="7"/>
          </w:tcPr>
          <w:p>
            <w:pPr>
              <w:jc w:val="center"/>
              <w:ind w:right="2520"/>
              <w:spacing w:after="0"/>
              <w:rPr>
                <w:sz w:val="20"/>
                <w:szCs w:val="20"/>
                <w:color w:val="auto"/>
              </w:rPr>
            </w:pPr>
            <w:r>
              <w:rPr>
                <w:rFonts w:ascii="Arial" w:cs="Arial" w:eastAsia="Arial" w:hAnsi="Arial"/>
                <w:sz w:val="18"/>
                <w:szCs w:val="18"/>
                <w:b w:val="1"/>
                <w:bCs w:val="1"/>
                <w:color w:val="auto"/>
                <w:w w:val="98"/>
              </w:rPr>
              <w:t>TABLE OF CONTENTS</w:t>
            </w:r>
          </w:p>
        </w:tc>
        <w:tc>
          <w:tcPr>
            <w:tcW w:w="1220" w:type="dxa"/>
            <w:vAlign w:val="bottom"/>
          </w:tcPr>
          <w:p>
            <w:pPr>
              <w:spacing w:after="0"/>
              <w:rPr>
                <w:sz w:val="24"/>
                <w:szCs w:val="24"/>
                <w:color w:val="auto"/>
              </w:rPr>
            </w:pPr>
          </w:p>
        </w:tc>
      </w:tr>
      <w:tr>
        <w:trPr>
          <w:trHeight w:val="439"/>
        </w:trPr>
        <w:tc>
          <w:tcPr>
            <w:tcW w:w="22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ABOUT THIS PROSPECTUS</w:t>
              </w:r>
            </w:hyperlink>
          </w:p>
        </w:tc>
        <w:tc>
          <w:tcPr>
            <w:tcW w:w="2520" w:type="dxa"/>
            <w:vAlign w:val="bottom"/>
            <w:gridSpan w:val="9"/>
          </w:tcPr>
          <w:p>
            <w:pPr>
              <w:spacing w:after="0"/>
              <w:rPr>
                <w:sz w:val="24"/>
                <w:szCs w:val="24"/>
                <w:color w:val="auto"/>
              </w:rPr>
            </w:pPr>
          </w:p>
        </w:tc>
        <w:tc>
          <w:tcPr>
            <w:tcW w:w="1920" w:type="dxa"/>
            <w:vAlign w:val="bottom"/>
            <w:tcBorders>
              <w:top w:val="single" w:sz="8" w:color="auto"/>
            </w:tcBorders>
            <w:gridSpan w:val="4"/>
          </w:tcPr>
          <w:p>
            <w:pPr>
              <w:spacing w:after="0"/>
              <w:rPr>
                <w:sz w:val="24"/>
                <w:szCs w:val="24"/>
                <w:color w:val="auto"/>
              </w:rPr>
            </w:pPr>
          </w:p>
        </w:tc>
        <w:tc>
          <w:tcPr>
            <w:tcW w:w="346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INCORPORATION OF CERTAIN DOCUMENTS BY REFERENCE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RISK FACTORS</w:t>
              </w:r>
            </w:hyperlink>
          </w:p>
        </w:tc>
        <w:tc>
          <w:tcPr>
            <w:tcW w:w="3800" w:type="dxa"/>
            <w:vAlign w:val="bottom"/>
            <w:tcBorders>
              <w:top w:val="single" w:sz="8" w:color="0000EE"/>
            </w:tcBorders>
            <w:gridSpan w:val="16"/>
          </w:tcPr>
          <w:p>
            <w:pPr>
              <w:spacing w:after="0"/>
              <w:rPr>
                <w:sz w:val="24"/>
                <w:szCs w:val="24"/>
                <w:color w:val="auto"/>
              </w:rPr>
            </w:pPr>
          </w:p>
        </w:tc>
        <w:tc>
          <w:tcPr>
            <w:tcW w:w="508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GENERAL MOTORS COMPANY</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CONSOLIDATED RATIO OF EARNINGS TO FIXED CHARGES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CONSOLIDATED RATIO OF EARNINGS TO COMBINED FIXED CHARGES AND PREFERRED STOCK DIVIDENDS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9080" w:type="dxa"/>
            <w:vAlign w:val="bottom"/>
            <w:tcBorders>
              <w:top w:val="single" w:sz="8" w:color="0000EE"/>
            </w:tcBorders>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10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29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FORWARD-LOOKING STATEMENTS</w:t>
              </w:r>
            </w:hyperlink>
          </w:p>
        </w:tc>
        <w:tc>
          <w:tcPr>
            <w:tcW w:w="7200" w:type="dxa"/>
            <w:vAlign w:val="bottom"/>
            <w:gridSpan w:val="1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30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OVERVIEW OF OUR CAPITAL STOCK</w:t>
              </w:r>
            </w:hyperlink>
          </w:p>
        </w:tc>
        <w:tc>
          <w:tcPr>
            <w:tcW w:w="7060" w:type="dxa"/>
            <w:vAlign w:val="bottom"/>
            <w:gridSpan w:val="9"/>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548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GENERAL DESCRIPTION OF SECURITIES THAT MAY BE OFFERED</w:t>
              </w:r>
            </w:hyperlink>
          </w:p>
        </w:tc>
        <w:tc>
          <w:tcPr>
            <w:tcW w:w="466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30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DESCRIPTION OF DEBT SECURITIES</w:t>
              </w:r>
            </w:hyperlink>
          </w:p>
        </w:tc>
        <w:tc>
          <w:tcPr>
            <w:tcW w:w="7100" w:type="dxa"/>
            <w:vAlign w:val="bottom"/>
            <w:gridSpan w:val="10"/>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316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DESCRIPTION OF PREFERRED STOCK</w:t>
              </w:r>
            </w:hyperlink>
          </w:p>
        </w:tc>
        <w:tc>
          <w:tcPr>
            <w:tcW w:w="6980" w:type="dxa"/>
            <w:vAlign w:val="bottom"/>
            <w:gridSpan w:val="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DESCRIPTION OF COMMON STOCK</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2960" w:type="dxa"/>
            <w:vAlign w:val="bottom"/>
            <w:tcBorders>
              <w:top w:val="single" w:sz="8" w:color="0000EE"/>
            </w:tcBorders>
            <w:gridSpan w:val="1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DESCRIPTION OF WARRANTS</w:t>
              </w:r>
            </w:hyperlink>
          </w:p>
        </w:tc>
        <w:tc>
          <w:tcPr>
            <w:tcW w:w="7180" w:type="dxa"/>
            <w:vAlign w:val="bottom"/>
            <w:gridSpan w:val="11"/>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0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PLAN OF DISTRIBUTION</w:t>
              </w:r>
            </w:hyperlink>
          </w:p>
        </w:tc>
        <w:tc>
          <w:tcPr>
            <w:tcW w:w="420" w:type="dxa"/>
            <w:vAlign w:val="bottom"/>
            <w:tcBorders>
              <w:top w:val="single" w:sz="8" w:color="0000EE"/>
            </w:tcBorders>
            <w:gridSpan w:val="2"/>
          </w:tcPr>
          <w:p>
            <w:pPr>
              <w:spacing w:after="0"/>
              <w:rPr>
                <w:sz w:val="24"/>
                <w:szCs w:val="24"/>
                <w:color w:val="auto"/>
              </w:rPr>
            </w:pPr>
          </w:p>
        </w:tc>
        <w:tc>
          <w:tcPr>
            <w:tcW w:w="7660" w:type="dxa"/>
            <w:vAlign w:val="bottom"/>
            <w:gridSpan w:val="1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MATTERS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24"/>
                <w:szCs w:val="24"/>
                <w:color w:val="auto"/>
              </w:rPr>
            </w:pPr>
          </w:p>
        </w:tc>
        <w:tc>
          <w:tcPr>
            <w:tcW w:w="8680" w:type="dxa"/>
            <w:vAlign w:val="bottom"/>
            <w:gridSpan w:val="1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WHERE YOU CAN FIND MORE INFORMATION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85"/>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60" w:type="dxa"/>
            <w:vAlign w:val="bottom"/>
            <w:gridSpan w:val="3"/>
          </w:tcPr>
          <w:p>
            <w:pPr>
              <w:jc w:val="center"/>
              <w:ind w:right="4200"/>
              <w:spacing w:after="0"/>
              <w:rPr>
                <w:sz w:val="20"/>
                <w:szCs w:val="20"/>
                <w:color w:val="auto"/>
              </w:rPr>
            </w:pPr>
            <w:r>
              <w:rPr>
                <w:rFonts w:ascii="Arial" w:cs="Arial" w:eastAsia="Arial" w:hAnsi="Arial"/>
                <w:sz w:val="18"/>
                <w:szCs w:val="18"/>
                <w:color w:val="auto"/>
              </w:rPr>
              <w:t>i</w:t>
            </w:r>
          </w:p>
        </w:tc>
        <w:tc>
          <w:tcPr>
            <w:tcW w:w="1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799"/>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65"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70" w:lineRule="exact"/>
        <w:rPr>
          <w:sz w:val="20"/>
          <w:szCs w:val="20"/>
          <w:color w:val="auto"/>
        </w:rPr>
      </w:pPr>
    </w:p>
    <w:p>
      <w:pPr>
        <w:ind w:firstLine="799"/>
        <w:spacing w:after="0" w:line="272" w:lineRule="auto"/>
        <w:rPr>
          <w:sz w:val="20"/>
          <w:szCs w:val="20"/>
          <w:color w:val="auto"/>
        </w:rPr>
      </w:pPr>
      <w:r>
        <w:rPr>
          <w:rFonts w:ascii="Arial" w:cs="Arial" w:eastAsia="Arial" w:hAnsi="Arial"/>
          <w:sz w:val="17"/>
          <w:szCs w:val="17"/>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 xml:space="preserve">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this prospectus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400"/>
          </w:cols>
          <w:pgMar w:left="240" w:top="459" w:right="259" w:bottom="1440" w:gutter="0" w:footer="0" w:header="0"/>
        </w:sectPr>
      </w:pPr>
    </w:p>
    <w:p>
      <w:pPr>
        <w:spacing w:after="0" w:line="212" w:lineRule="exact"/>
        <w:rPr>
          <w:sz w:val="20"/>
          <w:szCs w:val="20"/>
          <w:color w:val="auto"/>
        </w:rPr>
      </w:pPr>
    </w:p>
    <w:p>
      <w:pPr>
        <w:ind w:right="1580"/>
        <w:spacing w:after="0" w:line="257" w:lineRule="auto"/>
        <w:rPr>
          <w:sz w:val="20"/>
          <w:szCs w:val="20"/>
          <w:color w:val="auto"/>
        </w:rPr>
      </w:pPr>
      <w:r>
        <w:rPr>
          <w:rFonts w:ascii="Arial" w:cs="Arial" w:eastAsia="Arial" w:hAnsi="Arial"/>
          <w:sz w:val="18"/>
          <w:szCs w:val="18"/>
          <w:b w:val="1"/>
          <w:bCs w:val="1"/>
          <w:u w:val="single" w:color="auto"/>
          <w:color w:val="auto"/>
        </w:rPr>
        <w:t xml:space="preserve">GM SEC Filings (File No. 001-34960) </w:t>
      </w:r>
      <w:r>
        <w:rPr>
          <w:rFonts w:ascii="Arial" w:cs="Arial" w:eastAsia="Arial" w:hAnsi="Arial"/>
          <w:sz w:val="18"/>
          <w:szCs w:val="18"/>
          <w:color w:val="auto"/>
        </w:rPr>
        <w:t>Annual Report on Form 10-K Current Report on Form 8-K</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Period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2016 (filed with the SEC on February 7,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Dates filed: January 10, 2017 (with respect to Item 8.01 only)</w:t>
      </w:r>
    </w:p>
    <w:p>
      <w:pPr>
        <w:spacing w:after="0" w:line="643" w:lineRule="exact"/>
        <w:rPr>
          <w:sz w:val="20"/>
          <w:szCs w:val="20"/>
          <w:color w:val="auto"/>
        </w:rPr>
      </w:pPr>
    </w:p>
    <w:p>
      <w:pPr>
        <w:sectPr>
          <w:pgSz w:w="11900" w:h="16838" w:orient="portrait"/>
          <w:cols w:equalWidth="0" w:num="2">
            <w:col w:w="4440" w:space="260"/>
            <w:col w:w="6700"/>
          </w:cols>
          <w:pgMar w:left="240" w:top="459" w:right="259" w:bottom="1440" w:gutter="0" w:footer="0" w:header="0"/>
          <w:type w:val="continuous"/>
        </w:sectPr>
      </w:pPr>
    </w:p>
    <w:p>
      <w:pPr>
        <w:jc w:val="both"/>
        <w:ind w:right="100" w:firstLine="799"/>
        <w:spacing w:after="0" w:line="264" w:lineRule="auto"/>
        <w:rPr>
          <w:sz w:val="20"/>
          <w:szCs w:val="20"/>
          <w:color w:val="auto"/>
        </w:rPr>
      </w:pPr>
      <w:r>
        <w:rPr>
          <w:rFonts w:ascii="Arial" w:cs="Arial" w:eastAsia="Arial" w:hAnsi="Arial"/>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7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(313) 556-5000</w:t>
      </w:r>
    </w:p>
    <w:p>
      <w:pPr>
        <w:spacing w:after="0" w:line="211" w:lineRule="exact"/>
        <w:rPr>
          <w:sz w:val="20"/>
          <w:szCs w:val="20"/>
          <w:color w:val="auto"/>
        </w:rPr>
      </w:pPr>
    </w:p>
    <w:p>
      <w:pPr>
        <w:jc w:val="both"/>
        <w:ind w:right="60" w:firstLine="799"/>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799"/>
        <w:spacing w:after="0" w:line="279" w:lineRule="auto"/>
        <w:rPr>
          <w:sz w:val="20"/>
          <w:szCs w:val="20"/>
          <w:color w:val="auto"/>
        </w:rPr>
      </w:pPr>
      <w:r>
        <w:rPr>
          <w:rFonts w:ascii="Arial" w:cs="Arial" w:eastAsia="Arial" w:hAnsi="Arial"/>
          <w:sz w:val="17"/>
          <w:szCs w:val="17"/>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2016, as updated by our subsequent filings under the Exchange Act, including Forms 10-Q and 8-K, and the risk factors contained or incorporated by reference in the accompanying prospectus supplement before acquiring any of the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ind w:right="200" w:firstLine="799"/>
        <w:spacing w:after="0" w:line="308" w:lineRule="auto"/>
        <w:rPr>
          <w:sz w:val="20"/>
          <w:szCs w:val="20"/>
          <w:color w:val="auto"/>
        </w:rPr>
      </w:pPr>
      <w:r>
        <w:rPr>
          <w:rFonts w:ascii="Arial" w:cs="Arial" w:eastAsia="Arial" w:hAnsi="Arial"/>
          <w:sz w:val="17"/>
          <w:szCs w:val="17"/>
          <w:color w:val="auto"/>
        </w:rPr>
        <w:t>General Motors Company was incorporated as a Delaware corporation in 2009.We design, build and sell cars, trucks, crossovers and automobile parts worldwide. We also provide automotive financing services through General Motors Financial Company, Inc. (GM Financial).</w:t>
      </w:r>
    </w:p>
    <w:p>
      <w:pPr>
        <w:spacing w:after="0" w:line="147"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Our automotive operations meet the demands of our customers through our automotive segments: GM North America (GMNA), GM Europe (GME), GM International Operations (GMIO) and GM South America (GMSA).</w:t>
      </w:r>
    </w:p>
    <w:p>
      <w:pPr>
        <w:spacing w:after="0" w:line="170" w:lineRule="exact"/>
        <w:rPr>
          <w:sz w:val="20"/>
          <w:szCs w:val="20"/>
          <w:color w:val="auto"/>
        </w:rPr>
      </w:pPr>
    </w:p>
    <w:p>
      <w:pPr>
        <w:ind w:right="360" w:firstLine="799"/>
        <w:spacing w:after="0" w:line="264"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39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1700" w:type="dxa"/>
            <w:vAlign w:val="bottom"/>
            <w:tcBorders>
              <w:top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2016</w:t>
            </w:r>
          </w:p>
        </w:tc>
        <w:tc>
          <w:tcPr>
            <w:tcW w:w="1600" w:type="dxa"/>
            <w:vAlign w:val="bottom"/>
            <w:tcBorders>
              <w:top w:val="single" w:sz="8" w:color="auto"/>
            </w:tcBorders>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2015</w:t>
            </w:r>
          </w:p>
        </w:tc>
        <w:tc>
          <w:tcPr>
            <w:tcW w:w="1600" w:type="dxa"/>
            <w:vAlign w:val="bottom"/>
            <w:tcBorders>
              <w:top w:val="single" w:sz="8" w:color="auto"/>
            </w:tcBorders>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2014</w:t>
            </w:r>
          </w:p>
        </w:tc>
        <w:tc>
          <w:tcPr>
            <w:tcW w:w="1580" w:type="dxa"/>
            <w:vAlign w:val="bottom"/>
            <w:tcBorders>
              <w:top w:val="single" w:sz="8" w:color="auto"/>
            </w:tcBorders>
            <w:gridSpan w:val="2"/>
          </w:tcPr>
          <w:p>
            <w:pPr>
              <w:jc w:val="right"/>
              <w:ind w:right="470"/>
              <w:spacing w:after="0" w:line="155" w:lineRule="exact"/>
              <w:rPr>
                <w:sz w:val="20"/>
                <w:szCs w:val="20"/>
                <w:color w:val="auto"/>
              </w:rPr>
            </w:pPr>
            <w:r>
              <w:rPr>
                <w:rFonts w:ascii="Arial" w:cs="Arial" w:eastAsia="Arial" w:hAnsi="Arial"/>
                <w:sz w:val="14"/>
                <w:szCs w:val="14"/>
                <w:b w:val="1"/>
                <w:bCs w:val="1"/>
                <w:color w:val="auto"/>
              </w:rPr>
              <w:t>2013</w:t>
            </w:r>
          </w:p>
        </w:tc>
        <w:tc>
          <w:tcPr>
            <w:tcW w:w="1500" w:type="dxa"/>
            <w:vAlign w:val="bottom"/>
            <w:tcBorders>
              <w:top w:val="single" w:sz="8" w:color="auto"/>
            </w:tcBorders>
            <w:gridSpan w:val="2"/>
          </w:tcPr>
          <w:p>
            <w:pPr>
              <w:jc w:val="right"/>
              <w:ind w:right="430"/>
              <w:spacing w:after="0" w:line="155" w:lineRule="exact"/>
              <w:rPr>
                <w:sz w:val="20"/>
                <w:szCs w:val="20"/>
                <w:color w:val="auto"/>
              </w:rPr>
            </w:pPr>
            <w:r>
              <w:rPr>
                <w:rFonts w:ascii="Arial" w:cs="Arial" w:eastAsia="Arial" w:hAnsi="Arial"/>
                <w:sz w:val="14"/>
                <w:szCs w:val="14"/>
                <w:b w:val="1"/>
                <w:bCs w:val="1"/>
                <w:color w:val="auto"/>
              </w:rPr>
              <w:t>2012</w:t>
            </w:r>
          </w:p>
        </w:tc>
      </w:tr>
      <w:tr>
        <w:trPr>
          <w:trHeight w:val="210"/>
        </w:trPr>
        <w:tc>
          <w:tcPr>
            <w:tcW w:w="17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8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in the year ended December 31, 2012 were inadequate to cover fixed charges. Additional earnings of $28.8 billion in the year ended December 31, 2012 would have been necessary to bring the ratio for this period to 1.0.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RATIO OF EARNINGS TO COMBINED FIXED CHARGES AND PREFERRED STOCK DIVIDENDS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presents the consolidated ratio of our earnings to combined fixed charges and preferred stock dividends for each of the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20" w:type="dxa"/>
            <w:vAlign w:val="bottom"/>
            <w:tcBorders>
              <w:top w:val="single" w:sz="8" w:color="auto"/>
            </w:tcBorders>
          </w:tcPr>
          <w:p>
            <w:pPr>
              <w:jc w:val="right"/>
              <w:ind w:right="97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2014</w:t>
            </w:r>
          </w:p>
        </w:tc>
        <w:tc>
          <w:tcPr>
            <w:tcW w:w="2280" w:type="dxa"/>
            <w:vAlign w:val="bottom"/>
            <w:tcBorders>
              <w:top w:val="single" w:sz="8" w:color="auto"/>
            </w:tcBorders>
            <w:gridSpan w:val="2"/>
          </w:tcPr>
          <w:p>
            <w:pPr>
              <w:jc w:val="right"/>
              <w:ind w:right="790"/>
              <w:spacing w:after="0" w:line="155" w:lineRule="exact"/>
              <w:rPr>
                <w:sz w:val="20"/>
                <w:szCs w:val="20"/>
                <w:color w:val="auto"/>
              </w:rPr>
            </w:pPr>
            <w:r>
              <w:rPr>
                <w:rFonts w:ascii="Arial" w:cs="Arial" w:eastAsia="Arial" w:hAnsi="Arial"/>
                <w:sz w:val="14"/>
                <w:szCs w:val="14"/>
                <w:b w:val="1"/>
                <w:bCs w:val="1"/>
                <w:color w:val="auto"/>
              </w:rPr>
              <w:t>2013</w:t>
            </w:r>
          </w:p>
        </w:tc>
        <w:tc>
          <w:tcPr>
            <w:tcW w:w="2140" w:type="dxa"/>
            <w:vAlign w:val="bottom"/>
            <w:tcBorders>
              <w:top w:val="single" w:sz="8" w:color="auto"/>
            </w:tcBorders>
            <w:gridSpan w:val="2"/>
          </w:tcPr>
          <w:p>
            <w:pPr>
              <w:jc w:val="right"/>
              <w:ind w:right="730"/>
              <w:spacing w:after="0" w:line="155" w:lineRule="exact"/>
              <w:rPr>
                <w:sz w:val="20"/>
                <w:szCs w:val="20"/>
                <w:color w:val="auto"/>
              </w:rPr>
            </w:pPr>
            <w:r>
              <w:rPr>
                <w:rFonts w:ascii="Arial" w:cs="Arial" w:eastAsia="Arial" w:hAnsi="Arial"/>
                <w:sz w:val="14"/>
                <w:szCs w:val="14"/>
                <w:b w:val="1"/>
                <w:bCs w:val="1"/>
                <w:color w:val="auto"/>
              </w:rPr>
              <w:t>2012</w:t>
            </w:r>
          </w:p>
        </w:tc>
      </w:tr>
      <w:tr>
        <w:trPr>
          <w:trHeight w:val="210"/>
        </w:trPr>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4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(b)</w:t>
            </w:r>
          </w:p>
        </w:tc>
      </w:tr>
      <w:tr>
        <w:trPr>
          <w:trHeight w:val="20"/>
        </w:trPr>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December 2014 we redeemed the remaining outstanding shares of our Series A Fixed Rate Cumulative Perpetual Preferred Stock, and no shares of preferred stock were outstanding during the years ended December 31, 2016 and 2015.</w:t>
      </w:r>
    </w:p>
    <w:p>
      <w:pPr>
        <w:spacing w:after="0" w:line="197" w:lineRule="exact"/>
        <w:rPr>
          <w:rFonts w:ascii="Arial" w:cs="Arial" w:eastAsia="Arial" w:hAnsi="Arial"/>
          <w:sz w:val="18"/>
          <w:szCs w:val="18"/>
          <w:color w:val="auto"/>
        </w:rPr>
      </w:pPr>
    </w:p>
    <w:p>
      <w:pPr>
        <w:ind w:left="460" w:right="8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Earnings in the year ended December 31, 2012 were inadequate to cover combined fixed charges and preferred stock dividends. Additional earnings of $29.7 billion in the year ended December 31, 2012 would have been necessary to bring the ratio for this period to 1.0.</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79" w:lineRule="exact"/>
        <w:rPr>
          <w:sz w:val="20"/>
          <w:szCs w:val="20"/>
          <w:color w:val="auto"/>
        </w:rPr>
      </w:pPr>
    </w:p>
    <w:p>
      <w:pPr>
        <w:ind w:right="60" w:firstLine="799"/>
        <w:spacing w:after="0" w:line="273" w:lineRule="auto"/>
        <w:rPr>
          <w:sz w:val="20"/>
          <w:szCs w:val="20"/>
          <w:color w:val="auto"/>
        </w:rPr>
      </w:pPr>
      <w:r>
        <w:rPr>
          <w:rFonts w:ascii="Arial" w:cs="Arial" w:eastAsia="Arial" w:hAnsi="Arial"/>
          <w:sz w:val="17"/>
          <w:szCs w:val="17"/>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78" w:lineRule="exact"/>
        <w:rPr>
          <w:sz w:val="20"/>
          <w:szCs w:val="20"/>
          <w:color w:val="auto"/>
        </w:rPr>
      </w:pPr>
    </w:p>
    <w:p>
      <w:pPr>
        <w:ind w:right="40" w:firstLine="799"/>
        <w:spacing w:after="0" w:line="273" w:lineRule="auto"/>
        <w:rPr>
          <w:sz w:val="20"/>
          <w:szCs w:val="20"/>
          <w:color w:val="auto"/>
        </w:rPr>
      </w:pPr>
      <w:r>
        <w:rPr>
          <w:rFonts w:ascii="Arial" w:cs="Arial" w:eastAsia="Arial" w:hAnsi="Arial"/>
          <w:sz w:val="17"/>
          <w:szCs w:val="17"/>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 OF OUR CAPITAL STOCK</w:t>
      </w:r>
    </w:p>
    <w:p>
      <w:pPr>
        <w:spacing w:after="0" w:line="121" w:lineRule="exact"/>
        <w:rPr>
          <w:sz w:val="20"/>
          <w:szCs w:val="20"/>
          <w:color w:val="auto"/>
        </w:rPr>
      </w:pPr>
    </w:p>
    <w:p>
      <w:pPr>
        <w:ind w:right="100" w:firstLine="799"/>
        <w:spacing w:after="0" w:line="286" w:lineRule="auto"/>
        <w:rPr>
          <w:sz w:val="20"/>
          <w:szCs w:val="20"/>
          <w:color w:val="auto"/>
        </w:rPr>
      </w:pPr>
      <w:r>
        <w:rPr>
          <w:rFonts w:ascii="Arial" w:cs="Arial" w:eastAsia="Arial" w:hAnsi="Arial"/>
          <w:sz w:val="17"/>
          <w:szCs w:val="17"/>
          <w:color w:val="auto"/>
        </w:rPr>
        <w:t>The following description of the material provisions of our capital stock is based upon our certificate of incorporation, as amended (Certificate of Incorporation), our bylaws, as amended (Bylaws), the warrant agreement for our outstanding warrants and applicable provisions of law, in each case as currently in effect as of the date of this prospectus, and is qualified in its entirety by reference to the provisions of those documents.</w:t>
      </w:r>
    </w:p>
    <w:p>
      <w:pPr>
        <w:spacing w:after="0" w:line="57" w:lineRule="exact"/>
        <w:rPr>
          <w:sz w:val="20"/>
          <w:szCs w:val="20"/>
          <w:color w:val="auto"/>
        </w:rPr>
      </w:pPr>
    </w:p>
    <w:p>
      <w:pPr>
        <w:ind w:right="600" w:firstLine="799"/>
        <w:spacing w:after="0" w:line="264"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380" w:firstLine="799"/>
        <w:spacing w:after="0" w:line="277" w:lineRule="auto"/>
        <w:rPr>
          <w:sz w:val="20"/>
          <w:szCs w:val="20"/>
          <w:color w:val="auto"/>
        </w:rPr>
      </w:pPr>
      <w:r>
        <w:rPr>
          <w:rFonts w:ascii="Arial" w:cs="Arial" w:eastAsia="Arial" w:hAnsi="Arial"/>
          <w:sz w:val="18"/>
          <w:szCs w:val="18"/>
          <w:color w:val="auto"/>
        </w:rPr>
        <w:t>As of January 31, 2017, 1,497,964,557 shares of our common stock were issued and outstanding. The general terms of our common stock are described below within the section of this prospectus entitled “Description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40" w:firstLine="799"/>
        <w:spacing w:after="0" w:line="342" w:lineRule="auto"/>
        <w:rPr>
          <w:sz w:val="20"/>
          <w:szCs w:val="20"/>
          <w:color w:val="auto"/>
        </w:rPr>
      </w:pPr>
      <w:r>
        <w:rPr>
          <w:rFonts w:ascii="Arial" w:cs="Arial" w:eastAsia="Arial" w:hAnsi="Arial"/>
          <w:sz w:val="16"/>
          <w:szCs w:val="16"/>
          <w:color w:val="auto"/>
        </w:rPr>
        <w:t>During 2009, we issued 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16" w:lineRule="exact"/>
        <w:rPr>
          <w:sz w:val="20"/>
          <w:szCs w:val="20"/>
          <w:color w:val="auto"/>
        </w:rPr>
      </w:pPr>
    </w:p>
    <w:p>
      <w:pPr>
        <w:ind w:firstLine="799"/>
        <w:spacing w:after="0" w:line="308" w:lineRule="auto"/>
        <w:rPr>
          <w:sz w:val="20"/>
          <w:szCs w:val="20"/>
          <w:color w:val="auto"/>
        </w:rPr>
      </w:pPr>
      <w:r>
        <w:rPr>
          <w:rFonts w:ascii="Arial" w:cs="Arial" w:eastAsia="Arial" w:hAnsi="Arial"/>
          <w:sz w:val="17"/>
          <w:szCs w:val="17"/>
          <w:color w:val="auto"/>
        </w:rPr>
        <w:t>As of January 31, 2017, there were a total of 41,873,696 of such warrants outstanding. The number of the warrants and the per share exercise price thereof are subject to adjustment as a result of certain events, including stock splits, reverse stock splits and stock dividends.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117"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92" w:lineRule="exact"/>
        <w:rPr>
          <w:sz w:val="20"/>
          <w:szCs w:val="20"/>
          <w:color w:val="auto"/>
        </w:rPr>
      </w:pPr>
    </w:p>
    <w:p>
      <w:pPr>
        <w:ind w:left="1120" w:hanging="20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117"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117" w:lineRule="exact"/>
        <w:rPr>
          <w:sz w:val="20"/>
          <w:szCs w:val="20"/>
          <w:color w:val="auto"/>
        </w:rPr>
      </w:pPr>
    </w:p>
    <w:p>
      <w:pPr>
        <w:ind w:right="200" w:firstLine="799"/>
        <w:spacing w:after="0" w:line="279" w:lineRule="auto"/>
        <w:rPr>
          <w:sz w:val="20"/>
          <w:szCs w:val="20"/>
          <w:color w:val="auto"/>
        </w:rPr>
      </w:pPr>
      <w:r>
        <w:rPr>
          <w:rFonts w:ascii="Arial" w:cs="Arial" w:eastAsia="Arial" w:hAnsi="Arial"/>
          <w:sz w:val="17"/>
          <w:szCs w:val="17"/>
          <w:color w:val="auto"/>
        </w:rPr>
        <w:t>Our Bylaws provide that any vacancy occurring in our board of directors (Board of Directors) for any reason may be filled by a majority of the remaining members of our Board of Directors then in office, even if they do not constitute a quorum. Each director so elected shall hold office for a term expiring at the same time as the terms of the directors serving at the time the director joins the Board of Directors. Each such director shall hold office until his or her successor is elected and qualified, unless the director dies, resigns or otherwise leaves the Board of Directors before then.</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right="220" w:firstLine="799"/>
        <w:spacing w:after="0" w:line="264"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in the aggregate, of the voting power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of the outstanding shares of all classes of shares entitled to vote at such a meeting, subject to requirements and limitations set forth in our Bylaws.</w:t>
      </w:r>
    </w:p>
    <w:p>
      <w:pPr>
        <w:spacing w:after="0" w:line="129" w:lineRule="exact"/>
        <w:rPr>
          <w:sz w:val="20"/>
          <w:szCs w:val="20"/>
          <w:color w:val="auto"/>
        </w:rPr>
      </w:pPr>
    </w:p>
    <w:p>
      <w:pPr>
        <w:ind w:right="620" w:firstLine="799"/>
        <w:spacing w:after="0" w:line="277"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117"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Under our Bylaws, nominations for the election of directors may be made by the Board of Directors in accordance with the stockholders agreement dated October 15, 2009 among us and the other parties thereto or by any stockholder entitled to vote for the election of directors who complies with the applicable notice and other requirements set forth in our Bylaws.</w:t>
      </w:r>
    </w:p>
    <w:p>
      <w:pPr>
        <w:spacing w:after="0" w:line="73"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Proxy Access Nominations</w:t>
      </w:r>
    </w:p>
    <w:p>
      <w:pPr>
        <w:spacing w:after="0" w:line="117" w:lineRule="exact"/>
        <w:rPr>
          <w:sz w:val="20"/>
          <w:szCs w:val="20"/>
          <w:color w:val="auto"/>
        </w:rPr>
      </w:pPr>
    </w:p>
    <w:p>
      <w:pPr>
        <w:ind w:right="120" w:firstLine="799"/>
        <w:spacing w:after="0" w:line="273" w:lineRule="auto"/>
        <w:rPr>
          <w:sz w:val="20"/>
          <w:szCs w:val="20"/>
          <w:color w:val="auto"/>
        </w:rPr>
      </w:pPr>
      <w:r>
        <w:rPr>
          <w:rFonts w:ascii="Arial" w:cs="Arial" w:eastAsia="Arial" w:hAnsi="Arial"/>
          <w:sz w:val="17"/>
          <w:szCs w:val="17"/>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shareholder that satisfies (or by a group of no more than 20 shareholders that satisfy) various notice and other requirements specified in our Bylaws. Among other requirements in our Bylaws, such shareholder or group of shareholders would need to provide evidence verifying that the shareholder or group owns, and has owned continuously for the preceding three years, at least 3% of the issued and outstanding voting shares of the Company. Our Bylaws contain limitations on the maximum number of nominees submitted by shareholders that we would be required to include in our proxy statement for an annual meeting.</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117" w:lineRule="exact"/>
        <w:rPr>
          <w:sz w:val="20"/>
          <w:szCs w:val="20"/>
          <w:color w:val="auto"/>
        </w:rPr>
      </w:pPr>
    </w:p>
    <w:p>
      <w:pPr>
        <w:ind w:right="380" w:firstLine="799"/>
        <w:spacing w:after="0" w:line="279" w:lineRule="auto"/>
        <w:rPr>
          <w:sz w:val="20"/>
          <w:szCs w:val="20"/>
          <w:color w:val="auto"/>
        </w:rPr>
      </w:pPr>
      <w:r>
        <w:rPr>
          <w:rFonts w:ascii="Arial" w:cs="Arial" w:eastAsia="Arial" w:hAnsi="Arial"/>
          <w:sz w:val="17"/>
          <w:szCs w:val="17"/>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jc w:val="both"/>
        <w:ind w:right="20" w:firstLine="799"/>
        <w:spacing w:after="0" w:line="264"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7" w:lineRule="exact"/>
        <w:rPr>
          <w:sz w:val="20"/>
          <w:szCs w:val="20"/>
          <w:color w:val="auto"/>
        </w:rPr>
      </w:pPr>
    </w:p>
    <w:p>
      <w:pPr>
        <w:ind w:left="1120" w:right="100" w:hanging="207"/>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75" w:lineRule="exact"/>
        <w:rPr>
          <w:rFonts w:ascii="Arial" w:cs="Arial" w:eastAsia="Arial" w:hAnsi="Arial"/>
          <w:sz w:val="18"/>
          <w:szCs w:val="18"/>
          <w:color w:val="auto"/>
        </w:rPr>
      </w:pPr>
    </w:p>
    <w:p>
      <w:pPr>
        <w:ind w:left="1120" w:right="40" w:hanging="207"/>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1120" w:right="100" w:hanging="207"/>
        <w:spacing w:after="0" w:line="342" w:lineRule="auto"/>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6"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73"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GENERAL DESCRIPTION OF SECURITIES THAT MAY BE OFFERED</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securities may be offered, at any time and from time to time, pursuant to this prospectus:</w:t>
      </w:r>
    </w:p>
    <w:p>
      <w:pPr>
        <w:spacing w:after="0" w:line="252" w:lineRule="exact"/>
        <w:rPr>
          <w:sz w:val="20"/>
          <w:szCs w:val="20"/>
          <w:color w:val="auto"/>
        </w:rPr>
      </w:pPr>
    </w:p>
    <w:p>
      <w:pPr>
        <w:ind w:left="1120" w:hanging="20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debt securities, in one or more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jc w:val="both"/>
        <w:ind w:right="120" w:firstLine="799"/>
        <w:spacing w:after="0" w:line="264" w:lineRule="auto"/>
        <w:rPr>
          <w:sz w:val="20"/>
          <w:szCs w:val="20"/>
          <w:color w:val="auto"/>
        </w:rPr>
      </w:pPr>
      <w:r>
        <w:rPr>
          <w:rFonts w:ascii="Arial" w:cs="Arial" w:eastAsia="Arial" w:hAnsi="Arial"/>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799"/>
        <w:spacing w:after="0" w:line="302" w:lineRule="auto"/>
        <w:rPr>
          <w:sz w:val="20"/>
          <w:szCs w:val="20"/>
          <w:color w:val="auto"/>
        </w:rPr>
      </w:pPr>
      <w:r>
        <w:rPr>
          <w:rFonts w:ascii="Arial" w:cs="Arial" w:eastAsia="Arial" w:hAnsi="Arial"/>
          <w:sz w:val="16"/>
          <w:szCs w:val="16"/>
          <w:color w:val="auto"/>
        </w:rPr>
        <w:t>The debt securities offered by this prospectus will be issued under an indenture dated as of September 27, 2013 between us and The Bank of New York Mellon, as trustee, a copy of which has been filed as an exhibit to the registration statement of which this prospectus is a part and which is incorporated by reference herein,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54"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73" w:lineRule="exact"/>
        <w:rPr>
          <w:sz w:val="20"/>
          <w:szCs w:val="20"/>
          <w:color w:val="auto"/>
        </w:rPr>
      </w:pPr>
    </w:p>
    <w:p>
      <w:pPr>
        <w:ind w:firstLine="799"/>
        <w:spacing w:after="0" w:line="312" w:lineRule="auto"/>
        <w:rPr>
          <w:sz w:val="20"/>
          <w:szCs w:val="20"/>
          <w:color w:val="auto"/>
        </w:rPr>
      </w:pPr>
      <w:r>
        <w:rPr>
          <w:rFonts w:ascii="Arial" w:cs="Arial" w:eastAsia="Arial" w:hAnsi="Arial"/>
          <w:sz w:val="16"/>
          <w:szCs w:val="16"/>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pacing w:after="0" w:line="121" w:lineRule="exact"/>
        <w:rPr>
          <w:sz w:val="20"/>
          <w:szCs w:val="20"/>
          <w:color w:val="auto"/>
        </w:rPr>
      </w:pPr>
    </w:p>
    <w:p>
      <w:pPr>
        <w:ind w:right="60" w:firstLine="799"/>
        <w:spacing w:after="0" w:line="257" w:lineRule="auto"/>
        <w:rPr>
          <w:sz w:val="20"/>
          <w:szCs w:val="20"/>
          <w:color w:val="auto"/>
        </w:rPr>
      </w:pPr>
      <w:r>
        <w:rPr>
          <w:rFonts w:ascii="Arial" w:cs="Arial" w:eastAsia="Arial" w:hAnsi="Arial"/>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8"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76" w:lineRule="exact"/>
        <w:rPr>
          <w:sz w:val="20"/>
          <w:szCs w:val="20"/>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debt securities of that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that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or any tranche thereof, is payable;</w:t>
      </w:r>
    </w:p>
    <w:p>
      <w:pPr>
        <w:spacing w:after="0" w:line="157"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or rates at which the debt securities of that series, or any tranche thereof,will bear interest, or any formula or other method or means by which such rate or rates shall be determined, by reference to an index or other fact or event or otherwise;</w:t>
      </w:r>
    </w:p>
    <w:p>
      <w:pPr>
        <w:spacing w:after="0" w:line="75" w:lineRule="exact"/>
        <w:rPr>
          <w:rFonts w:ascii="Arial" w:cs="Arial" w:eastAsia="Arial" w:hAnsi="Arial"/>
          <w:sz w:val="18"/>
          <w:szCs w:val="18"/>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and the dates on which such interest will be payable;</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right, if any, to extend the interest payment periods and the duration of any such extension;</w:t>
      </w:r>
    </w:p>
    <w:p>
      <w:pPr>
        <w:spacing w:after="0" w:line="130" w:lineRule="exact"/>
        <w:rPr>
          <w:rFonts w:ascii="Arial" w:cs="Arial" w:eastAsia="Arial" w:hAnsi="Arial"/>
          <w:sz w:val="18"/>
          <w:szCs w:val="18"/>
          <w:color w:val="auto"/>
        </w:rPr>
      </w:pPr>
    </w:p>
    <w:p>
      <w:pPr>
        <w:ind w:left="1120" w:right="18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75" w:lineRule="exact"/>
        <w:rPr>
          <w:rFonts w:ascii="Arial" w:cs="Arial" w:eastAsia="Arial" w:hAnsi="Arial"/>
          <w:sz w:val="18"/>
          <w:szCs w:val="18"/>
          <w:color w:val="auto"/>
        </w:rPr>
      </w:pPr>
    </w:p>
    <w:p>
      <w:pPr>
        <w:ind w:left="1120" w:right="140" w:hanging="207"/>
        <w:spacing w:after="0" w:line="312" w:lineRule="auto"/>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52" w:lineRule="exact"/>
        <w:rPr>
          <w:rFonts w:ascii="Arial" w:cs="Arial" w:eastAsia="Arial" w:hAnsi="Arial"/>
          <w:sz w:val="16"/>
          <w:szCs w:val="16"/>
          <w:color w:val="auto"/>
        </w:rPr>
      </w:pPr>
    </w:p>
    <w:p>
      <w:pPr>
        <w:ind w:left="1120" w:hanging="207"/>
        <w:spacing w:after="0"/>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terms, if any, on which the debt securities of that series will be subordinate in right and priority of payment to any of our other debt;</w:t>
      </w:r>
    </w:p>
    <w:p>
      <w:pPr>
        <w:spacing w:after="0" w:line="142" w:lineRule="exact"/>
        <w:rPr>
          <w:rFonts w:ascii="Arial" w:cs="Arial" w:eastAsia="Arial" w:hAnsi="Arial"/>
          <w:sz w:val="17"/>
          <w:szCs w:val="17"/>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denominations in which the debt securities of that series will be issuable;</w:t>
      </w:r>
    </w:p>
    <w:p>
      <w:pPr>
        <w:spacing w:after="0" w:line="130" w:lineRule="exact"/>
        <w:rPr>
          <w:rFonts w:ascii="Arial" w:cs="Arial" w:eastAsia="Arial" w:hAnsi="Arial"/>
          <w:sz w:val="18"/>
          <w:szCs w:val="18"/>
          <w:color w:val="auto"/>
        </w:rPr>
      </w:pPr>
    </w:p>
    <w:p>
      <w:pPr>
        <w:ind w:left="1120" w:right="44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75" w:lineRule="exact"/>
        <w:rPr>
          <w:rFonts w:ascii="Arial" w:cs="Arial" w:eastAsia="Arial" w:hAnsi="Arial"/>
          <w:sz w:val="18"/>
          <w:szCs w:val="18"/>
          <w:color w:val="auto"/>
        </w:rPr>
      </w:pPr>
    </w:p>
    <w:p>
      <w:pPr>
        <w:ind w:left="1120" w:right="24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principal of or any premium or interest on the debt securities of that series will be payable;</w:t>
      </w:r>
    </w:p>
    <w:p>
      <w:pPr>
        <w:spacing w:after="0" w:line="75" w:lineRule="exact"/>
        <w:rPr>
          <w:rFonts w:ascii="Arial" w:cs="Arial" w:eastAsia="Arial" w:hAnsi="Arial"/>
          <w:sz w:val="18"/>
          <w:szCs w:val="18"/>
          <w:color w:val="auto"/>
        </w:rPr>
      </w:pPr>
    </w:p>
    <w:p>
      <w:pPr>
        <w:ind w:left="1120" w:right="120" w:hanging="207"/>
        <w:spacing w:after="0" w:line="259"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120" w:right="34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apply to, and covenants for the benefit of the holders of, the debt securities of that series;</w:t>
      </w:r>
    </w:p>
    <w:p>
      <w:pPr>
        <w:spacing w:after="0" w:line="75" w:lineRule="exact"/>
        <w:rPr>
          <w:rFonts w:ascii="Arial" w:cs="Arial" w:eastAsia="Arial" w:hAnsi="Arial"/>
          <w:sz w:val="18"/>
          <w:szCs w:val="18"/>
          <w:color w:val="auto"/>
        </w:rPr>
      </w:pPr>
    </w:p>
    <w:p>
      <w:pPr>
        <w:ind w:left="1120" w:right="10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of that series may be converted into or exchanged for securities or other property of us or any other person;</w:t>
      </w:r>
    </w:p>
    <w:p>
      <w:pPr>
        <w:spacing w:after="0" w:line="75" w:lineRule="exact"/>
        <w:rPr>
          <w:rFonts w:ascii="Arial" w:cs="Arial" w:eastAsia="Arial" w:hAnsi="Arial"/>
          <w:sz w:val="18"/>
          <w:szCs w:val="18"/>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nature and terms of any collateral security, assurance or guaranty for the debt securities of that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guaranteed by any of our subsidiaries; and</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that series.</w:t>
      </w:r>
    </w:p>
    <w:p>
      <w:pPr>
        <w:spacing w:after="0" w:line="117" w:lineRule="exact"/>
        <w:rPr>
          <w:sz w:val="20"/>
          <w:szCs w:val="20"/>
          <w:color w:val="auto"/>
        </w:rPr>
      </w:pPr>
    </w:p>
    <w:p>
      <w:pPr>
        <w:ind w:right="220" w:firstLine="799"/>
        <w:spacing w:after="0" w:line="308" w:lineRule="auto"/>
        <w:rPr>
          <w:sz w:val="20"/>
          <w:szCs w:val="20"/>
          <w:color w:val="auto"/>
        </w:rPr>
      </w:pPr>
      <w:r>
        <w:rPr>
          <w:rFonts w:ascii="Arial" w:cs="Arial" w:eastAsia="Arial" w:hAnsi="Arial"/>
          <w:sz w:val="17"/>
          <w:szCs w:val="17"/>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will describe any restrictive covenants for any series of debt securities in the applicable prospectus supplement for such debt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121"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We may terminate our obligations with respect to the debt securities of any series under the indenture (with the exception of specified provisions as provided in the indenture), when: (i) either:</w:t>
      </w:r>
    </w:p>
    <w:p>
      <w:pPr>
        <w:spacing w:after="0" w:line="76" w:lineRule="exact"/>
        <w:rPr>
          <w:sz w:val="20"/>
          <w:szCs w:val="20"/>
          <w:color w:val="auto"/>
        </w:rPr>
      </w:pPr>
    </w:p>
    <w:p>
      <w:pPr>
        <w:ind w:left="1120" w:hanging="20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or</w:t>
      </w:r>
    </w:p>
    <w:p>
      <w:pPr>
        <w:spacing w:after="0" w:line="127" w:lineRule="exact"/>
        <w:rPr>
          <w:rFonts w:ascii="Arial" w:cs="Arial" w:eastAsia="Arial" w:hAnsi="Arial"/>
          <w:sz w:val="18"/>
          <w:szCs w:val="18"/>
          <w:color w:val="auto"/>
        </w:rPr>
      </w:pPr>
    </w:p>
    <w:p>
      <w:pPr>
        <w:ind w:left="1120" w:right="180" w:hanging="207"/>
        <w:spacing w:after="0" w:line="274" w:lineRule="auto"/>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debt securities of such series not previously delivered to the trustee for cancellation (i) have become due and payable (whether at stated maturity, early redemption or otherwise), (ii) will become due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480"/>
        <w:spacing w:after="0" w:line="290" w:lineRule="auto"/>
        <w:rPr>
          <w:sz w:val="20"/>
          <w:szCs w:val="20"/>
          <w:color w:val="auto"/>
        </w:rPr>
      </w:pPr>
      <w:r>
        <w:rPr>
          <w:rFonts w:ascii="Arial" w:cs="Arial" w:eastAsia="Arial" w:hAnsi="Arial"/>
          <w:sz w:val="15"/>
          <w:szCs w:val="15"/>
          <w:color w:val="auto"/>
        </w:rPr>
        <w:t>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 and</w:t>
      </w:r>
    </w:p>
    <w:p>
      <w:pPr>
        <w:spacing w:after="0" w:line="78" w:lineRule="exact"/>
        <w:rPr>
          <w:sz w:val="20"/>
          <w:szCs w:val="20"/>
          <w:color w:val="auto"/>
        </w:rPr>
      </w:pPr>
    </w:p>
    <w:p>
      <w:pPr>
        <w:ind w:left="1480" w:hanging="675"/>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130" w:lineRule="exact"/>
        <w:rPr>
          <w:rFonts w:ascii="Arial" w:cs="Arial" w:eastAsia="Arial" w:hAnsi="Arial"/>
          <w:sz w:val="18"/>
          <w:szCs w:val="18"/>
          <w:color w:val="auto"/>
        </w:rPr>
      </w:pPr>
    </w:p>
    <w:p>
      <w:pPr>
        <w:ind w:left="1480" w:right="340" w:hanging="675"/>
        <w:spacing w:after="0" w:line="342" w:lineRule="auto"/>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6"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92" w:lineRule="exact"/>
        <w:rPr>
          <w:sz w:val="20"/>
          <w:szCs w:val="20"/>
          <w:color w:val="auto"/>
        </w:rPr>
      </w:pPr>
    </w:p>
    <w:p>
      <w:pPr>
        <w:ind w:left="1480" w:right="460" w:hanging="675"/>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of holders of the debt securities of such series to receive, solely from the funds deposited with the trustee, payment of the principal of (and premium, if any) and interest when due;</w:t>
      </w:r>
    </w:p>
    <w:p>
      <w:pPr>
        <w:spacing w:after="0" w:line="75" w:lineRule="exact"/>
        <w:rPr>
          <w:rFonts w:ascii="Arial" w:cs="Arial" w:eastAsia="Arial" w:hAnsi="Arial"/>
          <w:sz w:val="18"/>
          <w:szCs w:val="18"/>
          <w:color w:val="auto"/>
        </w:rPr>
      </w:pPr>
    </w:p>
    <w:p>
      <w:pPr>
        <w:ind w:left="1480" w:right="60" w:hanging="675"/>
        <w:spacing w:after="0" w:line="259"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92" w:lineRule="exact"/>
        <w:rPr>
          <w:rFonts w:ascii="Arial" w:cs="Arial" w:eastAsia="Arial" w:hAnsi="Arial"/>
          <w:sz w:val="18"/>
          <w:szCs w:val="18"/>
          <w:color w:val="auto"/>
        </w:rPr>
      </w:pPr>
    </w:p>
    <w:p>
      <w:pPr>
        <w:ind w:left="1480" w:hanging="675"/>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130" w:lineRule="exact"/>
        <w:rPr>
          <w:rFonts w:ascii="Arial" w:cs="Arial" w:eastAsia="Arial" w:hAnsi="Arial"/>
          <w:sz w:val="18"/>
          <w:szCs w:val="18"/>
          <w:color w:val="auto"/>
        </w:rPr>
      </w:pPr>
    </w:p>
    <w:p>
      <w:pPr>
        <w:ind w:left="1480" w:hanging="675"/>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17" w:lineRule="exact"/>
        <w:rPr>
          <w:sz w:val="20"/>
          <w:szCs w:val="20"/>
          <w:color w:val="auto"/>
        </w:rPr>
      </w:pPr>
    </w:p>
    <w:p>
      <w:pPr>
        <w:jc w:val="both"/>
        <w:ind w:right="20" w:firstLine="799"/>
        <w:spacing w:after="0" w:line="286" w:lineRule="auto"/>
        <w:rPr>
          <w:sz w:val="20"/>
          <w:szCs w:val="20"/>
          <w:color w:val="auto"/>
        </w:rPr>
      </w:pPr>
      <w:r>
        <w:rPr>
          <w:rFonts w:ascii="Arial" w:cs="Arial" w:eastAsia="Arial" w:hAnsi="Arial"/>
          <w:sz w:val="17"/>
          <w:szCs w:val="17"/>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480" w:right="340" w:hanging="675"/>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75" w:lineRule="exact"/>
        <w:rPr>
          <w:rFonts w:ascii="Arial" w:cs="Arial" w:eastAsia="Arial" w:hAnsi="Arial"/>
          <w:sz w:val="18"/>
          <w:szCs w:val="18"/>
          <w:color w:val="auto"/>
        </w:rPr>
      </w:pPr>
    </w:p>
    <w:p>
      <w:pPr>
        <w:ind w:left="1920" w:right="640" w:hanging="210"/>
        <w:spacing w:after="0" w:line="277"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cash in dollars (or such other currency or composite currency in which such debt securities are denominated) in an amount sufficient;</w:t>
      </w:r>
    </w:p>
    <w:p>
      <w:pPr>
        <w:spacing w:after="0" w:line="75" w:lineRule="exact"/>
        <w:rPr>
          <w:rFonts w:ascii="Arial" w:cs="Arial" w:eastAsia="Arial" w:hAnsi="Arial"/>
          <w:sz w:val="18"/>
          <w:szCs w:val="18"/>
          <w:color w:val="auto"/>
        </w:rPr>
      </w:pPr>
    </w:p>
    <w:p>
      <w:pPr>
        <w:ind w:left="1920" w:right="440" w:hanging="210"/>
        <w:spacing w:after="0" w:line="277"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75" w:lineRule="exact"/>
        <w:rPr>
          <w:rFonts w:ascii="Arial" w:cs="Arial" w:eastAsia="Arial" w:hAnsi="Arial"/>
          <w:sz w:val="18"/>
          <w:szCs w:val="18"/>
          <w:color w:val="auto"/>
        </w:rPr>
      </w:pPr>
    </w:p>
    <w:p>
      <w:pPr>
        <w:ind w:left="1920" w:hanging="210"/>
        <w:spacing w:after="0"/>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combination of such cash and eligible obligations in an amount sufficient,</w:t>
      </w:r>
    </w:p>
    <w:p>
      <w:pPr>
        <w:spacing w:after="0" w:line="117" w:lineRule="exact"/>
        <w:rPr>
          <w:sz w:val="20"/>
          <w:szCs w:val="20"/>
          <w:color w:val="auto"/>
        </w:rPr>
      </w:pPr>
    </w:p>
    <w:p>
      <w:pPr>
        <w:ind w:left="1940" w:right="660"/>
        <w:spacing w:after="0" w:line="277" w:lineRule="auto"/>
        <w:rPr>
          <w:sz w:val="20"/>
          <w:szCs w:val="20"/>
          <w:color w:val="auto"/>
        </w:rPr>
      </w:pPr>
      <w:r>
        <w:rPr>
          <w:rFonts w:ascii="Arial" w:cs="Arial" w:eastAsia="Arial" w:hAnsi="Arial"/>
          <w:sz w:val="18"/>
          <w:szCs w:val="18"/>
          <w:color w:val="auto"/>
        </w:rPr>
        <w:t>in each case, in the written opinion of a nationally recognized firm of independent certified public accountants, to pay and discharge (1) the principal of (and premium, if any) and interest on such debt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80" w:right="40"/>
        <w:spacing w:after="0" w:line="274" w:lineRule="auto"/>
        <w:rPr>
          <w:sz w:val="20"/>
          <w:szCs w:val="20"/>
          <w:color w:val="auto"/>
        </w:rPr>
      </w:pPr>
      <w:r>
        <w:rPr>
          <w:rFonts w:ascii="Arial" w:cs="Arial" w:eastAsia="Arial" w:hAnsi="Arial"/>
          <w:sz w:val="17"/>
          <w:szCs w:val="17"/>
          <w:color w:val="auto"/>
        </w:rPr>
        <w:t>securities of such series at the stated maturity or redemption date and (2) any mandatory sinking fund payments applicable to the debt securities of such series on the day on which such payments are due and payable;</w:t>
      </w:r>
    </w:p>
    <w:p>
      <w:pPr>
        <w:spacing w:after="0" w:line="80" w:lineRule="exact"/>
        <w:rPr>
          <w:sz w:val="20"/>
          <w:szCs w:val="20"/>
          <w:color w:val="auto"/>
        </w:rPr>
      </w:pPr>
    </w:p>
    <w:p>
      <w:pPr>
        <w:ind w:left="1380" w:right="40" w:hanging="575"/>
        <w:spacing w:after="0" w:line="257"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94" w:lineRule="exact"/>
        <w:rPr>
          <w:rFonts w:ascii="Arial" w:cs="Arial" w:eastAsia="Arial" w:hAnsi="Arial"/>
          <w:sz w:val="17"/>
          <w:szCs w:val="17"/>
          <w:color w:val="auto"/>
        </w:rPr>
      </w:pPr>
    </w:p>
    <w:p>
      <w:pPr>
        <w:jc w:val="both"/>
        <w:ind w:left="1380" w:right="280" w:hanging="575"/>
        <w:spacing w:after="0" w:line="312" w:lineRule="auto"/>
        <w:tabs>
          <w:tab w:leader="none" w:pos="1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56" w:lineRule="exact"/>
        <w:rPr>
          <w:rFonts w:ascii="Arial" w:cs="Arial" w:eastAsia="Arial" w:hAnsi="Arial"/>
          <w:sz w:val="15"/>
          <w:szCs w:val="15"/>
          <w:color w:val="auto"/>
        </w:rPr>
      </w:pPr>
    </w:p>
    <w:p>
      <w:pPr>
        <w:ind w:left="1380" w:right="360" w:hanging="575"/>
        <w:spacing w:after="0" w:line="274"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legal defeasance or covenant defeasance will not result in a breach or violation of, or constitute a default under, any material agreement or instrument to which we are a party or by which we are bound;</w:t>
      </w:r>
    </w:p>
    <w:p>
      <w:pPr>
        <w:spacing w:after="0" w:line="80" w:lineRule="exact"/>
        <w:rPr>
          <w:rFonts w:ascii="Arial" w:cs="Arial" w:eastAsia="Arial" w:hAnsi="Arial"/>
          <w:sz w:val="17"/>
          <w:szCs w:val="17"/>
          <w:color w:val="auto"/>
        </w:rPr>
      </w:pPr>
    </w:p>
    <w:p>
      <w:pPr>
        <w:jc w:val="both"/>
        <w:ind w:left="1380" w:hanging="575"/>
        <w:spacing w:after="0" w:line="261"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91" w:lineRule="exact"/>
        <w:rPr>
          <w:rFonts w:ascii="Arial" w:cs="Arial" w:eastAsia="Arial" w:hAnsi="Arial"/>
          <w:sz w:val="17"/>
          <w:szCs w:val="17"/>
          <w:color w:val="auto"/>
        </w:rPr>
      </w:pPr>
    </w:p>
    <w:p>
      <w:pPr>
        <w:ind w:left="1380" w:right="480" w:hanging="575"/>
        <w:spacing w:after="0" w:line="274"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shall have delivered to the trustee an agreement whereby we irrevocably agree to forfeit our rights, if any, to extend the interest payment periods on such debt securities pursuant to the indenture;</w:t>
      </w:r>
    </w:p>
    <w:p>
      <w:pPr>
        <w:spacing w:after="0" w:line="80" w:lineRule="exact"/>
        <w:rPr>
          <w:rFonts w:ascii="Arial" w:cs="Arial" w:eastAsia="Arial" w:hAnsi="Arial"/>
          <w:sz w:val="17"/>
          <w:szCs w:val="17"/>
          <w:color w:val="auto"/>
        </w:rPr>
      </w:pPr>
    </w:p>
    <w:p>
      <w:pPr>
        <w:ind w:left="1380" w:right="120" w:hanging="575"/>
        <w:spacing w:after="0" w:line="285" w:lineRule="auto"/>
        <w:tabs>
          <w:tab w:leader="none" w:pos="1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73" w:lineRule="exact"/>
        <w:rPr>
          <w:rFonts w:ascii="Arial" w:cs="Arial" w:eastAsia="Arial" w:hAnsi="Arial"/>
          <w:sz w:val="16"/>
          <w:szCs w:val="16"/>
          <w:color w:val="auto"/>
        </w:rPr>
      </w:pPr>
    </w:p>
    <w:p>
      <w:pPr>
        <w:ind w:left="1380" w:right="380" w:hanging="575"/>
        <w:spacing w:after="0" w:line="274"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with respect to the legal defeasance or covenant defeasance have been complied with; and</w:t>
      </w:r>
    </w:p>
    <w:p>
      <w:pPr>
        <w:spacing w:after="0" w:line="80" w:lineRule="exact"/>
        <w:rPr>
          <w:rFonts w:ascii="Arial" w:cs="Arial" w:eastAsia="Arial" w:hAnsi="Arial"/>
          <w:sz w:val="17"/>
          <w:szCs w:val="17"/>
          <w:color w:val="auto"/>
        </w:rPr>
      </w:pPr>
    </w:p>
    <w:p>
      <w:pPr>
        <w:ind w:left="1380" w:hanging="575"/>
        <w:spacing w:after="0" w:line="255"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Consolidation, Merger or Sale of Assets</w:t>
      </w:r>
    </w:p>
    <w:p>
      <w:pPr>
        <w:spacing w:after="0" w:line="121" w:lineRule="exact"/>
        <w:rPr>
          <w:sz w:val="20"/>
          <w:szCs w:val="20"/>
          <w:color w:val="auto"/>
        </w:rPr>
      </w:pPr>
    </w:p>
    <w:p>
      <w:pPr>
        <w:ind w:right="300" w:firstLine="799"/>
        <w:spacing w:after="0" w:line="274" w:lineRule="auto"/>
        <w:rPr>
          <w:sz w:val="20"/>
          <w:szCs w:val="20"/>
          <w:color w:val="auto"/>
        </w:rPr>
      </w:pPr>
      <w:r>
        <w:rPr>
          <w:rFonts w:ascii="Arial" w:cs="Arial" w:eastAsia="Arial" w:hAnsi="Arial"/>
          <w:sz w:val="17"/>
          <w:szCs w:val="17"/>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80" w:lineRule="exact"/>
        <w:rPr>
          <w:sz w:val="20"/>
          <w:szCs w:val="20"/>
          <w:color w:val="auto"/>
        </w:rPr>
      </w:pPr>
    </w:p>
    <w:p>
      <w:pPr>
        <w:ind w:left="1380" w:right="20" w:hanging="575"/>
        <w:spacing w:after="0" w:line="255" w:lineRule="auto"/>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95" w:lineRule="exact"/>
        <w:rPr>
          <w:rFonts w:ascii="Arial" w:cs="Arial" w:eastAsia="Arial" w:hAnsi="Arial"/>
          <w:sz w:val="17"/>
          <w:szCs w:val="17"/>
          <w:color w:val="auto"/>
        </w:rPr>
      </w:pPr>
    </w:p>
    <w:p>
      <w:pPr>
        <w:ind w:left="1380" w:right="220" w:hanging="575"/>
        <w:spacing w:after="0" w:line="274" w:lineRule="auto"/>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event of default and no event that, after notice or lapse of time or both, would become an event of default, shall have occurred and be continuing;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80" w:right="100" w:hanging="575"/>
        <w:spacing w:after="0" w:line="261" w:lineRule="auto"/>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86" w:lineRule="exact"/>
        <w:rPr>
          <w:sz w:val="20"/>
          <w:szCs w:val="20"/>
          <w:color w:val="auto"/>
        </w:rPr>
      </w:pPr>
    </w:p>
    <w:p>
      <w:pPr>
        <w:ind w:right="240" w:firstLine="799"/>
        <w:spacing w:after="0" w:line="261" w:lineRule="auto"/>
        <w:rPr>
          <w:sz w:val="20"/>
          <w:szCs w:val="20"/>
          <w:color w:val="auto"/>
        </w:rPr>
      </w:pPr>
      <w:r>
        <w:rPr>
          <w:rFonts w:ascii="Arial" w:cs="Arial" w:eastAsia="Arial" w:hAnsi="Arial"/>
          <w:sz w:val="17"/>
          <w:szCs w:val="17"/>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Modification of the Indenture</w:t>
      </w:r>
    </w:p>
    <w:p>
      <w:pPr>
        <w:spacing w:after="0" w:line="121" w:lineRule="exact"/>
        <w:rPr>
          <w:sz w:val="20"/>
          <w:szCs w:val="20"/>
          <w:color w:val="auto"/>
        </w:rPr>
      </w:pPr>
    </w:p>
    <w:p>
      <w:pPr>
        <w:ind w:firstLine="799"/>
        <w:spacing w:after="0" w:line="290" w:lineRule="auto"/>
        <w:rPr>
          <w:sz w:val="20"/>
          <w:szCs w:val="20"/>
          <w:color w:val="auto"/>
        </w:rPr>
      </w:pPr>
      <w:r>
        <w:rPr>
          <w:rFonts w:ascii="Arial" w:cs="Arial" w:eastAsia="Arial" w:hAnsi="Arial"/>
          <w:sz w:val="15"/>
          <w:szCs w:val="15"/>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without the consent of the holder of each outstanding debt security so affected, no such supplemental indenture may:</w:t>
      </w:r>
    </w:p>
    <w:p>
      <w:pPr>
        <w:spacing w:after="0" w:line="75" w:lineRule="exact"/>
        <w:rPr>
          <w:sz w:val="20"/>
          <w:szCs w:val="20"/>
          <w:color w:val="auto"/>
        </w:rPr>
      </w:pPr>
    </w:p>
    <w:p>
      <w:pPr>
        <w:ind w:left="1380" w:hanging="575"/>
        <w:spacing w:after="0" w:line="271" w:lineRule="auto"/>
        <w:tabs>
          <w:tab w:leader="none" w:pos="1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w:t>
      </w:r>
    </w:p>
    <w:p>
      <w:pPr>
        <w:spacing w:after="0" w:line="85" w:lineRule="exact"/>
        <w:rPr>
          <w:rFonts w:ascii="Arial" w:cs="Arial" w:eastAsia="Arial" w:hAnsi="Arial"/>
          <w:sz w:val="16"/>
          <w:szCs w:val="16"/>
          <w:color w:val="auto"/>
        </w:rPr>
      </w:pPr>
    </w:p>
    <w:p>
      <w:pPr>
        <w:ind w:left="1380" w:right="220" w:hanging="575"/>
        <w:spacing w:after="0" w:line="261"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91" w:lineRule="exact"/>
        <w:rPr>
          <w:rFonts w:ascii="Arial" w:cs="Arial" w:eastAsia="Arial" w:hAnsi="Arial"/>
          <w:sz w:val="17"/>
          <w:szCs w:val="17"/>
          <w:color w:val="auto"/>
        </w:rPr>
      </w:pPr>
    </w:p>
    <w:p>
      <w:pPr>
        <w:jc w:val="both"/>
        <w:ind w:left="1380" w:right="140" w:hanging="575"/>
        <w:spacing w:after="0" w:line="261"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modify any of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 or</w:t>
      </w:r>
    </w:p>
    <w:p>
      <w:pPr>
        <w:spacing w:after="0" w:line="91" w:lineRule="exact"/>
        <w:rPr>
          <w:rFonts w:ascii="Arial" w:cs="Arial" w:eastAsia="Arial" w:hAnsi="Arial"/>
          <w:sz w:val="17"/>
          <w:szCs w:val="17"/>
          <w:color w:val="auto"/>
        </w:rPr>
      </w:pPr>
    </w:p>
    <w:p>
      <w:pPr>
        <w:ind w:left="1380" w:hanging="575"/>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modify any of the above provisions.</w:t>
      </w:r>
    </w:p>
    <w:p>
      <w:pPr>
        <w:spacing w:after="0" w:line="223" w:lineRule="exact"/>
        <w:rPr>
          <w:sz w:val="20"/>
          <w:szCs w:val="20"/>
          <w:color w:val="auto"/>
        </w:rPr>
      </w:pPr>
    </w:p>
    <w:p>
      <w:pPr>
        <w:ind w:right="480" w:firstLine="799"/>
        <w:spacing w:after="0" w:line="274" w:lineRule="auto"/>
        <w:rPr>
          <w:sz w:val="20"/>
          <w:szCs w:val="20"/>
          <w:color w:val="auto"/>
        </w:rPr>
      </w:pPr>
      <w:r>
        <w:rPr>
          <w:rFonts w:ascii="Arial" w:cs="Arial" w:eastAsia="Arial" w:hAnsi="Arial"/>
          <w:sz w:val="17"/>
          <w:szCs w:val="17"/>
          <w:color w:val="auto"/>
        </w:rPr>
        <w:t>The indenture contains provisions permitting us and the trustee to enter into supplemental indentures, without the consent of the holders of any debt securities, for any of the following purposes:</w:t>
      </w:r>
    </w:p>
    <w:p>
      <w:pPr>
        <w:spacing w:after="0" w:line="80" w:lineRule="exact"/>
        <w:rPr>
          <w:sz w:val="20"/>
          <w:szCs w:val="20"/>
          <w:color w:val="auto"/>
        </w:rPr>
      </w:pPr>
    </w:p>
    <w:p>
      <w:pPr>
        <w:ind w:left="1380" w:right="40" w:hanging="575"/>
        <w:spacing w:after="0" w:line="274" w:lineRule="auto"/>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evidence the succession of another person to us and the assumption by any such successor of the covenants applicable to us under the indenture and in the debt securities; or</w:t>
      </w:r>
    </w:p>
    <w:p>
      <w:pPr>
        <w:spacing w:after="0" w:line="80" w:lineRule="exact"/>
        <w:rPr>
          <w:rFonts w:ascii="Arial" w:cs="Arial" w:eastAsia="Arial" w:hAnsi="Arial"/>
          <w:sz w:val="17"/>
          <w:szCs w:val="17"/>
          <w:color w:val="auto"/>
        </w:rPr>
      </w:pPr>
    </w:p>
    <w:p>
      <w:pPr>
        <w:ind w:left="1380" w:right="420" w:hanging="575"/>
        <w:spacing w:after="0" w:line="274" w:lineRule="auto"/>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add to the covenants applicable to us for the benefit of the holders of all or any series of debt securities, or to surrender any right or power conferred upon us under the indenture; or</w:t>
      </w:r>
    </w:p>
    <w:p>
      <w:pPr>
        <w:spacing w:after="0" w:line="80" w:lineRule="exact"/>
        <w:rPr>
          <w:rFonts w:ascii="Arial" w:cs="Arial" w:eastAsia="Arial" w:hAnsi="Arial"/>
          <w:sz w:val="17"/>
          <w:szCs w:val="17"/>
          <w:color w:val="auto"/>
        </w:rPr>
      </w:pPr>
    </w:p>
    <w:p>
      <w:pPr>
        <w:ind w:left="1380" w:hanging="575"/>
        <w:spacing w:after="0"/>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add any additional events of default with respect to all or any series of debt securities; or</w:t>
      </w:r>
    </w:p>
    <w:p>
      <w:pPr>
        <w:spacing w:after="0" w:line="128" w:lineRule="exact"/>
        <w:rPr>
          <w:rFonts w:ascii="Arial" w:cs="Arial" w:eastAsia="Arial" w:hAnsi="Arial"/>
          <w:sz w:val="17"/>
          <w:szCs w:val="17"/>
          <w:color w:val="auto"/>
        </w:rPr>
      </w:pPr>
    </w:p>
    <w:p>
      <w:pPr>
        <w:ind w:left="1380" w:right="80" w:hanging="575"/>
        <w:spacing w:after="0" w:line="261" w:lineRule="auto"/>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80" w:right="60" w:hanging="575"/>
        <w:spacing w:after="0" w:line="302" w:lineRule="auto"/>
        <w:tabs>
          <w:tab w:leader="none" w:pos="1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to change or eliminate any of the provisions of the indenture, or to add any new provision to the indenture, in respect of one or more series of debt securities;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 or</w:t>
      </w:r>
    </w:p>
    <w:p>
      <w:pPr>
        <w:spacing w:after="0" w:line="185" w:lineRule="exact"/>
        <w:rPr>
          <w:rFonts w:ascii="Arial" w:cs="Arial" w:eastAsia="Arial" w:hAnsi="Arial"/>
          <w:sz w:val="15"/>
          <w:szCs w:val="15"/>
          <w:color w:val="auto"/>
        </w:rPr>
      </w:pPr>
    </w:p>
    <w:p>
      <w:pPr>
        <w:ind w:left="1380" w:right="420" w:hanging="575"/>
        <w:spacing w:after="0" w:line="274"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add collateral security with respect to the debt securities of any series and to provide for the terms and conditions of release or substitution thereof; or</w:t>
      </w:r>
    </w:p>
    <w:p>
      <w:pPr>
        <w:spacing w:after="0" w:line="201" w:lineRule="exact"/>
        <w:rPr>
          <w:rFonts w:ascii="Arial" w:cs="Arial" w:eastAsia="Arial" w:hAnsi="Arial"/>
          <w:sz w:val="17"/>
          <w:szCs w:val="17"/>
          <w:color w:val="auto"/>
        </w:rPr>
      </w:pPr>
    </w:p>
    <w:p>
      <w:pPr>
        <w:ind w:left="1380" w:right="580" w:hanging="575"/>
        <w:spacing w:after="0" w:line="274"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establish the issuance of and establish the form, terms and conditions of any additional debt securities of any series or tranche thereof as permitted by the indenture; or</w:t>
      </w:r>
    </w:p>
    <w:p>
      <w:pPr>
        <w:spacing w:after="0" w:line="201" w:lineRule="exact"/>
        <w:rPr>
          <w:rFonts w:ascii="Arial" w:cs="Arial" w:eastAsia="Arial" w:hAnsi="Arial"/>
          <w:sz w:val="17"/>
          <w:szCs w:val="17"/>
          <w:color w:val="auto"/>
        </w:rPr>
      </w:pPr>
    </w:p>
    <w:p>
      <w:pPr>
        <w:ind w:left="1380" w:hanging="575"/>
        <w:spacing w:after="0"/>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all, or any series or tranche of, certificated debt securities; or</w:t>
      </w:r>
    </w:p>
    <w:p>
      <w:pPr>
        <w:spacing w:after="0" w:line="250" w:lineRule="exact"/>
        <w:rPr>
          <w:rFonts w:ascii="Arial" w:cs="Arial" w:eastAsia="Arial" w:hAnsi="Arial"/>
          <w:sz w:val="17"/>
          <w:szCs w:val="17"/>
          <w:color w:val="auto"/>
        </w:rPr>
      </w:pPr>
    </w:p>
    <w:p>
      <w:pPr>
        <w:ind w:left="1380" w:right="20" w:hanging="575"/>
        <w:spacing w:after="0" w:line="261"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 or</w:t>
      </w:r>
    </w:p>
    <w:p>
      <w:pPr>
        <w:spacing w:after="0" w:line="213" w:lineRule="exact"/>
        <w:rPr>
          <w:rFonts w:ascii="Arial" w:cs="Arial" w:eastAsia="Arial" w:hAnsi="Arial"/>
          <w:sz w:val="17"/>
          <w:szCs w:val="17"/>
          <w:color w:val="auto"/>
        </w:rPr>
      </w:pPr>
    </w:p>
    <w:p>
      <w:pPr>
        <w:ind w:left="1380" w:hanging="575"/>
        <w:spacing w:after="0"/>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provide for a separate trustee or co-trustee; or</w:t>
      </w:r>
    </w:p>
    <w:p>
      <w:pPr>
        <w:spacing w:after="0" w:line="250" w:lineRule="exact"/>
        <w:rPr>
          <w:rFonts w:ascii="Arial" w:cs="Arial" w:eastAsia="Arial" w:hAnsi="Arial"/>
          <w:sz w:val="17"/>
          <w:szCs w:val="17"/>
          <w:color w:val="auto"/>
        </w:rPr>
      </w:pPr>
    </w:p>
    <w:p>
      <w:pPr>
        <w:ind w:left="1380" w:right="240" w:hanging="575"/>
        <w:spacing w:after="0" w:line="312" w:lineRule="auto"/>
        <w:tabs>
          <w:tab w:leader="none" w:pos="1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 or</w:t>
      </w:r>
    </w:p>
    <w:p>
      <w:pPr>
        <w:spacing w:after="0" w:line="178" w:lineRule="exact"/>
        <w:rPr>
          <w:rFonts w:ascii="Arial" w:cs="Arial" w:eastAsia="Arial" w:hAnsi="Arial"/>
          <w:sz w:val="15"/>
          <w:szCs w:val="15"/>
          <w:color w:val="auto"/>
        </w:rPr>
      </w:pPr>
    </w:p>
    <w:p>
      <w:pPr>
        <w:ind w:left="1380" w:right="40" w:hanging="575"/>
        <w:spacing w:after="0" w:line="312" w:lineRule="auto"/>
        <w:tabs>
          <w:tab w:leader="none" w:pos="1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action shall not adversely affect the interests of the holders of debt securities of such series or tranche or any other series of debt securities in any material respect; or</w:t>
      </w:r>
    </w:p>
    <w:p>
      <w:pPr>
        <w:spacing w:after="0" w:line="178" w:lineRule="exact"/>
        <w:rPr>
          <w:rFonts w:ascii="Arial" w:cs="Arial" w:eastAsia="Arial" w:hAnsi="Arial"/>
          <w:sz w:val="15"/>
          <w:szCs w:val="15"/>
          <w:color w:val="auto"/>
        </w:rPr>
      </w:pPr>
    </w:p>
    <w:p>
      <w:pPr>
        <w:ind w:left="1380" w:right="460" w:hanging="575"/>
        <w:spacing w:after="0" w:line="342" w:lineRule="auto"/>
        <w:tabs>
          <w:tab w:leader="none" w:pos="1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 or</w:t>
      </w:r>
    </w:p>
    <w:p>
      <w:pPr>
        <w:spacing w:after="0" w:line="156" w:lineRule="exact"/>
        <w:rPr>
          <w:rFonts w:ascii="Arial" w:cs="Arial" w:eastAsia="Arial" w:hAnsi="Arial"/>
          <w:sz w:val="15"/>
          <w:szCs w:val="15"/>
          <w:color w:val="auto"/>
        </w:rPr>
      </w:pPr>
    </w:p>
    <w:p>
      <w:pPr>
        <w:ind w:left="1380" w:right="60" w:hanging="575"/>
        <w:spacing w:after="0" w:line="274"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201" w:lineRule="exact"/>
        <w:rPr>
          <w:rFonts w:ascii="Arial" w:cs="Arial" w:eastAsia="Arial" w:hAnsi="Arial"/>
          <w:sz w:val="17"/>
          <w:szCs w:val="17"/>
          <w:color w:val="auto"/>
        </w:rPr>
      </w:pPr>
    </w:p>
    <w:p>
      <w:pPr>
        <w:jc w:val="both"/>
        <w:ind w:left="1380" w:right="320" w:hanging="575"/>
        <w:spacing w:after="0" w:line="261"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to make any other provisions with respect to matters or questions arising under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186" w:lineRule="exact"/>
        <w:rPr>
          <w:sz w:val="20"/>
          <w:szCs w:val="20"/>
          <w:color w:val="auto"/>
        </w:rPr>
      </w:pPr>
    </w:p>
    <w:p>
      <w:pPr>
        <w:ind w:right="80" w:firstLine="799"/>
        <w:spacing w:after="0" w:line="342" w:lineRule="auto"/>
        <w:rPr>
          <w:sz w:val="20"/>
          <w:szCs w:val="20"/>
          <w:color w:val="auto"/>
        </w:rPr>
      </w:pPr>
      <w:r>
        <w:rPr>
          <w:rFonts w:ascii="Arial" w:cs="Arial" w:eastAsia="Arial" w:hAnsi="Arial"/>
          <w:sz w:val="15"/>
          <w:szCs w:val="15"/>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w:t>
      </w:r>
    </w:p>
    <w:p>
      <w:pPr>
        <w:spacing w:after="0" w:line="121" w:lineRule="exact"/>
        <w:rPr>
          <w:sz w:val="20"/>
          <w:szCs w:val="20"/>
          <w:color w:val="auto"/>
        </w:rPr>
      </w:pPr>
    </w:p>
    <w:p>
      <w:pPr>
        <w:ind w:right="240" w:firstLine="799"/>
        <w:spacing w:after="0" w:line="274" w:lineRule="auto"/>
        <w:rPr>
          <w:sz w:val="20"/>
          <w:szCs w:val="20"/>
          <w:color w:val="auto"/>
        </w:rPr>
      </w:pPr>
      <w:r>
        <w:rPr>
          <w:rFonts w:ascii="Arial" w:cs="Arial" w:eastAsia="Arial" w:hAnsi="Arial"/>
          <w:sz w:val="17"/>
          <w:szCs w:val="17"/>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202" w:lineRule="exact"/>
        <w:rPr>
          <w:sz w:val="20"/>
          <w:szCs w:val="20"/>
          <w:color w:val="auto"/>
        </w:rPr>
      </w:pPr>
    </w:p>
    <w:p>
      <w:pPr>
        <w:ind w:left="1380" w:hanging="575"/>
        <w:spacing w:after="0" w:line="274" w:lineRule="auto"/>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default in the payment of interest on any debt security of that series when it becomes due and payable, and continuance of such default for a period of 30 days;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valid extension of the interest payment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period by us as permitted under the terms of any debt security of that series shall not constitute a failure to pay interest for this purpose;</w:t>
      </w:r>
    </w:p>
    <w:p>
      <w:pPr>
        <w:spacing w:after="0" w:line="154" w:lineRule="exact"/>
        <w:rPr>
          <w:sz w:val="20"/>
          <w:szCs w:val="20"/>
          <w:color w:val="auto"/>
        </w:rPr>
      </w:pPr>
    </w:p>
    <w:p>
      <w:pPr>
        <w:ind w:left="1480" w:right="120" w:hanging="675"/>
        <w:spacing w:after="0" w:line="277"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75" w:lineRule="exact"/>
        <w:rPr>
          <w:rFonts w:ascii="Arial" w:cs="Arial" w:eastAsia="Arial" w:hAnsi="Arial"/>
          <w:sz w:val="18"/>
          <w:szCs w:val="18"/>
          <w:color w:val="auto"/>
        </w:rPr>
      </w:pPr>
    </w:p>
    <w:p>
      <w:pPr>
        <w:ind w:left="1480" w:right="40" w:hanging="675"/>
        <w:spacing w:after="0" w:line="277"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that series and continuance of such default for a period of 30 days; or</w:t>
      </w:r>
    </w:p>
    <w:p>
      <w:pPr>
        <w:spacing w:after="0" w:line="75" w:lineRule="exact"/>
        <w:rPr>
          <w:rFonts w:ascii="Arial" w:cs="Arial" w:eastAsia="Arial" w:hAnsi="Arial"/>
          <w:sz w:val="18"/>
          <w:szCs w:val="18"/>
          <w:color w:val="auto"/>
        </w:rPr>
      </w:pPr>
    </w:p>
    <w:p>
      <w:pPr>
        <w:ind w:left="1480" w:right="80" w:hanging="675"/>
        <w:spacing w:after="0" w:line="257"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 or</w:t>
      </w:r>
    </w:p>
    <w:p>
      <w:pPr>
        <w:spacing w:after="0" w:line="93" w:lineRule="exact"/>
        <w:rPr>
          <w:rFonts w:ascii="Arial" w:cs="Arial" w:eastAsia="Arial" w:hAnsi="Arial"/>
          <w:sz w:val="18"/>
          <w:szCs w:val="18"/>
          <w:color w:val="auto"/>
        </w:rPr>
      </w:pPr>
    </w:p>
    <w:p>
      <w:pPr>
        <w:ind w:left="1480" w:hanging="675"/>
        <w:spacing w:after="0"/>
        <w:tabs>
          <w:tab w:leader="none" w:pos="1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certain events of bankruptcy, insolvency, reorganization, administration or similar proceedings with respect to us have occurred; or</w:t>
      </w:r>
    </w:p>
    <w:p>
      <w:pPr>
        <w:spacing w:after="0" w:line="142" w:lineRule="exact"/>
        <w:rPr>
          <w:rFonts w:ascii="Arial" w:cs="Arial" w:eastAsia="Arial" w:hAnsi="Arial"/>
          <w:sz w:val="17"/>
          <w:szCs w:val="17"/>
          <w:color w:val="auto"/>
        </w:rPr>
      </w:pPr>
    </w:p>
    <w:p>
      <w:pPr>
        <w:ind w:left="1480" w:hanging="675"/>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82" w:lineRule="exact"/>
        <w:rPr>
          <w:sz w:val="20"/>
          <w:szCs w:val="20"/>
          <w:color w:val="auto"/>
        </w:rPr>
      </w:pPr>
    </w:p>
    <w:p>
      <w:pPr>
        <w:ind w:right="80" w:firstLine="799"/>
        <w:spacing w:after="0" w:line="288" w:lineRule="auto"/>
        <w:rPr>
          <w:sz w:val="20"/>
          <w:szCs w:val="20"/>
          <w:color w:val="auto"/>
        </w:rPr>
      </w:pPr>
      <w:r>
        <w:rPr>
          <w:rFonts w:ascii="Arial" w:cs="Arial" w:eastAsia="Arial" w:hAnsi="Arial"/>
          <w:sz w:val="16"/>
          <w:szCs w:val="16"/>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w:t>
      </w:r>
    </w:p>
    <w:p>
      <w:pPr>
        <w:ind w:firstLine="8"/>
        <w:spacing w:after="0" w:line="268" w:lineRule="auto"/>
        <w:tabs>
          <w:tab w:leader="none" w:pos="2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82" w:lineRule="exact"/>
        <w:rPr>
          <w:sz w:val="20"/>
          <w:szCs w:val="20"/>
          <w:color w:val="auto"/>
        </w:rPr>
      </w:pPr>
    </w:p>
    <w:p>
      <w:pPr>
        <w:ind w:right="260" w:firstLine="799"/>
        <w:spacing w:after="0" w:line="308" w:lineRule="auto"/>
        <w:rPr>
          <w:sz w:val="20"/>
          <w:szCs w:val="20"/>
          <w:color w:val="auto"/>
        </w:rPr>
      </w:pPr>
      <w:r>
        <w:rPr>
          <w:rFonts w:ascii="Arial" w:cs="Arial" w:eastAsia="Arial" w:hAnsi="Arial"/>
          <w:sz w:val="17"/>
          <w:szCs w:val="17"/>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52" w:lineRule="exact"/>
        <w:rPr>
          <w:sz w:val="20"/>
          <w:szCs w:val="20"/>
          <w:color w:val="auto"/>
        </w:rPr>
      </w:pPr>
    </w:p>
    <w:p>
      <w:pPr>
        <w:ind w:left="1120" w:hanging="315"/>
        <w:spacing w:after="0"/>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holder has previously given written notice to the trustee of a continuing event of default with respect to the debt securities of that series;</w:t>
      </w:r>
    </w:p>
    <w:p>
      <w:pPr>
        <w:spacing w:after="0" w:line="153" w:lineRule="exact"/>
        <w:rPr>
          <w:rFonts w:ascii="Arial" w:cs="Arial" w:eastAsia="Arial" w:hAnsi="Arial"/>
          <w:sz w:val="16"/>
          <w:szCs w:val="16"/>
          <w:color w:val="auto"/>
        </w:rPr>
      </w:pPr>
    </w:p>
    <w:p>
      <w:pPr>
        <w:ind w:left="1120" w:hanging="315"/>
        <w:spacing w:after="0" w:line="277" w:lineRule="auto"/>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that series have made written request to the trustee to institute the action;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160" w:hanging="315"/>
        <w:spacing w:after="0" w:line="277" w:lineRule="auto"/>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against the reasonable expenses and liabilities to be incurred in complying with the request;</w:t>
      </w:r>
    </w:p>
    <w:p>
      <w:pPr>
        <w:spacing w:after="0" w:line="75" w:lineRule="exact"/>
        <w:rPr>
          <w:rFonts w:ascii="Arial" w:cs="Arial" w:eastAsia="Arial" w:hAnsi="Arial"/>
          <w:sz w:val="18"/>
          <w:szCs w:val="18"/>
          <w:color w:val="auto"/>
        </w:rPr>
      </w:pPr>
    </w:p>
    <w:p>
      <w:pPr>
        <w:ind w:left="1120" w:hanging="315"/>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130" w:lineRule="exact"/>
        <w:rPr>
          <w:rFonts w:ascii="Arial" w:cs="Arial" w:eastAsia="Arial" w:hAnsi="Arial"/>
          <w:sz w:val="18"/>
          <w:szCs w:val="18"/>
          <w:color w:val="auto"/>
        </w:rPr>
      </w:pPr>
    </w:p>
    <w:p>
      <w:pPr>
        <w:ind w:left="1120" w:right="520" w:hanging="315"/>
        <w:spacing w:after="0" w:line="277" w:lineRule="auto"/>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70"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 that if an event of default has occurred and is continuing with respect to more than one series of debt securities of equal ranking, the holders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87" w:lineRule="exact"/>
        <w:rPr>
          <w:sz w:val="20"/>
          <w:szCs w:val="20"/>
          <w:color w:val="auto"/>
        </w:rPr>
      </w:pPr>
    </w:p>
    <w:p>
      <w:pPr>
        <w:ind w:right="200" w:firstLine="799"/>
        <w:spacing w:after="0" w:line="277" w:lineRule="auto"/>
        <w:rPr>
          <w:sz w:val="20"/>
          <w:szCs w:val="20"/>
          <w:color w:val="auto"/>
        </w:rPr>
      </w:pPr>
      <w:r>
        <w:rPr>
          <w:rFonts w:ascii="Arial" w:cs="Arial" w:eastAsia="Arial" w:hAnsi="Arial"/>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120" w:right="500" w:hanging="315"/>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75" w:lineRule="exact"/>
        <w:rPr>
          <w:rFonts w:ascii="Arial" w:cs="Arial" w:eastAsia="Arial" w:hAnsi="Arial"/>
          <w:sz w:val="18"/>
          <w:szCs w:val="18"/>
          <w:color w:val="auto"/>
        </w:rPr>
      </w:pPr>
    </w:p>
    <w:p>
      <w:pPr>
        <w:ind w:left="1120" w:right="140" w:hanging="315"/>
        <w:spacing w:after="0" w:line="286" w:lineRule="auto"/>
        <w:tabs>
          <w:tab w:leader="none" w:pos="11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66"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Beneficial interests in a global security may not be exchanged for debt securities in physical, certificated form except in the limited circumstances described below.</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Book-Entry Procedures for the Global Securities</w:t>
      </w:r>
    </w:p>
    <w:p>
      <w:pPr>
        <w:spacing w:after="0" w:line="117" w:lineRule="exact"/>
        <w:rPr>
          <w:sz w:val="20"/>
          <w:szCs w:val="20"/>
          <w:color w:val="auto"/>
        </w:rPr>
      </w:pPr>
    </w:p>
    <w:p>
      <w:pPr>
        <w:ind w:firstLine="799"/>
        <w:spacing w:after="0" w:line="286" w:lineRule="auto"/>
        <w:rPr>
          <w:sz w:val="20"/>
          <w:szCs w:val="20"/>
          <w:color w:val="auto"/>
        </w:rPr>
      </w:pPr>
      <w:r>
        <w:rPr>
          <w:rFonts w:ascii="Arial" w:cs="Arial" w:eastAsia="Arial" w:hAnsi="Arial"/>
          <w:sz w:val="17"/>
          <w:szCs w:val="17"/>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120" w:hanging="315"/>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5620" w:right="3500" w:hanging="4815"/>
        <w:spacing w:after="0" w:line="449" w:lineRule="auto"/>
        <w:tabs>
          <w:tab w:leader="none" w:pos="11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 14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315"/>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right="80" w:firstLine="799"/>
        <w:spacing w:after="0" w:line="297"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58" w:lineRule="exact"/>
        <w:rPr>
          <w:sz w:val="20"/>
          <w:szCs w:val="20"/>
          <w:color w:val="auto"/>
        </w:rPr>
      </w:pPr>
    </w:p>
    <w:p>
      <w:pPr>
        <w:jc w:val="both"/>
        <w:ind w:right="160" w:firstLine="799"/>
        <w:spacing w:after="0" w:line="264"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7" w:lineRule="exact"/>
        <w:rPr>
          <w:sz w:val="20"/>
          <w:szCs w:val="20"/>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 not be entitled to have a debt security represented by the global security registered in their names;</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debt security; and</w:t>
      </w:r>
    </w:p>
    <w:p>
      <w:pPr>
        <w:spacing w:after="0" w:line="130" w:lineRule="exact"/>
        <w:rPr>
          <w:rFonts w:ascii="Arial" w:cs="Arial" w:eastAsia="Arial" w:hAnsi="Arial"/>
          <w:sz w:val="18"/>
          <w:szCs w:val="18"/>
          <w:color w:val="auto"/>
        </w:rPr>
      </w:pPr>
    </w:p>
    <w:p>
      <w:pPr>
        <w:ind w:left="1120" w:right="520" w:hanging="315"/>
        <w:spacing w:after="0" w:line="277"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70"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71" w:lineRule="exact"/>
        <w:rPr>
          <w:sz w:val="20"/>
          <w:szCs w:val="20"/>
          <w:color w:val="auto"/>
        </w:rPr>
      </w:pPr>
    </w:p>
    <w:p>
      <w:pPr>
        <w:ind w:right="260" w:firstLine="799"/>
        <w:spacing w:after="0" w:line="277"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70" w:lineRule="exact"/>
        <w:rPr>
          <w:sz w:val="20"/>
          <w:szCs w:val="20"/>
          <w:color w:val="auto"/>
        </w:rPr>
      </w:pPr>
    </w:p>
    <w:p>
      <w:pPr>
        <w:jc w:val="both"/>
        <w:ind w:right="40" w:firstLine="799"/>
        <w:spacing w:after="0" w:line="25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96"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ind w:right="480" w:firstLine="799"/>
        <w:spacing w:after="0" w:line="277" w:lineRule="auto"/>
        <w:rPr>
          <w:sz w:val="20"/>
          <w:szCs w:val="20"/>
          <w:color w:val="auto"/>
        </w:rPr>
      </w:pPr>
      <w:r>
        <w:rPr>
          <w:rFonts w:ascii="Arial" w:cs="Arial" w:eastAsia="Arial" w:hAnsi="Arial"/>
          <w:sz w:val="18"/>
          <w:szCs w:val="18"/>
          <w:color w:val="auto"/>
        </w:rPr>
        <w:t>A global security may be exchanged for debt securities in physical, certificated form (which would be registered in such names as DTC shall direct) only if:</w:t>
      </w:r>
    </w:p>
    <w:p>
      <w:pPr>
        <w:spacing w:after="0" w:line="76" w:lineRule="exact"/>
        <w:rPr>
          <w:sz w:val="20"/>
          <w:szCs w:val="20"/>
          <w:color w:val="auto"/>
        </w:rPr>
      </w:pPr>
    </w:p>
    <w:p>
      <w:pPr>
        <w:ind w:left="1120" w:right="340" w:hanging="315"/>
        <w:spacing w:after="0" w:line="277" w:lineRule="auto"/>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security and a successor depositary is not appointed within 90 days;</w:t>
      </w:r>
    </w:p>
    <w:p>
      <w:pPr>
        <w:spacing w:after="0" w:line="75"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w:t>
      </w:r>
    </w:p>
    <w:p>
      <w:pPr>
        <w:spacing w:after="0" w:line="142" w:lineRule="exact"/>
        <w:rPr>
          <w:rFonts w:ascii="Arial" w:cs="Arial" w:eastAsia="Arial" w:hAnsi="Arial"/>
          <w:sz w:val="17"/>
          <w:szCs w:val="17"/>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debt securities; or</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events of default with respect to the debt securities under the indenture should occur and be continuing.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25"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00" w:firstLine="799"/>
        <w:spacing w:after="0" w:line="255" w:lineRule="auto"/>
        <w:rPr>
          <w:sz w:val="20"/>
          <w:szCs w:val="20"/>
          <w:color w:val="auto"/>
        </w:rPr>
      </w:pPr>
      <w:r>
        <w:rPr>
          <w:rFonts w:ascii="Arial" w:cs="Arial" w:eastAsia="Arial" w:hAnsi="Arial"/>
          <w:sz w:val="18"/>
          <w:szCs w:val="18"/>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31, 2017, there were no shares of preferred stock outstanding. The terms of any shares of preferred stock offered pursuant to this prospectus will be set forth in an applicable prospectus supplement.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Our only class of common stock is our common stock, par value $0.01 per share. Our Certificate of Incorporation currently authorizes our Board of Directors to issue 5,000,000,000 shares of common stock. As of January 31, 2017 1,497,964,557 shares of our common stock were issued and outstanding. There are no redemption or sinking fund provisions applicable to our common stock. All outstanding shares of our common stock are fully paid and non-assessable.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7" w:lineRule="exact"/>
        <w:rPr>
          <w:sz w:val="20"/>
          <w:szCs w:val="20"/>
          <w:color w:val="auto"/>
        </w:rPr>
      </w:pPr>
    </w:p>
    <w:p>
      <w:pPr>
        <w:ind w:right="20" w:firstLine="799"/>
        <w:spacing w:after="0" w:line="273" w:lineRule="auto"/>
        <w:rPr>
          <w:sz w:val="20"/>
          <w:szCs w:val="20"/>
          <w:color w:val="auto"/>
        </w:rPr>
      </w:pPr>
      <w:r>
        <w:rPr>
          <w:rFonts w:ascii="Arial" w:cs="Arial" w:eastAsia="Arial" w:hAnsi="Arial"/>
          <w:sz w:val="17"/>
          <w:szCs w:val="17"/>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380" w:firstLine="799"/>
        <w:spacing w:after="0" w:line="264"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exclusive right to vote for the election of directors and for all other purposes. Our common stockholders do not possess cumulative voting rights.</w:t>
      </w:r>
    </w:p>
    <w:p>
      <w:pPr>
        <w:spacing w:after="0" w:line="237"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right="300" w:firstLine="799"/>
        <w:spacing w:after="0" w:line="286" w:lineRule="auto"/>
        <w:rPr>
          <w:sz w:val="20"/>
          <w:szCs w:val="20"/>
          <w:color w:val="auto"/>
        </w:rPr>
      </w:pPr>
      <w:r>
        <w:rPr>
          <w:rFonts w:ascii="Arial" w:cs="Arial" w:eastAsia="Arial" w:hAnsi="Arial"/>
          <w:sz w:val="17"/>
          <w:szCs w:val="17"/>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common stock is listed on the New York Stock Exchange under the symbol “GM” and on the Toronto Stock Exchange under the symbol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“GMM.”</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Jenner &amp; Block LLP.</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firstLine="799"/>
        <w:spacing w:after="0" w:line="279" w:lineRule="auto"/>
        <w:rPr>
          <w:sz w:val="20"/>
          <w:szCs w:val="20"/>
          <w:color w:val="auto"/>
        </w:rPr>
      </w:pPr>
      <w:r>
        <w:rPr>
          <w:rFonts w:ascii="Arial" w:cs="Arial" w:eastAsia="Arial" w:hAnsi="Arial"/>
          <w:sz w:val="17"/>
          <w:szCs w:val="17"/>
          <w:color w:val="auto"/>
        </w:rPr>
        <w:t>The financial statements of General Motors Company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71"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financial statements of SAIC General Motors Corp., Ltd. incorporated in this Prospectus by reference from the Company’s Annual Report on Form 10-K have been audited by Deloitte Touche Tohmatsu Certified Public Accountants LLP, independent auditors, as stated in their report, which is incorporated herein by reference. Such financial statements have been so incorporated in reliance upon the report of such firm given upon their authority as experts in accounting and auditing.</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with the SEC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3504565</wp:posOffset>
            </wp:positionV>
            <wp:extent cx="4528185" cy="634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3224530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3275965</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Roman"/>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lowerRoman"/>
      <w:start w:val="2"/>
    </w:lvl>
  </w:abstractNum>
  <w:abstractNum w:abstractNumId="28">
    <w:nsid w:val="7724C67E"/>
    <w:multiLevelType w:val="hybridMultilevel"/>
    <w:lvl w:ilvl="0">
      <w:lvlJc w:val="left"/>
      <w:lvlText w:val="(%1)"/>
      <w:numFmt w:val="lowerRoman"/>
      <w:start w:val="1"/>
    </w:lvl>
  </w:abstractNum>
  <w:abstractNum w:abstractNumId="29">
    <w:nsid w:val="5C482A97"/>
    <w:multiLevelType w:val="hybridMultilevel"/>
    <w:lvl w:ilvl="0">
      <w:lvlJc w:val="left"/>
      <w:lvlText w:val="(%1)"/>
      <w:numFmt w:val="lowerRoman"/>
      <w:start w:val="1"/>
    </w:lvl>
    <w:lvl w:ilvl="1">
      <w:lvlJc w:val="left"/>
      <w:lvlText w:val="•"/>
      <w:numFmt w:val="bullet"/>
      <w:start w:val="1"/>
    </w:lvl>
  </w:abstractNum>
  <w:abstractNum w:abstractNumId="30">
    <w:nsid w:val="2463B9EA"/>
    <w:multiLevelType w:val="hybridMultilevel"/>
    <w:lvl w:ilvl="0">
      <w:lvlJc w:val="left"/>
      <w:lvlText w:val="(%1)"/>
      <w:numFmt w:val="lowerRoman"/>
      <w:start w:val="2"/>
    </w:lvl>
  </w:abstractNum>
  <w:abstractNum w:abstractNumId="31">
    <w:nsid w:val="5E884ADC"/>
    <w:multiLevelType w:val="hybridMultilevel"/>
    <w:lvl w:ilvl="0">
      <w:lvlJc w:val="left"/>
      <w:lvlText w:val="(%1)"/>
      <w:numFmt w:val="lowerRoman"/>
      <w:start w:val="1"/>
    </w:lvl>
  </w:abstractNum>
  <w:abstractNum w:abstractNumId="32">
    <w:nsid w:val="51EAD36B"/>
    <w:multiLevelType w:val="hybridMultilevel"/>
    <w:lvl w:ilvl="0">
      <w:lvlJc w:val="left"/>
      <w:lvlText w:val="(%1)"/>
      <w:numFmt w:val="lowerRoman"/>
      <w:start w:val="3"/>
    </w:lvl>
  </w:abstractNum>
  <w:abstractNum w:abstractNumId="33">
    <w:nsid w:val="2D517796"/>
    <w:multiLevelType w:val="hybridMultilevel"/>
    <w:lvl w:ilvl="0">
      <w:lvlJc w:val="left"/>
      <w:lvlText w:val="(%1)"/>
      <w:numFmt w:val="lowerRoman"/>
      <w:start w:val="1"/>
    </w:lvl>
  </w:abstractNum>
  <w:abstractNum w:abstractNumId="34">
    <w:nsid w:val="580BD78F"/>
    <w:multiLevelType w:val="hybridMultilevel"/>
    <w:lvl w:ilvl="0">
      <w:lvlJc w:val="left"/>
      <w:lvlText w:val="(%1)"/>
      <w:numFmt w:val="lowerRoman"/>
      <w:start w:val="1"/>
    </w:lvl>
  </w:abstractNum>
  <w:abstractNum w:abstractNumId="35">
    <w:nsid w:val="153EA438"/>
    <w:multiLevelType w:val="hybridMultilevel"/>
    <w:lvl w:ilvl="0">
      <w:lvlJc w:val="left"/>
      <w:lvlText w:val="(%1)"/>
      <w:numFmt w:val="lowerRoman"/>
      <w:start w:val="5"/>
    </w:lvl>
  </w:abstractNum>
  <w:abstractNum w:abstractNumId="36">
    <w:nsid w:val="3855585C"/>
    <w:multiLevelType w:val="hybridMultilevel"/>
    <w:lvl w:ilvl="0">
      <w:lvlJc w:val="left"/>
      <w:lvlText w:val="(%1)"/>
      <w:numFmt w:val="lowerRoman"/>
      <w:start w:val="1"/>
    </w:lvl>
  </w:abstractNum>
  <w:abstractNum w:abstractNumId="37">
    <w:nsid w:val="70A64E2A"/>
    <w:multiLevelType w:val="hybridMultilevel"/>
    <w:lvl w:ilvl="0">
      <w:lvlJc w:val="left"/>
      <w:lvlText w:val="(%1)"/>
      <w:numFmt w:val="lowerRoman"/>
      <w:start w:val="2"/>
    </w:lvl>
  </w:abstractNum>
  <w:abstractNum w:abstractNumId="38">
    <w:nsid w:val="6A2342EC"/>
    <w:multiLevelType w:val="hybridMultilevel"/>
    <w:lvl w:ilvl="0">
      <w:lvlJc w:val="left"/>
      <w:lvlText w:val="(%1)"/>
      <w:numFmt w:val="lowerRoman"/>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2019-12-07T15:54:40Z</dcterms:created>
  <dcterms:modified xsi:type="dcterms:W3CDTF">2019-12-07T15:54:40Z</dcterms:modified>
</cp:coreProperties>
</file>