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333-284557</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January 28, 2025)</w:t>
      </w:r>
    </w:p>
    <w:p>
      <w:pPr>
        <w:spacing w:after="0" w:line="19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$2,000,000,000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2002155</wp:posOffset>
            </wp:positionH>
            <wp:positionV relativeFrom="paragraph">
              <wp:posOffset>178435</wp:posOffset>
            </wp:positionV>
            <wp:extent cx="3137535" cy="403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37535" cy="4032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25"/>
          <w:szCs w:val="25"/>
          <w:b w:val="1"/>
          <w:bCs w:val="1"/>
          <w:color w:val="auto"/>
        </w:rPr>
        <w:t>$750,000,000 5.350% Senior Notes due 2028</w:t>
      </w:r>
    </w:p>
    <w:p>
      <w:pPr>
        <w:spacing w:after="0" w:line="44"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25"/>
          <w:szCs w:val="25"/>
          <w:b w:val="1"/>
          <w:bCs w:val="1"/>
          <w:color w:val="auto"/>
        </w:rPr>
        <w:t>$750,000,000 5.625% Senior Notes due 2030</w:t>
      </w:r>
    </w:p>
    <w:p>
      <w:pPr>
        <w:spacing w:after="0" w:line="10"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25"/>
          <w:szCs w:val="25"/>
          <w:b w:val="1"/>
          <w:bCs w:val="1"/>
          <w:color w:val="auto"/>
        </w:rPr>
        <w:t>$500,000,000 6.250% Senior Notes due 2035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173990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 Motors Company is offering $750,000,000 in aggregate principal amount of 5.350% Senior Notes due 2028 (the “2028 Notes”),</w:t>
      </w:r>
    </w:p>
    <w:p>
      <w:pPr>
        <w:spacing w:after="0" w:line="2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$750,000,000 in aggregate principal amount of 5.625% Senior Notes due 2030 (the “2030 Notes”) and $500,000,000 in aggregate principal amount of</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6.250% Senior Notes due 2035 (the “2035 Notes” and, collectively with the 2028 Notes and the 2030 Notes, the “Notes”).</w:t>
      </w:r>
    </w:p>
    <w:p>
      <w:pPr>
        <w:spacing w:after="0" w:line="139" w:lineRule="exact"/>
        <w:rPr>
          <w:sz w:val="24"/>
          <w:szCs w:val="24"/>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2028 Notes will mature on April 15, 2028, the 2030 Notes will mature on April 15, 2030 and the 2035 Notes will mature on April 15, 2035. Interest on the Notes will accrue from May 7, 2025. We will pay interest on the Notes semi-annually on April 15 and October 15 of each year, commencing on October 15, 2025. The Notes will be our senior unsecured obligations and will rank equally in right of payment with all of our existing and future senior unsecured indebtedness.</w:t>
      </w:r>
    </w:p>
    <w:p>
      <w:pPr>
        <w:spacing w:after="0" w:line="112" w:lineRule="exact"/>
        <w:rPr>
          <w:sz w:val="24"/>
          <w:szCs w:val="24"/>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We may, at our option, redeem some or all of the 2028 Notes, the 2030 Notes and the 2035 Notes at any time and from time to time at the applicable redemption prices described under “Description of the Notes—Optional Redemption.”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139700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1" w:lineRule="exact"/>
        <w:rPr>
          <w:sz w:val="24"/>
          <w:szCs w:val="24"/>
          <w:color w:val="auto"/>
        </w:rPr>
      </w:pPr>
    </w:p>
    <w:p>
      <w:pPr>
        <w:ind w:left="120" w:right="26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the Notes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S-6 of this prospectus supplement, in the accompanying prospectus and in our periodic reports filed from time to time with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3" w:lineRule="exact"/>
        <w:rPr>
          <w:sz w:val="24"/>
          <w:szCs w:val="24"/>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passed upon the adequacy or accuracy of this prospectus supplement, the accompanying prospectus or any related free writing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149225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0"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 2028</w:t>
            </w:r>
          </w:p>
        </w:tc>
        <w:tc>
          <w:tcPr>
            <w:tcW w:w="100" w:type="dxa"/>
            <w:vAlign w:val="bottom"/>
          </w:tcPr>
          <w:p>
            <w:pPr>
              <w:spacing w:after="0"/>
              <w:rPr>
                <w:sz w:val="13"/>
                <w:szCs w:val="13"/>
                <w:color w:val="auto"/>
              </w:rPr>
            </w:pPr>
          </w:p>
        </w:tc>
        <w:tc>
          <w:tcPr>
            <w:tcW w:w="90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vMerge w:val="restart"/>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2030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vMerge w:val="restart"/>
          </w:tcPr>
          <w:p>
            <w:pPr>
              <w:spacing w:after="0"/>
              <w:rPr>
                <w:sz w:val="13"/>
                <w:szCs w:val="13"/>
                <w:color w:val="auto"/>
              </w:rPr>
            </w:pP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Per 2035</w:t>
            </w:r>
          </w:p>
        </w:tc>
        <w:tc>
          <w:tcPr>
            <w:tcW w:w="100" w:type="dxa"/>
            <w:vAlign w:val="bottom"/>
          </w:tcPr>
          <w:p>
            <w:pPr>
              <w:spacing w:after="0"/>
              <w:rPr>
                <w:sz w:val="13"/>
                <w:szCs w:val="13"/>
                <w:color w:val="auto"/>
              </w:rPr>
            </w:pPr>
          </w:p>
        </w:tc>
        <w:tc>
          <w:tcPr>
            <w:tcW w:w="90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vMerge w:val="continue"/>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w:t>
            </w:r>
          </w:p>
        </w:tc>
        <w:tc>
          <w:tcPr>
            <w:tcW w:w="2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vMerge w:val="continue"/>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Price to Public</w:t>
            </w:r>
            <w:r>
              <w:rPr>
                <w:rFonts w:ascii="Times New Roman" w:cs="Times New Roman" w:eastAsia="Times New Roman" w:hAnsi="Times New Roman"/>
                <w:sz w:val="24"/>
                <w:szCs w:val="24"/>
                <w:color w:val="auto"/>
                <w:vertAlign w:val="superscript"/>
              </w:rPr>
              <w:t>(1)</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99.942%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749,565,000</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99.949%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749,617,500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99.735%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498,675,000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0.250%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1,875,000</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2,625,000</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0.450%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Proceeds, before expenses, to us</w:t>
            </w:r>
            <w:r>
              <w:rPr>
                <w:rFonts w:ascii="Times New Roman" w:cs="Times New Roman" w:eastAsia="Times New Roman" w:hAnsi="Times New Roman"/>
                <w:sz w:val="25"/>
                <w:szCs w:val="25"/>
                <w:color w:val="auto"/>
                <w:vertAlign w:val="superscript"/>
              </w:rPr>
              <w:t>(1)</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99.692%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747,690,000</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99.599%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746,992,500</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99.285%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496,425,000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5"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Plus accrued interest, if any, from and including May 7, 2025 to but excluding the delivery date.</w:t>
      </w:r>
    </w:p>
    <w:p>
      <w:pPr>
        <w:spacing w:after="0" w:line="130" w:lineRule="exact"/>
        <w:rPr>
          <w:sz w:val="24"/>
          <w:szCs w:val="24"/>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The underwriters expect to deliver the Notes to purchasers in book-entry form through the facilities of The Depository Trust Company and its participants, including Euroclear Bank SA/NV (“Euroclear”) and Clearstream Banking, S.A. (“Clearstream”), on or about May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139700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151" w:lineRule="exact"/>
        <w:rPr>
          <w:sz w:val="24"/>
          <w:szCs w:val="24"/>
          <w:color w:val="auto"/>
        </w:rPr>
      </w:pPr>
    </w:p>
    <w:p>
      <w:pPr>
        <w:ind w:left="120"/>
        <w:spacing w:after="0"/>
        <w:tabs>
          <w:tab w:leader="none" w:pos="4560" w:val="left"/>
          <w:tab w:leader="none" w:pos="9220" w:val="left"/>
        </w:tabs>
        <w:rPr>
          <w:sz w:val="20"/>
          <w:szCs w:val="20"/>
          <w:color w:val="auto"/>
        </w:rPr>
      </w:pPr>
      <w:r>
        <w:rPr>
          <w:rFonts w:ascii="Times New Roman" w:cs="Times New Roman" w:eastAsia="Times New Roman" w:hAnsi="Times New Roman"/>
          <w:sz w:val="20"/>
          <w:szCs w:val="20"/>
          <w:b w:val="1"/>
          <w:bCs w:val="1"/>
          <w:color w:val="auto"/>
        </w:rPr>
        <w:t>Citigroup</w:t>
      </w:r>
      <w:r>
        <w:rPr>
          <w:sz w:val="20"/>
          <w:szCs w:val="20"/>
          <w:color w:val="auto"/>
        </w:rPr>
        <w:tab/>
      </w:r>
      <w:r>
        <w:rPr>
          <w:rFonts w:ascii="Times New Roman" w:cs="Times New Roman" w:eastAsia="Times New Roman" w:hAnsi="Times New Roman"/>
          <w:sz w:val="20"/>
          <w:szCs w:val="20"/>
          <w:b w:val="1"/>
          <w:bCs w:val="1"/>
          <w:color w:val="auto"/>
        </w:rPr>
        <w:t>Goldman Sachs &amp; Co. LLC</w:t>
      </w:r>
      <w:r>
        <w:rPr>
          <w:sz w:val="20"/>
          <w:szCs w:val="20"/>
          <w:color w:val="auto"/>
        </w:rPr>
        <w:tab/>
      </w:r>
      <w:r>
        <w:rPr>
          <w:rFonts w:ascii="Times New Roman" w:cs="Times New Roman" w:eastAsia="Times New Roman" w:hAnsi="Times New Roman"/>
          <w:sz w:val="19"/>
          <w:szCs w:val="19"/>
          <w:b w:val="1"/>
          <w:bCs w:val="1"/>
          <w:color w:val="auto"/>
        </w:rPr>
        <w:t>Wells Fargo Securities</w:t>
      </w:r>
    </w:p>
    <w:p>
      <w:pPr>
        <w:spacing w:after="0" w:line="14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Joint Lead Managers</w:t>
      </w:r>
    </w:p>
    <w:p>
      <w:pPr>
        <w:spacing w:after="0" w:line="151" w:lineRule="exact"/>
        <w:rPr>
          <w:sz w:val="24"/>
          <w:szCs w:val="24"/>
          <w:color w:val="auto"/>
        </w:rPr>
      </w:pPr>
    </w:p>
    <w:p>
      <w:pPr>
        <w:ind w:left="1060"/>
        <w:spacing w:after="0"/>
        <w:tabs>
          <w:tab w:leader="none" w:pos="4960" w:val="left"/>
          <w:tab w:leader="none" w:pos="9240" w:val="left"/>
        </w:tabs>
        <w:rPr>
          <w:sz w:val="20"/>
          <w:szCs w:val="20"/>
          <w:color w:val="auto"/>
        </w:rPr>
      </w:pPr>
      <w:r>
        <w:rPr>
          <w:rFonts w:ascii="Times New Roman" w:cs="Times New Roman" w:eastAsia="Times New Roman" w:hAnsi="Times New Roman"/>
          <w:sz w:val="20"/>
          <w:szCs w:val="20"/>
          <w:b w:val="1"/>
          <w:bCs w:val="1"/>
          <w:color w:val="auto"/>
        </w:rPr>
        <w:t>BBVA</w:t>
      </w:r>
      <w:r>
        <w:rPr>
          <w:sz w:val="20"/>
          <w:szCs w:val="20"/>
          <w:color w:val="auto"/>
        </w:rPr>
        <w:tab/>
      </w:r>
      <w:r>
        <w:rPr>
          <w:rFonts w:ascii="Times New Roman" w:cs="Times New Roman" w:eastAsia="Times New Roman" w:hAnsi="Times New Roman"/>
          <w:sz w:val="20"/>
          <w:szCs w:val="20"/>
          <w:b w:val="1"/>
          <w:bCs w:val="1"/>
          <w:color w:val="auto"/>
        </w:rPr>
        <w:t>BNP PARIBAS</w:t>
      </w:r>
      <w:r>
        <w:rPr>
          <w:sz w:val="20"/>
          <w:szCs w:val="20"/>
          <w:color w:val="auto"/>
        </w:rPr>
        <w:tab/>
      </w:r>
      <w:r>
        <w:rPr>
          <w:rFonts w:ascii="Times New Roman" w:cs="Times New Roman" w:eastAsia="Times New Roman" w:hAnsi="Times New Roman"/>
          <w:sz w:val="19"/>
          <w:szCs w:val="19"/>
          <w:b w:val="1"/>
          <w:bCs w:val="1"/>
          <w:color w:val="auto"/>
        </w:rPr>
        <w:t>BofA Securities</w:t>
      </w:r>
    </w:p>
    <w:p>
      <w:pPr>
        <w:spacing w:after="0" w:line="32" w:lineRule="exact"/>
        <w:rPr>
          <w:sz w:val="24"/>
          <w:szCs w:val="24"/>
          <w:color w:val="auto"/>
        </w:rPr>
      </w:pPr>
    </w:p>
    <w:p>
      <w:pPr>
        <w:ind w:left="360"/>
        <w:spacing w:after="0"/>
        <w:tabs>
          <w:tab w:leader="none" w:pos="3260" w:val="left"/>
          <w:tab w:leader="none" w:pos="6080" w:val="left"/>
          <w:tab w:leader="none" w:pos="8980" w:val="left"/>
        </w:tabs>
        <w:rPr>
          <w:sz w:val="20"/>
          <w:szCs w:val="20"/>
          <w:color w:val="auto"/>
        </w:rPr>
      </w:pPr>
      <w:r>
        <w:rPr>
          <w:rFonts w:ascii="Times New Roman" w:cs="Times New Roman" w:eastAsia="Times New Roman" w:hAnsi="Times New Roman"/>
          <w:sz w:val="20"/>
          <w:szCs w:val="20"/>
          <w:b w:val="1"/>
          <w:bCs w:val="1"/>
          <w:color w:val="auto"/>
        </w:rPr>
        <w:t>CIBC Capital Markets</w:t>
      </w:r>
      <w:r>
        <w:rPr>
          <w:sz w:val="20"/>
          <w:szCs w:val="20"/>
          <w:color w:val="auto"/>
        </w:rPr>
        <w:tab/>
      </w:r>
      <w:r>
        <w:rPr>
          <w:rFonts w:ascii="Times New Roman" w:cs="Times New Roman" w:eastAsia="Times New Roman" w:hAnsi="Times New Roman"/>
          <w:sz w:val="20"/>
          <w:szCs w:val="20"/>
          <w:b w:val="1"/>
          <w:bCs w:val="1"/>
          <w:color w:val="auto"/>
        </w:rPr>
        <w:t>Credit Agricole CIB</w:t>
      </w:r>
      <w:r>
        <w:rPr>
          <w:sz w:val="20"/>
          <w:szCs w:val="20"/>
          <w:color w:val="auto"/>
        </w:rPr>
        <w:tab/>
      </w:r>
      <w:r>
        <w:rPr>
          <w:rFonts w:ascii="Times New Roman" w:cs="Times New Roman" w:eastAsia="Times New Roman" w:hAnsi="Times New Roman"/>
          <w:sz w:val="20"/>
          <w:szCs w:val="20"/>
          <w:b w:val="1"/>
          <w:bCs w:val="1"/>
          <w:color w:val="auto"/>
        </w:rPr>
        <w:t>Deutsche Bank Securities</w:t>
      </w:r>
      <w:r>
        <w:rPr>
          <w:sz w:val="20"/>
          <w:szCs w:val="20"/>
          <w:color w:val="auto"/>
        </w:rPr>
        <w:tab/>
      </w:r>
      <w:r>
        <w:rPr>
          <w:rFonts w:ascii="Times New Roman" w:cs="Times New Roman" w:eastAsia="Times New Roman" w:hAnsi="Times New Roman"/>
          <w:sz w:val="19"/>
          <w:szCs w:val="19"/>
          <w:b w:val="1"/>
          <w:bCs w:val="1"/>
          <w:color w:val="auto"/>
        </w:rPr>
        <w:t>ICBC Standard Bank</w:t>
      </w:r>
    </w:p>
    <w:p>
      <w:pPr>
        <w:spacing w:after="0" w:line="27" w:lineRule="exact"/>
        <w:rPr>
          <w:sz w:val="24"/>
          <w:szCs w:val="24"/>
          <w:color w:val="auto"/>
        </w:rPr>
      </w:pPr>
    </w:p>
    <w:p>
      <w:pPr>
        <w:ind w:left="400"/>
        <w:spacing w:after="0"/>
        <w:tabs>
          <w:tab w:leader="none" w:pos="3380" w:val="left"/>
          <w:tab w:leader="none" w:pos="6840" w:val="left"/>
          <w:tab w:leader="none" w:pos="8980" w:val="left"/>
        </w:tabs>
        <w:rPr>
          <w:sz w:val="20"/>
          <w:szCs w:val="20"/>
          <w:color w:val="auto"/>
        </w:rPr>
      </w:pPr>
      <w:r>
        <w:rPr>
          <w:rFonts w:ascii="Times New Roman" w:cs="Times New Roman" w:eastAsia="Times New Roman" w:hAnsi="Times New Roman"/>
          <w:sz w:val="20"/>
          <w:szCs w:val="20"/>
          <w:b w:val="1"/>
          <w:bCs w:val="1"/>
          <w:color w:val="auto"/>
        </w:rPr>
        <w:t>IMI - Intesa Sanpaolo</w:t>
      </w:r>
      <w:r>
        <w:rPr>
          <w:sz w:val="20"/>
          <w:szCs w:val="20"/>
          <w:color w:val="auto"/>
        </w:rPr>
        <w:tab/>
      </w:r>
      <w:r>
        <w:rPr>
          <w:rFonts w:ascii="Times New Roman" w:cs="Times New Roman" w:eastAsia="Times New Roman" w:hAnsi="Times New Roman"/>
          <w:sz w:val="20"/>
          <w:szCs w:val="20"/>
          <w:b w:val="1"/>
          <w:bCs w:val="1"/>
          <w:color w:val="auto"/>
        </w:rPr>
        <w:t>Lloyds Securities</w:t>
      </w:r>
      <w:r>
        <w:rPr>
          <w:sz w:val="20"/>
          <w:szCs w:val="20"/>
          <w:color w:val="auto"/>
        </w:rPr>
        <w:tab/>
      </w:r>
      <w:r>
        <w:rPr>
          <w:rFonts w:ascii="Times New Roman" w:cs="Times New Roman" w:eastAsia="Times New Roman" w:hAnsi="Times New Roman"/>
          <w:sz w:val="20"/>
          <w:szCs w:val="20"/>
          <w:b w:val="1"/>
          <w:bCs w:val="1"/>
          <w:color w:val="auto"/>
        </w:rPr>
        <w:t>Mizuho</w:t>
      </w:r>
      <w:r>
        <w:rPr>
          <w:sz w:val="20"/>
          <w:szCs w:val="20"/>
          <w:color w:val="auto"/>
        </w:rPr>
        <w:tab/>
      </w:r>
      <w:r>
        <w:rPr>
          <w:rFonts w:ascii="Times New Roman" w:cs="Times New Roman" w:eastAsia="Times New Roman" w:hAnsi="Times New Roman"/>
          <w:sz w:val="19"/>
          <w:szCs w:val="19"/>
          <w:b w:val="1"/>
          <w:bCs w:val="1"/>
          <w:color w:val="auto"/>
        </w:rPr>
        <w:t>RBC Capital Markets</w:t>
      </w:r>
    </w:p>
    <w:p>
      <w:pPr>
        <w:spacing w:after="0" w:line="27" w:lineRule="exact"/>
        <w:rPr>
          <w:sz w:val="24"/>
          <w:szCs w:val="24"/>
          <w:color w:val="auto"/>
        </w:rPr>
      </w:pPr>
    </w:p>
    <w:p>
      <w:pPr>
        <w:ind w:left="2580"/>
        <w:spacing w:after="0"/>
        <w:tabs>
          <w:tab w:leader="none" w:pos="7240" w:val="left"/>
        </w:tabs>
        <w:rPr>
          <w:sz w:val="20"/>
          <w:szCs w:val="20"/>
          <w:color w:val="auto"/>
        </w:rPr>
      </w:pPr>
      <w:r>
        <w:rPr>
          <w:rFonts w:ascii="Times New Roman" w:cs="Times New Roman" w:eastAsia="Times New Roman" w:hAnsi="Times New Roman"/>
          <w:sz w:val="20"/>
          <w:szCs w:val="20"/>
          <w:b w:val="1"/>
          <w:bCs w:val="1"/>
          <w:color w:val="auto"/>
        </w:rPr>
        <w:t>Santander</w:t>
      </w:r>
      <w:r>
        <w:rPr>
          <w:sz w:val="20"/>
          <w:szCs w:val="20"/>
          <w:color w:val="auto"/>
        </w:rPr>
        <w:tab/>
      </w:r>
      <w:r>
        <w:rPr>
          <w:rFonts w:ascii="Times New Roman" w:cs="Times New Roman" w:eastAsia="Times New Roman" w:hAnsi="Times New Roman"/>
          <w:sz w:val="20"/>
          <w:szCs w:val="20"/>
          <w:b w:val="1"/>
          <w:bCs w:val="1"/>
          <w:color w:val="auto"/>
        </w:rPr>
        <w:t>SOCIETE GENERALE</w:t>
      </w:r>
    </w:p>
    <w:p>
      <w:pPr>
        <w:spacing w:after="0" w:line="14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Co-Managers</w:t>
      </w:r>
    </w:p>
    <w:p>
      <w:pPr>
        <w:spacing w:after="0" w:line="151" w:lineRule="exact"/>
        <w:rPr>
          <w:sz w:val="24"/>
          <w:szCs w:val="24"/>
          <w:color w:val="auto"/>
        </w:rPr>
      </w:pPr>
    </w:p>
    <w:p>
      <w:pPr>
        <w:ind w:left="320"/>
        <w:spacing w:after="0"/>
        <w:tabs>
          <w:tab w:leader="none" w:pos="5500" w:val="left"/>
          <w:tab w:leader="none" w:pos="8500" w:val="left"/>
        </w:tabs>
        <w:rPr>
          <w:sz w:val="20"/>
          <w:szCs w:val="20"/>
          <w:color w:val="auto"/>
        </w:rPr>
      </w:pPr>
      <w:r>
        <w:rPr>
          <w:rFonts w:ascii="Times New Roman" w:cs="Times New Roman" w:eastAsia="Times New Roman" w:hAnsi="Times New Roman"/>
          <w:sz w:val="20"/>
          <w:szCs w:val="20"/>
          <w:b w:val="1"/>
          <w:bCs w:val="1"/>
          <w:color w:val="auto"/>
        </w:rPr>
        <w:t>Academy Securities</w:t>
      </w:r>
      <w:r>
        <w:rPr>
          <w:sz w:val="20"/>
          <w:szCs w:val="20"/>
          <w:color w:val="auto"/>
        </w:rPr>
        <w:tab/>
      </w:r>
      <w:r>
        <w:rPr>
          <w:rFonts w:ascii="Times New Roman" w:cs="Times New Roman" w:eastAsia="Times New Roman" w:hAnsi="Times New Roman"/>
          <w:sz w:val="20"/>
          <w:szCs w:val="20"/>
          <w:b w:val="1"/>
          <w:bCs w:val="1"/>
          <w:color w:val="auto"/>
        </w:rPr>
        <w:t>Bradesco BBI</w:t>
      </w:r>
      <w:r>
        <w:rPr>
          <w:sz w:val="20"/>
          <w:szCs w:val="20"/>
          <w:color w:val="auto"/>
        </w:rPr>
        <w:tab/>
      </w:r>
      <w:r>
        <w:rPr>
          <w:rFonts w:ascii="Times New Roman" w:cs="Times New Roman" w:eastAsia="Times New Roman" w:hAnsi="Times New Roman"/>
          <w:sz w:val="19"/>
          <w:szCs w:val="19"/>
          <w:b w:val="1"/>
          <w:bCs w:val="1"/>
          <w:color w:val="auto"/>
        </w:rPr>
        <w:t>Cabrera Capital Markets LLC</w:t>
      </w:r>
    </w:p>
    <w:p>
      <w:pPr>
        <w:spacing w:after="0" w:line="32" w:lineRule="exact"/>
        <w:rPr>
          <w:sz w:val="24"/>
          <w:szCs w:val="24"/>
          <w:color w:val="auto"/>
        </w:rPr>
      </w:pPr>
    </w:p>
    <w:p>
      <w:pPr>
        <w:ind w:left="320"/>
        <w:spacing w:after="0"/>
        <w:tabs>
          <w:tab w:leader="none" w:pos="5160" w:val="left"/>
          <w:tab w:leader="none" w:pos="9620" w:val="left"/>
        </w:tabs>
        <w:rPr>
          <w:sz w:val="20"/>
          <w:szCs w:val="20"/>
          <w:color w:val="auto"/>
        </w:rPr>
      </w:pPr>
      <w:r>
        <w:rPr>
          <w:rFonts w:ascii="Times New Roman" w:cs="Times New Roman" w:eastAsia="Times New Roman" w:hAnsi="Times New Roman"/>
          <w:sz w:val="20"/>
          <w:szCs w:val="20"/>
          <w:b w:val="1"/>
          <w:bCs w:val="1"/>
          <w:color w:val="auto"/>
        </w:rPr>
        <w:t>COMMERZBANK</w:t>
      </w:r>
      <w:r>
        <w:rPr>
          <w:sz w:val="20"/>
          <w:szCs w:val="20"/>
          <w:color w:val="auto"/>
        </w:rPr>
        <w:tab/>
      </w:r>
      <w:r>
        <w:rPr>
          <w:rFonts w:ascii="Times New Roman" w:cs="Times New Roman" w:eastAsia="Times New Roman" w:hAnsi="Times New Roman"/>
          <w:sz w:val="20"/>
          <w:szCs w:val="20"/>
          <w:b w:val="1"/>
          <w:bCs w:val="1"/>
          <w:color w:val="auto"/>
        </w:rPr>
        <w:t>Fifth Third Securities</w:t>
      </w:r>
      <w:r>
        <w:rPr>
          <w:sz w:val="20"/>
          <w:szCs w:val="20"/>
          <w:color w:val="auto"/>
        </w:rPr>
        <w:tab/>
      </w:r>
      <w:r>
        <w:rPr>
          <w:rFonts w:ascii="Times New Roman" w:cs="Times New Roman" w:eastAsia="Times New Roman" w:hAnsi="Times New Roman"/>
          <w:sz w:val="19"/>
          <w:szCs w:val="19"/>
          <w:b w:val="1"/>
          <w:bCs w:val="1"/>
          <w:color w:val="auto"/>
        </w:rPr>
        <w:t>ING</w:t>
      </w:r>
    </w:p>
    <w:p>
      <w:pPr>
        <w:spacing w:after="0" w:line="27" w:lineRule="exact"/>
        <w:rPr>
          <w:sz w:val="24"/>
          <w:szCs w:val="24"/>
          <w:color w:val="auto"/>
        </w:rPr>
      </w:pPr>
    </w:p>
    <w:p>
      <w:pPr>
        <w:ind w:left="2100"/>
        <w:spacing w:after="0"/>
        <w:tabs>
          <w:tab w:leader="none" w:pos="7100" w:val="left"/>
        </w:tabs>
        <w:rPr>
          <w:sz w:val="20"/>
          <w:szCs w:val="20"/>
          <w:color w:val="auto"/>
        </w:rPr>
      </w:pPr>
      <w:r>
        <w:rPr>
          <w:rFonts w:ascii="Times New Roman" w:cs="Times New Roman" w:eastAsia="Times New Roman" w:hAnsi="Times New Roman"/>
          <w:sz w:val="20"/>
          <w:szCs w:val="20"/>
          <w:b w:val="1"/>
          <w:bCs w:val="1"/>
          <w:color w:val="auto"/>
        </w:rPr>
        <w:t>Loop Capital Markets</w:t>
      </w:r>
      <w:r>
        <w:rPr>
          <w:sz w:val="20"/>
          <w:szCs w:val="20"/>
          <w:color w:val="auto"/>
        </w:rPr>
        <w:tab/>
      </w:r>
      <w:r>
        <w:rPr>
          <w:rFonts w:ascii="Times New Roman" w:cs="Times New Roman" w:eastAsia="Times New Roman" w:hAnsi="Times New Roman"/>
          <w:sz w:val="19"/>
          <w:szCs w:val="19"/>
          <w:b w:val="1"/>
          <w:bCs w:val="1"/>
          <w:color w:val="auto"/>
        </w:rPr>
        <w:t>UniCredit Capital Markets</w:t>
      </w:r>
    </w:p>
    <w:p>
      <w:pPr>
        <w:sectPr>
          <w:pgSz w:w="11900" w:h="16838" w:orient="portrait"/>
          <w:cols w:equalWidth="0" w:num="1">
            <w:col w:w="11140"/>
          </w:cols>
          <w:pgMar w:left="320" w:top="225" w:right="439" w:bottom="627" w:gutter="0" w:footer="0" w:header="0"/>
        </w:sectPr>
      </w:pPr>
    </w:p>
    <w:p>
      <w:pPr>
        <w:spacing w:after="0" w:line="14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5, 2025.</w:t>
      </w:r>
    </w:p>
    <w:p>
      <w:pPr>
        <w:sectPr>
          <w:pgSz w:w="11900" w:h="16838" w:orient="portrait"/>
          <w:cols w:equalWidth="0" w:num="1">
            <w:col w:w="11140"/>
          </w:cols>
          <w:pgMar w:left="320" w:top="225" w:right="439" w:bottom="627"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760" w:type="dxa"/>
            <w:vAlign w:val="bottom"/>
            <w:gridSpan w:val="3"/>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60" w:type="dxa"/>
            <w:vAlign w:val="bottom"/>
            <w:gridSpan w:val="3"/>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4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4"/>
            <w:vMerge w:val="restart"/>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3440" w:type="dxa"/>
            <w:vAlign w:val="bottom"/>
            <w:tcBorders>
              <w:bottom w:val="single" w:sz="8" w:color="0000EE"/>
            </w:tcBorders>
            <w:gridSpan w:val="17"/>
            <w:vMerge w:val="continue"/>
          </w:tcPr>
          <w:p>
            <w:pPr>
              <w:spacing w:after="0"/>
              <w:rPr>
                <w:sz w:val="13"/>
                <w:szCs w:val="13"/>
                <w:color w:val="auto"/>
              </w:rPr>
            </w:pPr>
          </w:p>
        </w:tc>
        <w:tc>
          <w:tcPr>
            <w:tcW w:w="7120" w:type="dxa"/>
            <w:vAlign w:val="bottom"/>
            <w:gridSpan w:val="4"/>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5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S-iii</w:t>
            </w: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2000" w:type="dxa"/>
            <w:vAlign w:val="bottom"/>
            <w:tcBorders>
              <w:top w:val="single" w:sz="8" w:color="0000EE"/>
            </w:tcBorders>
            <w:gridSpan w:val="10"/>
          </w:tcPr>
          <w:p>
            <w:pPr>
              <w:spacing w:after="0"/>
              <w:rPr>
                <w:sz w:val="17"/>
                <w:szCs w:val="17"/>
                <w:color w:val="auto"/>
              </w:rPr>
            </w:pPr>
          </w:p>
        </w:tc>
        <w:tc>
          <w:tcPr>
            <w:tcW w:w="7640" w:type="dxa"/>
            <w:vAlign w:val="bottom"/>
            <w:gridSpan w:val="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810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U.S. FEDERAL TAX CONSIDERATIONS</w:t>
            </w:r>
          </w:p>
        </w:tc>
        <w:tc>
          <w:tcPr>
            <w:tcW w:w="740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1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S-25</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S-26</w:t>
            </w:r>
          </w:p>
        </w:tc>
        <w:tc>
          <w:tcPr>
            <w:tcW w:w="0" w:type="dxa"/>
            <w:vAlign w:val="bottom"/>
          </w:tcPr>
          <w:p>
            <w:pPr>
              <w:spacing w:after="0"/>
              <w:rPr>
                <w:sz w:val="1"/>
                <w:szCs w:val="1"/>
                <w:color w:val="auto"/>
              </w:rPr>
            </w:pPr>
          </w:p>
        </w:tc>
      </w:tr>
      <w:tr>
        <w:trPr>
          <w:trHeight w:val="453"/>
        </w:trPr>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500" w:type="dxa"/>
            <w:vAlign w:val="bottom"/>
            <w:gridSpan w:val="2"/>
          </w:tcPr>
          <w:p>
            <w:pPr>
              <w:jc w:val="center"/>
              <w:ind w:right="46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5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DOCUMENTS BY REFERENCE</w:t>
            </w:r>
          </w:p>
        </w:tc>
        <w:tc>
          <w:tcPr>
            <w:tcW w:w="550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GENERAL MOTORS COMPANY</w:t>
            </w:r>
          </w:p>
        </w:tc>
        <w:tc>
          <w:tcPr>
            <w:tcW w:w="8000" w:type="dxa"/>
            <w:vAlign w:val="bottom"/>
            <w:gridSpan w:val="1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OVERVIEW OF OUR CAPITAL STOCK</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GENERAL DESCRIPTION OF SECURITIES THAT MAY BE OFFERED</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306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2400" w:type="dxa"/>
            <w:vAlign w:val="bottom"/>
            <w:tcBorders>
              <w:top w:val="single" w:sz="8" w:color="0000EE"/>
            </w:tcBorders>
            <w:gridSpan w:val="6"/>
          </w:tcPr>
          <w:p>
            <w:pPr>
              <w:spacing w:after="0"/>
              <w:rPr>
                <w:sz w:val="17"/>
                <w:szCs w:val="17"/>
                <w:color w:val="auto"/>
              </w:rPr>
            </w:pPr>
          </w:p>
        </w:tc>
        <w:tc>
          <w:tcPr>
            <w:tcW w:w="5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PREFERRED STOCK</w:t>
            </w:r>
          </w:p>
        </w:tc>
        <w:tc>
          <w:tcPr>
            <w:tcW w:w="742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460" w:type="dxa"/>
            <w:vAlign w:val="bottom"/>
            <w:tcBorders>
              <w:top w:val="single" w:sz="8" w:color="0000EE"/>
            </w:tcBorders>
            <w:gridSpan w:val="3"/>
          </w:tcPr>
          <w:p>
            <w:pPr>
              <w:spacing w:after="0"/>
              <w:rPr>
                <w:sz w:val="17"/>
                <w:szCs w:val="17"/>
                <w:color w:val="auto"/>
              </w:rPr>
            </w:pPr>
          </w:p>
        </w:tc>
        <w:tc>
          <w:tcPr>
            <w:tcW w:w="7620" w:type="dxa"/>
            <w:vAlign w:val="bottom"/>
            <w:gridSpan w:val="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8520" w:type="dxa"/>
            <w:vAlign w:val="bottom"/>
            <w:gridSpan w:val="1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7"/>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any related free writing prospectus relate to a registration statement that we filed with the Securities and Exchange Commission (“SEC”) utilizing a shelf registration process. This prospectus supplement and the accompanying prospectus include or incorporate by reference important information about us, the Notes, risks relating to the Notes and other information you should know before investing. You should carefully read this prospectus supplement, the accompanying prospectus and any related free writing prospectus, along with all of the information incorporated by reference in this prospectus supplement and the accompanying prospectus, before making an investment decision.</w:t>
      </w:r>
    </w:p>
    <w:p>
      <w:pPr>
        <w:spacing w:after="0" w:line="187" w:lineRule="exact"/>
        <w:rPr>
          <w:sz w:val="20"/>
          <w:szCs w:val="20"/>
          <w:color w:val="auto"/>
        </w:rPr>
      </w:pPr>
    </w:p>
    <w:p>
      <w:pPr>
        <w:ind w:left="120" w:right="360" w:firstLine="440"/>
        <w:spacing w:after="0" w:line="281" w:lineRule="auto"/>
        <w:rPr>
          <w:sz w:val="20"/>
          <w:szCs w:val="20"/>
          <w:color w:val="auto"/>
        </w:rPr>
      </w:pPr>
      <w:r>
        <w:rPr>
          <w:rFonts w:ascii="Times New Roman" w:cs="Times New Roman" w:eastAsia="Times New Roman" w:hAnsi="Times New Roman"/>
          <w:sz w:val="17"/>
          <w:szCs w:val="17"/>
          <w:color w:val="auto"/>
        </w:rPr>
        <w:t>In this prospectus supplement, unless the context indicates otherwise, references to “we,” “our,” “us,” “ourselves,” the “Company,” “General Motors” or “GM” refer to General Motors Company and, where appropriate, its subsidiaries. However, in the “Summary—The Offering,” “Risk Factors,” “Description of the Notes” and “Underwriting” sections of this prospectus supplement, references to “we,” “our,” “us,” “ourselves,” the “Company,” the “Issuer,” “General Motors” or “GM” refer to General Motors Company (parent company only) and not to any of our subsidiaries.</w:t>
      </w:r>
    </w:p>
    <w:p>
      <w:pPr>
        <w:spacing w:after="0" w:line="16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Neither we nor any underwriter has authorized anyone to provide any information other than that contained or incorporated by reference in this prospectus supplement, in the accompanying prospectus or in any free writing prospectus prepared by or on behalf of us or to which we have referred you. Neither we nor any underwriter take responsibility for, and neither we nor any underwriter provide any assurance as to the reliability of, any other information that others may give you. We have not, and no underwriter has, authorized any other person to provide you with different information. We are not, and no underwriter is, making an offer to sell the Notes in any jurisdiction where the offer or sale is not permitted. You should assume that the information appearing in this prospectus supplement, in the accompanying prospectus, in any document incorporated by reference herein or therein, and in any related free writing prospectus prepared by or on behalf of us or to which we have referred you is accurate only as of their respective dates. Our business, financial condition, results of operations and prospects may have changed since those dates.</w:t>
      </w:r>
    </w:p>
    <w:p>
      <w:pPr>
        <w:spacing w:after="0" w:line="19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may add to, update or change the information contained in the accompanying prospectus. If information in this prospectus supplement is inconsistent with information in the accompanying prospectus, this prospectus supplement will apply and will supersede the information in the accompanying prospectus.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60"/>
          </w:cols>
          <w:pgMar w:left="320" w:top="455"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20" w:firstLine="440"/>
        <w:spacing w:after="0" w:line="251" w:lineRule="auto"/>
        <w:rPr>
          <w:sz w:val="20"/>
          <w:szCs w:val="20"/>
          <w:color w:val="auto"/>
        </w:rPr>
      </w:pPr>
      <w:r>
        <w:rPr>
          <w:rFonts w:ascii="Times New Roman" w:cs="Times New Roman" w:eastAsia="Times New Roman" w:hAnsi="Times New Roman"/>
          <w:sz w:val="18"/>
          <w:szCs w:val="18"/>
          <w:color w:val="auto"/>
        </w:rPr>
        <w:t>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 (1) our ability to deliver new products, services, technologies and customer experiences in response to increased competition and changing consumer needs and preferences; (2) our ability to attract and retain talented and highly skilled employees; (3) our ability to timely fund and introduce new and improved vehicle models, including EVs, that are able to attract a sufficient number of consumers; (4) our ability to profitably deliver a strategic portfolio of EVs; (5) adoptions of EVs by consumers; (6) the success of our current line of ICE vehicles, particularly our full-size SUVs and full-size pickup trucks; (7) our highly competitive industry, which has been historically characterized by excess manufacturing capacity and the use of incentives, and the introduction of new and improved vehicle models by our competitors; (8) the unique technological, operational, regulatory and competitive risks related to our refocused AV strategy on personal vehicles; (9) risks associated with climate change, including increased regulation of GHG emissions, our transition to EVs and the potential increased impacts of severe weather events;</w:t>
      </w:r>
    </w:p>
    <w:p>
      <w:pPr>
        <w:spacing w:after="0" w:line="11" w:lineRule="exact"/>
        <w:rPr>
          <w:sz w:val="20"/>
          <w:szCs w:val="20"/>
          <w:color w:val="auto"/>
        </w:rPr>
      </w:pPr>
    </w:p>
    <w:p>
      <w:pPr>
        <w:ind w:left="120" w:hanging="4"/>
        <w:spacing w:after="0" w:line="250" w:lineRule="auto"/>
        <w:tabs>
          <w:tab w:leader="none" w:pos="4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automobile market sales volume, which can be volatile; (11) inflationary pressures and persistently high prices and uncertain availability of raw materials and commodities used by us and our suppliers, and instability in logistics and related costs; (12) our business in China, which is subject to unique operational, competitive, regulatory and economic risks; (13) the success of our ongoing strategic business relationships, particularly with respect to facilitating access to raw materials necessary for the production of EVs, and of our joint ventures, which we cannot operate solely for our benefit and over which we may have limited control; (14) the international scale and footprint of our operations, which expose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introduction of new or changes to announced tariffs directly and indirectly applicable to our industry,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(15) any significant disruption, including any work stoppages, at any of our manufacturing facilities; (16) the ability of our suppliers to deliver parts, systems and components without disruption and at such times to allow us to meet production schedules; (17) pandemics, epidemics, disease outbreaks and other public health crises; (18) the possibility that competitors may independently develop products and services similar to ours, or that our intellectual property rights are not sufficient to prevent competitors from developing or selling those products or services; (19) our ability to manage risks related to security breaches, cyberattacks and other disruptions to our information technology systems and networked products, including connected vehicles; (20) our ability to manage security breaches and other disruptions to our in-vehicle systems; (21) our ability to comply with increasingly complex, restrictive and punitive regulations relating to our enterprise data practices, including the collection, use, sharing and security of the personal information of our customers, employees or suppliers;</w:t>
      </w:r>
    </w:p>
    <w:p>
      <w:pPr>
        <w:spacing w:after="0" w:line="7" w:lineRule="exact"/>
        <w:rPr>
          <w:rFonts w:ascii="Times New Roman" w:cs="Times New Roman" w:eastAsia="Times New Roman" w:hAnsi="Times New Roman"/>
          <w:sz w:val="18"/>
          <w:szCs w:val="18"/>
          <w:color w:val="auto"/>
        </w:rPr>
      </w:pPr>
    </w:p>
    <w:p>
      <w:pPr>
        <w:ind w:left="120" w:right="560" w:hanging="4"/>
        <w:spacing w:after="0" w:line="260" w:lineRule="auto"/>
        <w:tabs>
          <w:tab w:leader="none" w:pos="4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extensive laws, regulations and policies applicable to our operations and products, including those relating to fuel economy, emissions and AVs; (23) costs and risks associated with litigation and government investigations; (24) the costs and effect on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our reputation of product safety recalls and alleged defects in products and services; (25) any additional tax expense or exposure or failure to fully realize available tax incentives; (26) our continued ability to develop captive financing capability through GM Financial; and (27) any significant increase in our pension funding requirements.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a further discussion of these and other risks and uncertainties, refer to our Annual Report on Form 10-K for the year ended December 31, 2024 and our Quarterly Report on Form 10-Q for the quarter ended March 31, 2025, as updated by our subsequent filings with the SEC. Consequently, all of the forward-looking statements made in this prospectus and any prospectus supplement, as well as all of the forward-looking statements incorporated by reference to our filings under the Securities Exchange Act of 1934, as amended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040"/>
          </w:cols>
          <w:pgMar w:left="320" w:top="455"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39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3392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or incorporated by reference in this prospectus supplement and the accompanying prospectus. This summary describes aspects of our business, the Notes and the offering, but it does not contain all of the information that you should consider in making your investment decision. You should carefully read all of the information contained or incorporated by reference in this prospectus supplement and the accompanying prospectus, including the “Risk Factors” section beginning on page S-6 of this prospectus supplement, the risk factors in the accompanying prospectus and in our periodic reports filed from time to time with the SEC and our financial statements and related notes, along with all of the information contained in any related free writing prospectus, before making an investment decision.</w:t>
      </w:r>
    </w:p>
    <w:p>
      <w:pPr>
        <w:spacing w:after="0" w:line="3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460" w:firstLine="426"/>
        <w:spacing w:after="0" w:line="266" w:lineRule="auto"/>
        <w:rPr>
          <w:sz w:val="20"/>
          <w:szCs w:val="20"/>
          <w:color w:val="auto"/>
        </w:rPr>
      </w:pPr>
      <w:r>
        <w:rPr>
          <w:rFonts w:ascii="Times New Roman" w:cs="Times New Roman" w:eastAsia="Times New Roman" w:hAnsi="Times New Roman"/>
          <w:sz w:val="18"/>
          <w:szCs w:val="18"/>
          <w:color w:val="auto"/>
        </w:rPr>
        <w:t>General Motors Company was incorporated as a Delaware corporation in 2009. We design, build and sell trucks, crossovers, cars and automobile parts and provide software-enabled services and subscriptions worldwide. We also provide automotive financing services through General Motors Financial Company, Inc. (“GM Financial”).</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21"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Our automotive operations meet the demands of our customers through our automotive segments: GM North America (“GMNA”) and GM International (“GMI”). GMNA meets the demands of customers in North America and GMI primarily meets the demands of customers outside North America with vehicles developed, manufactured and/or marketed under the Buick, Cadillac, Chevrolet and GMC brands. We also have equity ownership stakes in entities that meet the demands of customers in other countries, primarily China, with vehicles developed, manufactured and/or marketed under the Baojun, Buick, Cadillac, Chevrolet and Wuling brands.</w:t>
      </w:r>
    </w:p>
    <w:p>
      <w:pPr>
        <w:spacing w:after="0" w:line="183"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In addition to the vehicles we sell through our dealer network to retail customers, we also sell vehicles directly or through our dealer network to fleet customers, including daily rental car companies, commercial fleet customers, leasing companies and governments. Our customers can obtain a wide range of after-sale vehicle services and products through our dealer network, such as maintenance, light repairs, collision repairs, vehicle accessories and extended service warranties.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Automotive Financing—GM Financial</w:t>
      </w:r>
    </w:p>
    <w:p>
      <w:pPr>
        <w:spacing w:after="0" w:line="121" w:lineRule="exact"/>
        <w:rPr>
          <w:sz w:val="20"/>
          <w:szCs w:val="20"/>
          <w:color w:val="auto"/>
        </w:rPr>
      </w:pPr>
    </w:p>
    <w:p>
      <w:pPr>
        <w:ind w:left="300" w:right="420" w:firstLine="426"/>
        <w:spacing w:after="0" w:line="282" w:lineRule="auto"/>
        <w:rPr>
          <w:sz w:val="20"/>
          <w:szCs w:val="20"/>
          <w:color w:val="auto"/>
        </w:rPr>
      </w:pPr>
      <w:r>
        <w:rPr>
          <w:rFonts w:ascii="Times New Roman" w:cs="Times New Roman" w:eastAsia="Times New Roman" w:hAnsi="Times New Roman"/>
          <w:sz w:val="18"/>
          <w:szCs w:val="18"/>
          <w:color w:val="auto"/>
        </w:rPr>
        <w:t>GM Financial is our global captive automotive finance company and our global provider of automobile finance solutions. GM Financial conducts its business in North America, South America and through joint ventures in China.</w:t>
      </w:r>
    </w:p>
    <w:p>
      <w:pPr>
        <w:spacing w:after="0" w:line="162"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GM Financial provides retail loan and lease lending across the credit spectrum to support vehicle sales. Additionally, GM Financial offers commercial lending products to dealers including floorplan financing, which is lending to finance new and used vehicle inventory; and dealer loans, which are loans to finance improvements to dealership facilities, to provide working capital, and to purchase and/or finance dealership real estate. GM Financial provides lending products to commercial vehicle upfitters and advances to certain GM subsidiaries.</w:t>
      </w:r>
    </w:p>
    <w:p>
      <w:pPr>
        <w:spacing w:after="0" w:line="180"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In North America, GM Financial offers a sub-prime lending program. The program is primarily offered to consumers with a FICO score or its equivalent of less than 620 who have limited access to automobile financing through banks and credit unions and is expected to sustain a higher level of credit losses than prime lending.</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841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28416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GM Financial generally seeks to fund its operations in each country through local sources to minimize currency and country risk. GM Financial primarily finances its loan, lease and commercial origination volume through the use of secured and unsecured credit facilities, through securitization transactions and through the issuance of unsecured debt in public markets.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Cruise</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Our Cruise business was pursuing the development and robotaxi commercialization of autonomous vehicle (“AV”) technology. In December 2024, we announced plans to refocus our autonomous driving strategy on personal vehicles and no longer fund Cruise’s robotaxi development work. In February 2025, we completed the acquisition of the noncontrolling interests in Cruise and began to wind down the Cruise robotaxi operations. In the first quarter of 2025, we combined the GM and Cruise technical efforts to build on the success of Super Cruise and prioritize the development of advanced driver-assistance systems on a path to fully autonomous personal vehicles. Such ongoing activities are reflected in our Automotive segments.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300 Renaissance Center, Detroit, Michigan 48265-3000, and our telephone number is</w:t>
      </w:r>
    </w:p>
    <w:p>
      <w:pPr>
        <w:spacing w:after="0" w:line="27" w:lineRule="exact"/>
        <w:rPr>
          <w:sz w:val="20"/>
          <w:szCs w:val="20"/>
          <w:color w:val="auto"/>
        </w:rPr>
      </w:pPr>
    </w:p>
    <w:p>
      <w:pPr>
        <w:ind w:left="300" w:right="520" w:hanging="2"/>
        <w:spacing w:after="0" w:line="255" w:lineRule="auto"/>
        <w:tabs>
          <w:tab w:leader="none" w:pos="7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667-1500. Our website is www.gm.com. Our website and the information included in, or linked to on, our website are not part of this prospectus supplement or the accompanying prospectus. We have included our website address in this prospectus supplement and in the accompanying prospectus solely as a textual reference.</w:t>
      </w:r>
    </w:p>
    <w:p>
      <w:pPr>
        <w:spacing w:after="0" w:line="30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840"/>
          </w:cols>
          <w:pgMar w:left="320" w:top="455" w:right="7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674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4674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right="22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offering and the Notes. Certain of the terms and conditions described below are subject to important limitations and exceptions. The “Description of the Notes” section of this prospectus supplement and the “Description of Debt Securities” section of the accompanying prospectus contain more detailed descriptions of the terms and conditions of the Notes and the Indenture (as defined under “Description of the Notes”) governing the Notes.</w:t>
      </w:r>
    </w:p>
    <w:p>
      <w:pPr>
        <w:sectPr>
          <w:pgSz w:w="11900" w:h="16838" w:orient="portrait"/>
          <w:cols w:equalWidth="0" w:num="1">
            <w:col w:w="11140"/>
          </w:cols>
          <w:pgMar w:left="320" w:top="455" w:right="439" w:bottom="1440" w:gutter="0" w:footer="0" w:header="0"/>
        </w:sectPr>
      </w:pP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Issuer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Motors Company</w:t>
      </w:r>
    </w:p>
    <w:p>
      <w:pPr>
        <w:spacing w:after="0" w:line="152" w:lineRule="exact"/>
        <w:rPr>
          <w:sz w:val="20"/>
          <w:szCs w:val="20"/>
          <w:color w:val="auto"/>
        </w:rPr>
      </w:pPr>
    </w:p>
    <w:p>
      <w:pPr>
        <w:sectPr>
          <w:pgSz w:w="11900" w:h="16838" w:orient="portrait"/>
          <w:cols w:equalWidth="0" w:num="2">
            <w:col w:w="3620" w:space="720"/>
            <w:col w:w="6800"/>
          </w:cols>
          <w:pgMar w:left="320" w:top="455" w:right="4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Notes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$750,000,000 in aggregate principal amount of 5.350% Senior Notes due 2028,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$750,000,000 in aggregate principal amount of 5.625% Senior Notes due 2030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$500,000,000 in aggregate principal amount of 6.250% Senior Notes due 2035.</w:t>
      </w:r>
    </w:p>
    <w:p>
      <w:pPr>
        <w:spacing w:after="0" w:line="108" w:lineRule="exact"/>
        <w:rPr>
          <w:sz w:val="20"/>
          <w:szCs w:val="20"/>
          <w:color w:val="auto"/>
        </w:rPr>
      </w:pPr>
    </w:p>
    <w:p>
      <w:pPr>
        <w:sectPr>
          <w:pgSz w:w="11900" w:h="16838" w:orient="portrait"/>
          <w:cols w:equalWidth="0" w:num="2">
            <w:col w:w="3620" w:space="720"/>
            <w:col w:w="6800"/>
          </w:cols>
          <w:pgMar w:left="320" w:top="455" w:right="4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b w:val="1"/>
          <w:bCs w:val="1"/>
          <w:color w:val="auto"/>
        </w:rPr>
        <w:t>Original Issue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May 7, 2025.</w:t>
      </w:r>
    </w:p>
    <w:p>
      <w:pPr>
        <w:spacing w:after="0" w:line="152" w:lineRule="exact"/>
        <w:rPr>
          <w:sz w:val="20"/>
          <w:szCs w:val="20"/>
          <w:color w:val="auto"/>
        </w:rPr>
      </w:pPr>
    </w:p>
    <w:p>
      <w:pPr>
        <w:sectPr>
          <w:pgSz w:w="11900" w:h="16838" w:orient="portrait"/>
          <w:cols w:equalWidth="0" w:num="2">
            <w:col w:w="3620" w:space="720"/>
            <w:col w:w="6800"/>
          </w:cols>
          <w:pgMar w:left="320" w:top="455" w:right="4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Maturity Dates</w:t>
      </w:r>
    </w:p>
    <w:p>
      <w:pPr>
        <w:spacing w:after="0" w:line="20" w:lineRule="exact"/>
        <w:rPr>
          <w:sz w:val="20"/>
          <w:szCs w:val="20"/>
          <w:color w:val="auto"/>
        </w:rPr>
      </w:pPr>
      <w:r>
        <w:rPr>
          <w:sz w:val="20"/>
          <w:szCs w:val="20"/>
          <w:color w:val="auto"/>
        </w:rPr>
        <w:br w:type="column"/>
      </w:r>
    </w:p>
    <w:p>
      <w:pPr>
        <w:ind w:right="500"/>
        <w:spacing w:after="0" w:line="282" w:lineRule="auto"/>
        <w:rPr>
          <w:sz w:val="20"/>
          <w:szCs w:val="20"/>
          <w:color w:val="auto"/>
        </w:rPr>
      </w:pPr>
      <w:r>
        <w:rPr>
          <w:rFonts w:ascii="Times New Roman" w:cs="Times New Roman" w:eastAsia="Times New Roman" w:hAnsi="Times New Roman"/>
          <w:sz w:val="18"/>
          <w:szCs w:val="18"/>
          <w:color w:val="auto"/>
        </w:rPr>
        <w:t>The 2028 Notes will mature on April 15, 2028, the 2030 Notes will mature on April 15, 2030 and the 2035 Notes will mature on April 15, 2035.</w:t>
      </w:r>
    </w:p>
    <w:p>
      <w:pPr>
        <w:spacing w:after="0" w:line="63" w:lineRule="exact"/>
        <w:rPr>
          <w:sz w:val="20"/>
          <w:szCs w:val="20"/>
          <w:color w:val="auto"/>
        </w:rPr>
      </w:pPr>
    </w:p>
    <w:p>
      <w:pPr>
        <w:sectPr>
          <w:pgSz w:w="11900" w:h="16838" w:orient="portrait"/>
          <w:cols w:equalWidth="0" w:num="2">
            <w:col w:w="3620" w:space="720"/>
            <w:col w:w="6800"/>
          </w:cols>
          <w:pgMar w:left="320" w:top="455" w:right="4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20" w:lineRule="exact"/>
        <w:rPr>
          <w:sz w:val="20"/>
          <w:szCs w:val="20"/>
          <w:color w:val="auto"/>
        </w:rPr>
      </w:pPr>
      <w:r>
        <w:rPr>
          <w:sz w:val="20"/>
          <w:szCs w:val="20"/>
          <w:color w:val="auto"/>
        </w:rPr>
        <w:br w:type="column"/>
      </w:r>
    </w:p>
    <w:p>
      <w:pPr>
        <w:ind w:right="260"/>
        <w:spacing w:after="0" w:line="266" w:lineRule="auto"/>
        <w:rPr>
          <w:sz w:val="20"/>
          <w:szCs w:val="20"/>
          <w:color w:val="auto"/>
        </w:rPr>
      </w:pPr>
      <w:r>
        <w:rPr>
          <w:rFonts w:ascii="Times New Roman" w:cs="Times New Roman" w:eastAsia="Times New Roman" w:hAnsi="Times New Roman"/>
          <w:sz w:val="18"/>
          <w:szCs w:val="18"/>
          <w:color w:val="auto"/>
        </w:rPr>
        <w:t>Interest on the 2028 Notes will accrue at a rate of 5.350% per year, interest on the 2030 Notes will accrue at a rate of 5.625% per year and interest on the 2035 Notes will accrue at a rate of 6.250% per year.</w:t>
      </w:r>
    </w:p>
    <w:p>
      <w:pPr>
        <w:spacing w:after="0" w:line="77" w:lineRule="exact"/>
        <w:rPr>
          <w:sz w:val="20"/>
          <w:szCs w:val="20"/>
          <w:color w:val="auto"/>
        </w:rPr>
      </w:pPr>
    </w:p>
    <w:p>
      <w:pPr>
        <w:sectPr>
          <w:pgSz w:w="11900" w:h="16838" w:orient="portrait"/>
          <w:cols w:equalWidth="0" w:num="2">
            <w:col w:w="3620" w:space="720"/>
            <w:col w:w="6800"/>
          </w:cols>
          <w:pgMar w:left="320" w:top="455" w:right="4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20" w:lineRule="exact"/>
        <w:rPr>
          <w:sz w:val="20"/>
          <w:szCs w:val="20"/>
          <w:color w:val="auto"/>
        </w:rPr>
      </w:pPr>
      <w:r>
        <w:rPr>
          <w:sz w:val="20"/>
          <w:szCs w:val="20"/>
          <w:color w:val="auto"/>
        </w:rPr>
        <w:br w:type="column"/>
      </w:r>
    </w:p>
    <w:p>
      <w:pPr>
        <w:ind w:right="380"/>
        <w:spacing w:after="0" w:line="282" w:lineRule="auto"/>
        <w:rPr>
          <w:sz w:val="20"/>
          <w:szCs w:val="20"/>
          <w:color w:val="auto"/>
        </w:rPr>
      </w:pPr>
      <w:r>
        <w:rPr>
          <w:rFonts w:ascii="Times New Roman" w:cs="Times New Roman" w:eastAsia="Times New Roman" w:hAnsi="Times New Roman"/>
          <w:sz w:val="18"/>
          <w:szCs w:val="18"/>
          <w:color w:val="auto"/>
        </w:rPr>
        <w:t>Interest on each series of Notes will be paid semi-annually and in arrears on April 15 and October 15, commencing on October 15, 2025, and will accrue from May 7, 2025.</w:t>
      </w:r>
    </w:p>
    <w:p>
      <w:pPr>
        <w:spacing w:after="0" w:line="200" w:lineRule="exact"/>
        <w:rPr>
          <w:sz w:val="20"/>
          <w:szCs w:val="20"/>
          <w:color w:val="auto"/>
        </w:rPr>
      </w:pPr>
    </w:p>
    <w:p>
      <w:pPr>
        <w:sectPr>
          <w:pgSz w:w="11900" w:h="16838" w:orient="portrait"/>
          <w:cols w:equalWidth="0" w:num="2">
            <w:col w:w="3620" w:space="720"/>
            <w:col w:w="6800"/>
          </w:cols>
          <w:pgMar w:left="320" w:top="455" w:right="439" w:bottom="1440" w:gutter="0" w:footer="0" w:header="0"/>
          <w:type w:val="continuous"/>
        </w:sectPr>
      </w:pP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Ranking of the Notes</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Notes will be our general unsecured obligations and will be:</w:t>
      </w:r>
    </w:p>
    <w:p>
      <w:pPr>
        <w:spacing w:after="0" w:line="112" w:lineRule="exact"/>
        <w:rPr>
          <w:sz w:val="20"/>
          <w:szCs w:val="20"/>
          <w:color w:val="auto"/>
        </w:rPr>
      </w:pPr>
    </w:p>
    <w:p>
      <w:pPr>
        <w:ind w:left="4520" w:right="240" w:hanging="179"/>
        <w:spacing w:after="0" w:line="266" w:lineRule="auto"/>
        <w:tabs>
          <w:tab w:leader="none" w:pos="4500" w:val="left"/>
        </w:tabs>
        <w:rPr>
          <w:sz w:val="20"/>
          <w:szCs w:val="20"/>
          <w:color w:val="auto"/>
        </w:rPr>
      </w:pPr>
      <w:r>
        <w:rPr>
          <w:rFonts w:ascii="Times New Roman" w:cs="Times New Roman" w:eastAsia="Times New Roman" w:hAnsi="Times New Roman"/>
          <w:sz w:val="18"/>
          <w:szCs w:val="18"/>
          <w:color w:val="auto"/>
        </w:rPr>
        <w:t>•</w:t>
        <w:tab/>
        <w:t>equal in right of payment to all of our existing and future indebtedness and other obligations that are not, by their terms, expressly subordinated in right of payment to the Notes;</w:t>
      </w:r>
    </w:p>
    <w:p>
      <w:pPr>
        <w:spacing w:after="0" w:line="8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  senior in right of payment to any of our existing or future indebtedness and other</w:t>
      </w:r>
    </w:p>
    <w:p>
      <w:pPr>
        <w:spacing w:after="0" w:line="1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020" w:type="dxa"/>
            <w:vAlign w:val="bottom"/>
          </w:tcPr>
          <w:p>
            <w:pPr>
              <w:spacing w:after="0"/>
              <w:rPr>
                <w:sz w:val="18"/>
                <w:szCs w:val="18"/>
                <w:color w:val="auto"/>
              </w:rPr>
            </w:pPr>
          </w:p>
        </w:tc>
        <w:tc>
          <w:tcPr>
            <w:tcW w:w="80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obligations that are, by their terms, expressly subordinated in right of payment to the</w:t>
            </w:r>
          </w:p>
        </w:tc>
      </w:tr>
      <w:tr>
        <w:trPr>
          <w:trHeight w:val="234"/>
        </w:trPr>
        <w:tc>
          <w:tcPr>
            <w:tcW w:w="3020" w:type="dxa"/>
            <w:vAlign w:val="bottom"/>
          </w:tcPr>
          <w:p>
            <w:pPr>
              <w:spacing w:after="0"/>
              <w:rPr>
                <w:sz w:val="20"/>
                <w:szCs w:val="20"/>
                <w:color w:val="auto"/>
              </w:rPr>
            </w:pPr>
          </w:p>
        </w:tc>
        <w:tc>
          <w:tcPr>
            <w:tcW w:w="80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Notes;</w:t>
            </w:r>
          </w:p>
        </w:tc>
      </w:tr>
      <w:tr>
        <w:trPr>
          <w:trHeight w:val="319"/>
        </w:trPr>
        <w:tc>
          <w:tcPr>
            <w:tcW w:w="3020" w:type="dxa"/>
            <w:vAlign w:val="bottom"/>
          </w:tcPr>
          <w:p>
            <w:pPr>
              <w:spacing w:after="0"/>
              <w:rPr>
                <w:sz w:val="24"/>
                <w:szCs w:val="24"/>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effectively subordinated to all of our secured indebtedness and other secured obligations</w:t>
            </w:r>
          </w:p>
        </w:tc>
      </w:tr>
      <w:tr>
        <w:trPr>
          <w:trHeight w:val="216"/>
        </w:trPr>
        <w:tc>
          <w:tcPr>
            <w:tcW w:w="3020" w:type="dxa"/>
            <w:vAlign w:val="bottom"/>
          </w:tcPr>
          <w:p>
            <w:pPr>
              <w:spacing w:after="0"/>
              <w:rPr>
                <w:sz w:val="18"/>
                <w:szCs w:val="18"/>
                <w:color w:val="auto"/>
              </w:rPr>
            </w:pPr>
          </w:p>
        </w:tc>
        <w:tc>
          <w:tcPr>
            <w:tcW w:w="80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to the extent of the value of the assets securing such secured indebtedness or other</w:t>
            </w:r>
          </w:p>
        </w:tc>
      </w:tr>
      <w:tr>
        <w:trPr>
          <w:trHeight w:val="234"/>
        </w:trPr>
        <w:tc>
          <w:tcPr>
            <w:tcW w:w="3020" w:type="dxa"/>
            <w:vAlign w:val="bottom"/>
          </w:tcPr>
          <w:p>
            <w:pPr>
              <w:spacing w:after="0"/>
              <w:rPr>
                <w:sz w:val="20"/>
                <w:szCs w:val="20"/>
                <w:color w:val="auto"/>
              </w:rPr>
            </w:pPr>
          </w:p>
        </w:tc>
        <w:tc>
          <w:tcPr>
            <w:tcW w:w="80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secured obligations; and</w:t>
            </w:r>
          </w:p>
        </w:tc>
      </w:tr>
      <w:tr>
        <w:trPr>
          <w:trHeight w:val="338"/>
        </w:trPr>
        <w:tc>
          <w:tcPr>
            <w:tcW w:w="3020" w:type="dxa"/>
            <w:vAlign w:val="bottom"/>
          </w:tcPr>
          <w:p>
            <w:pPr>
              <w:spacing w:after="0"/>
              <w:rPr>
                <w:sz w:val="24"/>
                <w:szCs w:val="24"/>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structurally subordinated to all indebtedness and other obligations of our subsidiaries.</w:t>
            </w:r>
          </w:p>
        </w:tc>
      </w:tr>
      <w:tr>
        <w:trPr>
          <w:trHeight w:val="319"/>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We may, at our option, redeem some or all of the 2028 Notes, the 2030 Notes and the 2035</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Notes at any time and from time to time at the applicable redemption prices described</w:t>
            </w:r>
          </w:p>
        </w:tc>
      </w:tr>
      <w:tr>
        <w:trPr>
          <w:trHeight w:val="234"/>
        </w:trPr>
        <w:tc>
          <w:tcPr>
            <w:tcW w:w="3020" w:type="dxa"/>
            <w:vAlign w:val="bottom"/>
          </w:tcPr>
          <w:p>
            <w:pPr>
              <w:spacing w:after="0"/>
              <w:rPr>
                <w:sz w:val="20"/>
                <w:szCs w:val="20"/>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under “Description of the Notes—Optional Redemption.”</w:t>
            </w:r>
          </w:p>
        </w:tc>
      </w:tr>
      <w:tr>
        <w:trPr>
          <w:trHeight w:val="338"/>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Certain Covenants</w:t>
            </w: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The Notes will be issued under the Indenture, which will contain covenants that will limit:</w:t>
            </w:r>
          </w:p>
        </w:tc>
      </w:tr>
      <w:tr>
        <w:trPr>
          <w:trHeight w:val="333"/>
        </w:trPr>
        <w:tc>
          <w:tcPr>
            <w:tcW w:w="3020" w:type="dxa"/>
            <w:vAlign w:val="bottom"/>
          </w:tcPr>
          <w:p>
            <w:pPr>
              <w:spacing w:after="0"/>
              <w:rPr>
                <w:sz w:val="24"/>
                <w:szCs w:val="24"/>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the ability of GM and certain of its subsidiaries to incur indebtedness secured by certain</w:t>
            </w:r>
          </w:p>
        </w:tc>
      </w:tr>
      <w:tr>
        <w:trPr>
          <w:trHeight w:val="234"/>
        </w:trPr>
        <w:tc>
          <w:tcPr>
            <w:tcW w:w="3020" w:type="dxa"/>
            <w:vAlign w:val="bottom"/>
          </w:tcPr>
          <w:p>
            <w:pPr>
              <w:spacing w:after="0"/>
              <w:rPr>
                <w:sz w:val="20"/>
                <w:szCs w:val="20"/>
                <w:color w:val="auto"/>
              </w:rPr>
            </w:pPr>
          </w:p>
        </w:tc>
        <w:tc>
          <w:tcPr>
            <w:tcW w:w="80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principal domestic manufacturing</w:t>
            </w:r>
          </w:p>
        </w:tc>
      </w:tr>
      <w:tr>
        <w:trPr>
          <w:trHeight w:val="172"/>
        </w:trPr>
        <w:tc>
          <w:tcPr>
            <w:tcW w:w="30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r>
      <w:tr>
        <w:trPr>
          <w:trHeight w:val="361"/>
        </w:trPr>
        <w:tc>
          <w:tcPr>
            <w:tcW w:w="3020" w:type="dxa"/>
            <w:vAlign w:val="bottom"/>
          </w:tcPr>
          <w:p>
            <w:pPr>
              <w:spacing w:after="0"/>
              <w:rPr>
                <w:sz w:val="24"/>
                <w:szCs w:val="24"/>
                <w:color w:val="auto"/>
              </w:rPr>
            </w:pPr>
          </w:p>
        </w:tc>
        <w:tc>
          <w:tcPr>
            <w:tcW w:w="80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734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560" w:right="600"/>
        <w:spacing w:after="0" w:line="266" w:lineRule="auto"/>
        <w:rPr>
          <w:sz w:val="20"/>
          <w:szCs w:val="20"/>
          <w:color w:val="auto"/>
        </w:rPr>
      </w:pPr>
      <w:r>
        <w:rPr>
          <w:rFonts w:ascii="Times New Roman" w:cs="Times New Roman" w:eastAsia="Times New Roman" w:hAnsi="Times New Roman"/>
          <w:sz w:val="18"/>
          <w:szCs w:val="18"/>
          <w:color w:val="auto"/>
        </w:rPr>
        <w:t>properties or by any shares of stock or indebtedness of certain manufacturing subsidiaries and to enter into certain sale and leaseback transactions with respect to certain principal domestic manufacturing properties; and</w:t>
      </w:r>
    </w:p>
    <w:p>
      <w:pPr>
        <w:spacing w:after="0" w:line="8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  the ability of GM to enter into certain mergers or certain conveyances, transfers or leases</w:t>
            </w:r>
          </w:p>
        </w:tc>
      </w:tr>
      <w:tr>
        <w:trPr>
          <w:trHeight w:val="234"/>
        </w:trPr>
        <w:tc>
          <w:tcPr>
            <w:tcW w:w="3140" w:type="dxa"/>
            <w:vAlign w:val="bottom"/>
          </w:tcPr>
          <w:p>
            <w:pPr>
              <w:spacing w:after="0"/>
              <w:rPr>
                <w:sz w:val="20"/>
                <w:szCs w:val="20"/>
                <w:color w:val="auto"/>
              </w:rPr>
            </w:pPr>
          </w:p>
        </w:tc>
        <w:tc>
          <w:tcPr>
            <w:tcW w:w="78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of all or substantially all of its properties and assets.</w:t>
            </w:r>
          </w:p>
        </w:tc>
      </w:tr>
      <w:tr>
        <w:trPr>
          <w:trHeight w:val="319"/>
        </w:trPr>
        <w:tc>
          <w:tcPr>
            <w:tcW w:w="3140" w:type="dxa"/>
            <w:vAlign w:val="bottom"/>
          </w:tcPr>
          <w:p>
            <w:pPr>
              <w:spacing w:after="0"/>
              <w:rPr>
                <w:sz w:val="24"/>
                <w:szCs w:val="24"/>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Each of these covenants, however, is subject to significant exceptions. See “Description of</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the Notes—Certain Covenants” in this prospectus supplement and “Description of Debt</w:t>
            </w:r>
          </w:p>
        </w:tc>
      </w:tr>
      <w:tr>
        <w:trPr>
          <w:trHeight w:val="234"/>
        </w:trPr>
        <w:tc>
          <w:tcPr>
            <w:tcW w:w="3140" w:type="dxa"/>
            <w:vAlign w:val="bottom"/>
          </w:tcPr>
          <w:p>
            <w:pPr>
              <w:spacing w:after="0"/>
              <w:rPr>
                <w:sz w:val="20"/>
                <w:szCs w:val="20"/>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Securities—Consolidation, Merger or Sale of Assets” in the accompanying prospectus.</w:t>
            </w:r>
          </w:p>
        </w:tc>
      </w:tr>
      <w:tr>
        <w:trPr>
          <w:trHeight w:val="319"/>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Further Issuances</w:t>
            </w: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The Indenture does not limit the amount of Notes that we may issue. We may issue</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additional Notes of any series up to an aggregate principal amount as our board of directors</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may authorize from time to time; provided that if the additional Notes are not fungible with</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the Notes of a particular series for U.S. federal income tax purposes, the additional Notes</w:t>
            </w:r>
          </w:p>
        </w:tc>
      </w:tr>
      <w:tr>
        <w:trPr>
          <w:trHeight w:val="234"/>
        </w:trPr>
        <w:tc>
          <w:tcPr>
            <w:tcW w:w="3140" w:type="dxa"/>
            <w:vAlign w:val="bottom"/>
          </w:tcPr>
          <w:p>
            <w:pPr>
              <w:spacing w:after="0"/>
              <w:rPr>
                <w:sz w:val="20"/>
                <w:szCs w:val="20"/>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will have a separate CUSIP number.</w:t>
            </w:r>
          </w:p>
        </w:tc>
      </w:tr>
      <w:tr>
        <w:trPr>
          <w:trHeight w:val="319"/>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 Prior Markets</w:t>
            </w: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The Notes will be new securities for which there are currently no existing markets. The</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Notes will not be listed on any securities exchange. Although the underwriters have</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advised us that they currently intend to make a market in the Notes of each series, they are</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not obligated to do so and may discontinue any market-making activities at any time</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without notice. Accordingly, we cannot assure you as to the liquidity of, or the trading</w:t>
            </w:r>
          </w:p>
        </w:tc>
      </w:tr>
      <w:tr>
        <w:trPr>
          <w:trHeight w:val="234"/>
        </w:trPr>
        <w:tc>
          <w:tcPr>
            <w:tcW w:w="3140" w:type="dxa"/>
            <w:vAlign w:val="bottom"/>
          </w:tcPr>
          <w:p>
            <w:pPr>
              <w:spacing w:after="0"/>
              <w:rPr>
                <w:sz w:val="20"/>
                <w:szCs w:val="20"/>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markets for, the Notes.</w:t>
            </w:r>
          </w:p>
        </w:tc>
      </w:tr>
      <w:tr>
        <w:trPr>
          <w:trHeight w:val="319"/>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Form and Denomination</w:t>
            </w: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The Notes will be issued in fully registered form and will be represented by global notes</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without interest coupons. The global notes will be deposited with a custodian for and</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registered in the name of a nominee of The Depository Trust Company (“DTC”) in New</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York, New York. Investors may elect to hold interests in the global notes through DTC and</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its direct or indirect participants as described under “Description of Debt Securities—</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Book-Entry; Delivery and Form; Global Securities” in the accompanying prospectus. The</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Notes of each series will be issued only in minimum denominations of $2,000 and integral</w:t>
            </w:r>
          </w:p>
        </w:tc>
      </w:tr>
      <w:tr>
        <w:trPr>
          <w:trHeight w:val="234"/>
        </w:trPr>
        <w:tc>
          <w:tcPr>
            <w:tcW w:w="3140" w:type="dxa"/>
            <w:vAlign w:val="bottom"/>
          </w:tcPr>
          <w:p>
            <w:pPr>
              <w:spacing w:after="0"/>
              <w:rPr>
                <w:sz w:val="20"/>
                <w:szCs w:val="20"/>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multiples of $1,000 in excess thereof.</w:t>
            </w:r>
          </w:p>
        </w:tc>
      </w:tr>
      <w:tr>
        <w:trPr>
          <w:trHeight w:val="319"/>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Settlement</w:t>
            </w: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It is expected that delivery of the Notes will be made against payment therefor on or about</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May 7, 2025, which will be the second business day following the date of pricing of the</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Notes (such settlement cycle being referred to herein as “T+2”). Under Rule 15c6-1 of the</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Exchange Act, trades in the secondary market generally are required to settle in one</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business day, unless the parties to any such trade expressly agree otherwise. Accordingly,</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purchasers who wish to trade the Notes on any day prior to one business day before the</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settlement date will be required, by virtue of the fact that the Notes initially will settle in</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T+2, to specify an alternate settlement cycle at the time of any such trade to prevent a</w:t>
            </w:r>
          </w:p>
        </w:tc>
      </w:tr>
      <w:tr>
        <w:trPr>
          <w:trHeight w:val="216"/>
        </w:trPr>
        <w:tc>
          <w:tcPr>
            <w:tcW w:w="3140" w:type="dxa"/>
            <w:vAlign w:val="bottom"/>
          </w:tcPr>
          <w:p>
            <w:pPr>
              <w:spacing w:after="0"/>
              <w:rPr>
                <w:sz w:val="18"/>
                <w:szCs w:val="18"/>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failed settlement. Purchasers of the Notes who wish to trade those Notes on the date of</w:t>
            </w:r>
          </w:p>
        </w:tc>
      </w:tr>
      <w:tr>
        <w:trPr>
          <w:trHeight w:val="234"/>
        </w:trPr>
        <w:tc>
          <w:tcPr>
            <w:tcW w:w="3140" w:type="dxa"/>
            <w:vAlign w:val="bottom"/>
          </w:tcPr>
          <w:p>
            <w:pPr>
              <w:spacing w:after="0"/>
              <w:rPr>
                <w:sz w:val="20"/>
                <w:szCs w:val="20"/>
                <w:color w:val="auto"/>
              </w:rPr>
            </w:pPr>
          </w:p>
        </w:tc>
        <w:tc>
          <w:tcPr>
            <w:tcW w:w="78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pricing should consult their own advisor.</w:t>
            </w:r>
          </w:p>
        </w:tc>
      </w:tr>
      <w:tr>
        <w:trPr>
          <w:trHeight w:val="172"/>
        </w:trPr>
        <w:tc>
          <w:tcPr>
            <w:tcW w:w="3140" w:type="dxa"/>
            <w:vAlign w:val="bottom"/>
            <w:tcBorders>
              <w:bottom w:val="single" w:sz="8" w:color="auto"/>
            </w:tcBorders>
          </w:tcPr>
          <w:p>
            <w:pPr>
              <w:spacing w:after="0"/>
              <w:rPr>
                <w:sz w:val="14"/>
                <w:szCs w:val="14"/>
                <w:color w:val="auto"/>
              </w:rPr>
            </w:pPr>
          </w:p>
        </w:tc>
        <w:tc>
          <w:tcPr>
            <w:tcW w:w="7880" w:type="dxa"/>
            <w:vAlign w:val="bottom"/>
            <w:tcBorders>
              <w:bottom w:val="single" w:sz="8" w:color="auto"/>
            </w:tcBorders>
          </w:tcPr>
          <w:p>
            <w:pPr>
              <w:spacing w:after="0"/>
              <w:rPr>
                <w:sz w:val="14"/>
                <w:szCs w:val="14"/>
                <w:color w:val="auto"/>
              </w:rPr>
            </w:pPr>
          </w:p>
        </w:tc>
      </w:tr>
      <w:tr>
        <w:trPr>
          <w:trHeight w:val="361"/>
        </w:trPr>
        <w:tc>
          <w:tcPr>
            <w:tcW w:w="3140" w:type="dxa"/>
            <w:vAlign w:val="bottom"/>
          </w:tcPr>
          <w:p>
            <w:pPr>
              <w:spacing w:after="0"/>
              <w:rPr>
                <w:sz w:val="24"/>
                <w:szCs w:val="24"/>
                <w:color w:val="auto"/>
              </w:rPr>
            </w:pPr>
          </w:p>
        </w:tc>
        <w:tc>
          <w:tcPr>
            <w:tcW w:w="78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5"/>
        </w:trPr>
        <w:tc>
          <w:tcPr>
            <w:tcW w:w="280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Trustee</w:t>
            </w:r>
          </w:p>
        </w:tc>
        <w:tc>
          <w:tcPr>
            <w:tcW w:w="8220" w:type="dxa"/>
            <w:vAlign w:val="bottom"/>
            <w:tcBorders>
              <w:top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The Bank of New York Mellon (the “Trustee”).</w:t>
            </w:r>
          </w:p>
        </w:tc>
      </w:tr>
      <w:tr>
        <w:trPr>
          <w:trHeight w:val="333"/>
        </w:trPr>
        <w:tc>
          <w:tcPr>
            <w:tcW w:w="2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We intend to allocate an amount equal to the net proceeds from this offering for general</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corporate purposes, including to refinance a portion of the $1.25 billion outstanding of our</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6.125% senior notes maturing on October 1, 2025, and fund a portion of the $1.8 billion</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five-year term loan we have agreed to make to Ultium Cells LLC, our joint venture with</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LG Energy Solution, to facilitate full voluntary prepayment of loans Ultium Cells LLC</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received under the U.S. Department of Energy’s Advanced Technology Vehicles</w:t>
            </w:r>
          </w:p>
        </w:tc>
      </w:tr>
      <w:tr>
        <w:trPr>
          <w:trHeight w:val="234"/>
        </w:trPr>
        <w:tc>
          <w:tcPr>
            <w:tcW w:w="280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Manufacturing program. See “Use of Proceeds.”</w:t>
            </w:r>
          </w:p>
        </w:tc>
      </w:tr>
      <w:tr>
        <w:trPr>
          <w:trHeight w:val="337"/>
        </w:trPr>
        <w:tc>
          <w:tcPr>
            <w:tcW w:w="2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State of New York.</w:t>
            </w:r>
          </w:p>
        </w:tc>
      </w:tr>
      <w:tr>
        <w:trPr>
          <w:trHeight w:val="333"/>
        </w:trPr>
        <w:tc>
          <w:tcPr>
            <w:tcW w:w="2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See “Risk Factors” beginning on page S-6 of this prospectus supplement, in the</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accompanying prospectus and in our periodic reports filed from time to time with the SEC</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for a discussion of risks you should carefully consider before deciding to invest in the</w:t>
            </w:r>
          </w:p>
        </w:tc>
      </w:tr>
      <w:tr>
        <w:trPr>
          <w:trHeight w:val="234"/>
        </w:trPr>
        <w:tc>
          <w:tcPr>
            <w:tcW w:w="280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Notes.</w:t>
            </w:r>
          </w:p>
        </w:tc>
      </w:tr>
      <w:tr>
        <w:trPr>
          <w:trHeight w:val="432"/>
        </w:trPr>
        <w:tc>
          <w:tcPr>
            <w:tcW w:w="2800" w:type="dxa"/>
            <w:vAlign w:val="bottom"/>
            <w:tcBorders>
              <w:left w:val="single" w:sz="8" w:color="auto"/>
            </w:tcBorders>
          </w:tcPr>
          <w:p>
            <w:pPr>
              <w:spacing w:after="0"/>
              <w:rPr>
                <w:sz w:val="24"/>
                <w:szCs w:val="24"/>
                <w:color w:val="auto"/>
              </w:rPr>
            </w:pPr>
          </w:p>
        </w:tc>
        <w:tc>
          <w:tcPr>
            <w:tcW w:w="8220" w:type="dxa"/>
            <w:vAlign w:val="bottom"/>
            <w:tcBorders>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 * * * * * *</w:t>
            </w:r>
          </w:p>
        </w:tc>
      </w:tr>
      <w:tr>
        <w:trPr>
          <w:trHeight w:val="172"/>
        </w:trPr>
        <w:tc>
          <w:tcPr>
            <w:tcW w:w="2800" w:type="dxa"/>
            <w:vAlign w:val="bottom"/>
            <w:tcBorders>
              <w:left w:val="single" w:sz="8" w:color="auto"/>
              <w:bottom w:val="single" w:sz="8" w:color="auto"/>
            </w:tcBorders>
          </w:tcPr>
          <w:p>
            <w:pPr>
              <w:spacing w:after="0"/>
              <w:rPr>
                <w:sz w:val="14"/>
                <w:szCs w:val="14"/>
                <w:color w:val="auto"/>
              </w:rPr>
            </w:pPr>
          </w:p>
        </w:tc>
        <w:tc>
          <w:tcPr>
            <w:tcW w:w="8220" w:type="dxa"/>
            <w:vAlign w:val="bottom"/>
            <w:tcBorders>
              <w:bottom w:val="single" w:sz="8" w:color="auto"/>
              <w:right w:val="single" w:sz="8" w:color="auto"/>
            </w:tcBorders>
          </w:tcPr>
          <w:p>
            <w:pPr>
              <w:spacing w:after="0"/>
              <w:rPr>
                <w:sz w:val="14"/>
                <w:szCs w:val="14"/>
                <w:color w:val="auto"/>
              </w:rPr>
            </w:pPr>
          </w:p>
        </w:tc>
      </w:tr>
      <w:tr>
        <w:trPr>
          <w:trHeight w:val="361"/>
        </w:trPr>
        <w:tc>
          <w:tcPr>
            <w:tcW w:w="2800" w:type="dxa"/>
            <w:vAlign w:val="bottom"/>
          </w:tcPr>
          <w:p>
            <w:pPr>
              <w:spacing w:after="0"/>
              <w:rPr>
                <w:sz w:val="24"/>
                <w:szCs w:val="24"/>
                <w:color w:val="auto"/>
              </w:rPr>
            </w:pPr>
          </w:p>
        </w:tc>
        <w:tc>
          <w:tcPr>
            <w:tcW w:w="82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Investment in the Notes involves risks. In addition to all of the other information contained or incorporated by reference into this prospectus supplement and the accompanying prospectus, you should carefully consider the risk factors set forth below and the risk factors incorporated by reference to our Annual Report on Form 10-K for the year ended December 31, 2024, as updated by our subsequent filings under the Exchange Act that are incorporated by reference herein, including our Quarterly Report on Form 10-Q for the quarterly period ended March 31, 2025, and our Current Reports on Form 8-K and any amendments thereof, before investing in the Notes.</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structurally subordinated to the indebtedness and other liabilities of our subsidiaries.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7"/>
          <w:szCs w:val="17"/>
          <w:color w:val="auto"/>
        </w:rPr>
        <w:t>The Notes will be obligations exclusively of General Motors Company and not any of our subsidiaries, and none of our subsidiaries will guarantee the Notes. We are a holding company and, accordingly, substantially all of our operations are conducted through subsidiaries, which are separate and distinct legal entities. Our subsidiaries have no obligation to pay any amounts due under the Notes or to provide us with funds to pay our obligations, whether by dividends, distributions, loans or other payments. All claims of creditors (including secured and unsecured creditors and general trade creditors) and preferred stockholders of our subsidiaries will have priority with respect to the assets of such subsidiaries over our claims (and therefore the claims of our creditors, including holders of the Notes) as an equity holder of such subsidiaries. Consequently, the Notes will be structurally subordinated to the indebtedness and other liabilities of our subsidiaries and any subsidiaries that we may in the future acquire or create. Furthermore, even if we were a creditor of any of our subsidiaries, our rights as a creditor would be effectively subordinated to any security interest in the assets of those subsidiaries and would be subordinate to any indebtedness of those subsidiaries senior to that held by us. As of March 31, 2025, we had total consolidated liabilities of approximately $215.7 billion (including consolidated indebtedness of approximately $132.7 billion), of which $14.7 billion represents the aggregate principal amount of indebtedness of General Motors Company (parent company only) under our 4.000% senior notes due 2025 (since matured), 6.125% senior notes due 2025, 4.200% senior notes due 2027, 6.800% senior notes due 2027, 5.000% senior notes due 2028, 5.400% senior notes due 2029, 5.600% senior notes due 2032, 5.000% senior notes due 2035, 6.600% senior notes due 2036, 5.150% senior notes due 2038,</w:t>
      </w:r>
    </w:p>
    <w:p>
      <w:pPr>
        <w:spacing w:after="0" w:line="10" w:lineRule="exact"/>
        <w:rPr>
          <w:sz w:val="20"/>
          <w:szCs w:val="20"/>
          <w:color w:val="auto"/>
        </w:rPr>
      </w:pPr>
    </w:p>
    <w:p>
      <w:pPr>
        <w:ind w:left="120" w:right="220"/>
        <w:spacing w:after="0" w:line="253" w:lineRule="auto"/>
        <w:rPr>
          <w:sz w:val="20"/>
          <w:szCs w:val="20"/>
          <w:color w:val="auto"/>
        </w:rPr>
      </w:pPr>
      <w:r>
        <w:rPr>
          <w:rFonts w:ascii="Times New Roman" w:cs="Times New Roman" w:eastAsia="Times New Roman" w:hAnsi="Times New Roman"/>
          <w:sz w:val="18"/>
          <w:szCs w:val="18"/>
          <w:color w:val="auto"/>
        </w:rPr>
        <w:t>6.250% senior notes due 2043, 5.200% senior notes due 2045, 6.750% senior notes due 2046, 5.400% senior notes due 2048 and 5.950% senior notes due 2049 and substantially all of the remainder of which are liabilities of our subsidiaries. Furthermore, our revolving credit facilities provide for undrawn availability of up to $13.5 billion, which represents the full amount of our revolving credit facilities, less $0.6 billion of letters of credit outstanding thereunder, as of March 31, 2025.</w:t>
      </w:r>
    </w:p>
    <w:p>
      <w:pPr>
        <w:spacing w:after="0" w:line="293"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substantially all of our operations through our subsidiaries and depend on cash flow from our subsidiaries to meet our obligations. Your right to receive payments on the Notes could be adversely affected if any of our subsidiaries becomes unable to distribute cash to us.</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Because we are a holding company and conduct substantially all of our operations through subsidiaries, our cash flow and ability to service debt, including the Notes and $14.7 billion in aggregate principal amount of other senior notes, will depend to a significant extent on the generation of cash flow by our subsidiaries and their ability to make such cash available to us, whether by dividends, distributions or other payments. Our subsidiaries are separate and distinct legal entities and will have no obligation, contingent or otherwise, to pay any amounts due pursuant to the Notes or to make any funds available therefor. The financial condition and operating requirements of our subsidiaries may limit our ability to obtain cash from our subsidiaries. In addition, provisions of law, such as those requiring that dividends be paid only from surplus, could limit the ability of our subsidiaries to make payments or other distributions to us. Furthermore, our subsidiaries could in certain circumstances agree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to contractual restrictions on their ability to make distributions. In the event that we do not receive distributions from our subsidiaries, we may be unable to make required payments on our obligations, including the Notes.</w:t>
      </w:r>
    </w:p>
    <w:p>
      <w:pPr>
        <w:spacing w:after="0" w:line="266"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limited covenants in the Indenture that will govern the Notes will not provide protection against many types of important corporate events and may not protect your investment.</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will not:</w:t>
      </w:r>
    </w:p>
    <w:p>
      <w:pPr>
        <w:spacing w:after="0" w:line="131" w:lineRule="exact"/>
        <w:rPr>
          <w:sz w:val="20"/>
          <w:szCs w:val="20"/>
          <w:color w:val="auto"/>
        </w:rPr>
      </w:pPr>
    </w:p>
    <w:p>
      <w:pPr>
        <w:ind w:left="1080" w:right="26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maintain any financial ratios or specific levels of net worth, revenues, income, cash flow or liquidity and, accordingly, will not protect holders of the Notes in the event that we experience significant adverse changes in our financial condition or results of operations;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subsidiaries’ ability to issue securities or otherwise incur indebtedness (other than certain secured indebtedness) that would be senior in right of payment to our equity interests in our subsidiaries and therefore would be structurally senior to the Notes;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entirely limit our ability to incur secured indebtedness that would effectively rank senior to the Notes to the extent of the value of the assets securing the indebtedness;</w:t>
      </w:r>
    </w:p>
    <w:p>
      <w:pPr>
        <w:spacing w:after="0" w:line="67" w:lineRule="exact"/>
        <w:rPr>
          <w:rFonts w:ascii="Times New Roman" w:cs="Times New Roman" w:eastAsia="Times New Roman" w:hAnsi="Times New Roman"/>
          <w:sz w:val="18"/>
          <w:szCs w:val="18"/>
          <w:color w:val="auto"/>
        </w:rPr>
      </w:pPr>
    </w:p>
    <w:p>
      <w:pPr>
        <w:ind w:left="1080" w:right="10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indebtedness that is equal or subordinate in right of payment to the Notes (other than certain secured indebtedness);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repurchase our equity securities or prepay our other indebtedness;</w:t>
      </w:r>
    </w:p>
    <w:p>
      <w:pPr>
        <w:spacing w:after="0" w:line="130"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make investments or pay dividends or make other payments in respect of our equity securities or our other indebtedness;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enter into highly leveraged transactions;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make an offer to repurchase the Notes in the event of a change in control transaction.</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 foregoing, when evaluating the terms of the Notes, you should be aware that the terms of the Indenture and the Notes will not restrict our ability to engage in, or to otherwise be a party to, a variety of corporate transactions, circumstances and events, such as certain acquisitions, refinancings or recapitalizations, that could substantially and adversely affect our capital structure and the value of the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Although the Notes are referred to as “senior notes,” the Notes will be unsecured and will be effectively subordinated to any of our secured debt.</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Notes will be our unsecured general obligations and will be effectively subordinated to any existing or future secured debt obligations that we may incur to the extent of the value of the assets securing that debt. If we are involved in a bankruptcy, liquidation, dissolution, reorganization or similar proceeding, or upon a default in payment on, or the acceleration of, our secured debt, our assets will be available to pay obligations on the Notes only after all secured debt has been paid in full from the assets securing such debt. We may not have sufficient assets remaining to pay amounts due on any or all of the Notes then outstanding.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default or any of our subsidiaries defaults on obligations to pay indebtedness, we may not be able to make payments on the Notes.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default under agreements governing our indebtedness or the indebtedness of our subsidiaries, including any default under our three-year, $4.1 billion revolving credit facility, our five-year, $10.0 billion revolving credit facility, our 364-day $2.0 billion revolving credit facility or any future revolving credit facility that we may enter into by us or certain of our subsidiaries, that is not waived by the required lenders, and the remedies sought by the holders of such indebtedness, could prevent us from making (or adversely affect our ability to make) required payments on the Notes and could substantially decrease the market value of the Notes. If we or our subsidiaries are unable to generate sufficient cash flows and we or they are otherwise unable to obtain funds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necessary to meet required payments on our or their indebtedness, or if we or they otherwise fail to comply with the various covenants, including any financial and operating covenants, in the instruments governing such indebtedness, we or they could be in default under the terms of the agreements governing such indebtedness. In the event of such default, the holders of such indebtedness could, among other things, elect to declare all the funds borrowed thereunder to be due and payable and/or terminate their funding commitments, and we or our subsidiaries could be forced into bankruptcy or liquidation. A default under our or our subsidiaries’ other indebtedness will not constitute a default under the 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are currently no markets for the Notes, and we cannot assure you that active trading markets for the Notes will develop.</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Notes will be new securities for which there currently are no established markets. The Notes will not be listed on any securities exchange. We can give you no assurance as to whether any trading markets for the Notes will ever develop or continue, as to your ability to sell the Notes or as to the prices at which you may be able to sell your Notes. The liquidity of any market for the Notes of each series will depend on a number of factors, including the number of holders of the Notes, prevailing interest rates, the market for similar securities, ratings on us and our debt securities, general economic conditions and the conditions of the financial markets, recommendations of securities analysts and our own results of operations, financial condition and prospects. The underwriters have informed us that they currently intend to make a market in the Notes of each series. However, they are not obligated to do so and may discontinue such market-making at any time without notice. If no active trading markets develop or continue, you may be unable to resell the Notes at their fair value or at any price.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Even if trading markets do develop, changes in our credit ratings or the debt markets could adversely affect the market prices of the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market prices for the Notes will depend on many factors, including, among others:</w:t>
      </w:r>
    </w:p>
    <w:p>
      <w:pPr>
        <w:spacing w:after="0" w:line="13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ratings on us and our debt securities, including the Notes, assigned by rating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interest rates being paid by other companies similar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financial condition and prospects;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of the financial markets.</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prices of the Notes may be adversely affected by unfavorable changes in these factors. The condition of the financial markets and prevailing interest rates have fluctuated in the past and are likely to fluctuate in the future, which could have an adverse effect on the market prices of the Notes regardless of our prospects and financial performance and condition.</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In addition, credit rating agencies continually review the ratings they have assigned to companies and debt securities. Negative changes in the ratings assigned to us or our debt securities, including the Notes, could have an adverse effect on the market prices of the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increase in market interest rates and fluctuating market conditions could result in a decrease in the value of the Notes.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general, as market interest rates rise, notes bearing interest at a fixed rate decline in value. Consequently, if you purchase any of the Notes and market interest rates increase, the market values of such Notes may decline. In addition, changes in market conditions could result in a decline in the market value of the Notes. The condition of the financial markets and prevailing interest rates have fluctuated in recent years and are likely to fluctuate in the future, which may adversely affect the market value of the Notes. We cannot predict the future level of market interest rates or future market conditions.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080"/>
          </w:cols>
          <w:pgMar w:left="320" w:top="455"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expect to receive total net proceeds of approximately $1.99 billion from the issuance of the Notes, after deducting estimated underwriting discounts and estimated offering expenses payable by us. We intend to use the net proceeds from this offering for general corporate purposes, including to refinance a portion of the $1.25 billion outstanding of our 6.125% senior notes maturing on October 1, 2025, and fund a portion of the $1.8 billion five-year term loan we have agreed to make to Ultium Cells LLC, our joint venture with LG Energy Solution, to facilitate full voluntary prepayment of loans Ultium Cells LLC received under the U.S. Department of Energy’s Advanced Technology Vehicles Manufacturing program. Our management will have broad discretion in the application of the net proceeds. Until we use the net proceeds from this offering, we intend to invest the funds in short-term investments, including marketable securities.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Notes offered hereby will be issued as separate series of debt securities pursuant to the indenture (the “Original Indenture”) dated as of September 27, 2013 between GM and The Bank of New York Mellon, as trustee (the “Trustee”), as amended and supplemented by the seventh supplemental indenture (the “Seventh Supplemental Indenture” and together with the Original Indenture, the “Base Indenture”), dated as of August 2, 2022, and as supplemented by the eighth supplemental indenture (the “Eighth Supplemental Indenture”) to be dated on or about May 7, 2025 between us and the Trustee. The Base Indenture and the Eighth Supplemental Indenture, as amended and supplemented, are together referred to herein as the “Indenture.” The Indenture and the Notes are governed by, and construed in accordance with, the laws of the State of New York, United States.</w:t>
      </w:r>
    </w:p>
    <w:p>
      <w:pPr>
        <w:spacing w:after="0" w:line="187"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following description is a summary of the terms of the Notes being offered. This prospectus supplement and the accompanying prospectus contain descriptions of certain terms of the Notes and the Indenture but do not purport to be complete and are subject to, and are qualified in their entirety by reference to, all of the provisions of the Indenture, including the definitions of specified terms used in the Indenture, and to the Trust Indenture Act of 1939, as amended (the “TIA”). This summary supplements the description of the debt securities in the accompanying prospectus and, to the extent it is inconsistent, replaces the description in the accompanying prospectus. We urge you to read the Indenture because it, and not this description, defines your rights as a holder of the Notes.</w:t>
      </w:r>
    </w:p>
    <w:p>
      <w:pPr>
        <w:spacing w:after="0" w:line="18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Notes will be senior, unsecured obligations of GM and will rank equally with all other unsecured and unsubordinated indebtedness of GM (other than obligations preferred by mandatory provisions of law).</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2028 Notes will mature on April 15, 2028, the 2030 Notes will mature on April 15, 2030 and the 2035 Notes will mature on April 15, 2035; in each case unless we redeem such Notes prior to their respective maturity dates, as described below under “—Optional Redemption.”</w:t>
      </w:r>
    </w:p>
    <w:p>
      <w:pPr>
        <w:spacing w:after="0" w:line="16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Notes will be issued in book-entry form only through the facilities of DTC, including its participants, Euroclear and Clearstream. See “Description of Debt Securities—Book-Entry; Delivery and Form; Global Securities” in the accompanying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and Interest</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2028 Notes will initially be limited to $750,000,000 aggregate principal amount, the 2030 Notes will initially be limited to $750,000,000 aggregate principal amount and the 2035 Notes will initially be limited to $500,000,000 aggregate principal amount.</w:t>
      </w:r>
    </w:p>
    <w:p>
      <w:pPr>
        <w:spacing w:after="0" w:line="162"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The 2028 Notes will bear interest at a rate of 5.350% per year, the 2030 Notes will bear interest at a rate of 5.625% per year and the 2035 Notes will bear interest at a rate of 6.250% per year. Each series of Notes will accrue interest, calculated on the basis of a 360-day year consisting of twelve 30-day months, from May 7, 2025, or, in each case, from the most recent interest payment date to which interest has been paid or duly provided for, which, in each case, will be payable in arrears on April 15 and October 15 of each year, with the first payment to be made on October 15, 2025, to the person in whose name such Notes are registered at the close of business on the April 1 or October 1, as the case may be, next preceding the relevant interest payment date.</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any interest payment date, stated maturity date or earlier redemption date for any series of Notes falls on a day that is not a Business Day, we will make the required payment of principal, premium, if any, and/or interest on the next Business Day as if it were made on the date payment was due, and no interest will accrue on the amount so payable for the period from and after that interest payment date, stated maturity date or earlier redemption date, as the case may be, to the next Business Day.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All Notes</w:t>
      </w:r>
    </w:p>
    <w:p>
      <w:pPr>
        <w:spacing w:after="0" w:line="22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Notes of each series will be issued in fully registered form only, in denominations of $2,000 and integral multiples of $1,000 in excess thereof.</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Amounts due on the respective stated maturity date of the Notes (or the earlier redemption date of such Notes) will be payable at the corporate trust office of the Trustee, which at the date hereof is 240 Greenwich Street, New York, NY 10286, Attention: Corporate Trust Administration. We will make payments of principal, premium, if any, and interest in respect of the Notes in book-entry form to DTC in immediately available funds, while disbursement of such payments to owners of beneficial interests in Notes in book-entry form will be made in accordance with the procedures of DTC and its participants in effect from time to time.</w:t>
      </w:r>
    </w:p>
    <w:p>
      <w:pPr>
        <w:spacing w:after="0" w:line="183"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term “Business Day” means each Monday, Tuesday, Wednesday, Thursday and Friday that is not a day on which banking institutions are authorized or obligated by law, regulation or executive order to close in The City of New York or the city in which the corporate trust office of the Trustee is located.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Indenture does not limit the amount of other debt that we may incur. We may, from time to time, without the consent of the holders of the Notes, issue other debt securities under the Base Indenture in addition to the Notes. We may also, from time to time, without the consent of the holders of the Notes, increase the principal amount of the Notes that may be issued under the Indenture and issue additional Notes of any series in the future; provided that if any additional notes issued are not fungible with the Notes of a particular series for U.S. federal income tax purposes, the additional notes will have a separate CUSIP number. Any such additional notes of a particular series will have the same terms as the Notes of such series being offered in this offering but may be offered at a different offering price or have a different issue date, initial interest accrual date or initial interest payment date than the Notes being offered in this offering. If issued, these additional notes of a particular series will become part of the same series as the corresponding Notes being offered in this offering, including for purposes of voting, redemptions and offers to purchase.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Prior to (i) March 15, 2028 (one month prior to their maturity date) in the case of the 2028 Notes, (ii) March 15, 2030 (one month prior to their maturity date) in the case of the 2030 Notes and (iii) January 15, 2035 (three months prior to their maturity date) in the case of the 2035 Notes (the foregoing dates in respect of the applicable series of Notes, the “Par Call Dates”), the Company may redeem the Notes of either series at its option, in whole or in part, at any time and from time to time, at a redemption price (expressed as a percentage of principal amount and rounded to three decimal places) equal to the greater of:</w:t>
      </w:r>
    </w:p>
    <w:p>
      <w:pPr>
        <w:spacing w:after="0" w:line="75" w:lineRule="exact"/>
        <w:rPr>
          <w:sz w:val="20"/>
          <w:szCs w:val="20"/>
          <w:color w:val="auto"/>
        </w:rPr>
      </w:pPr>
    </w:p>
    <w:p>
      <w:pPr>
        <w:jc w:val="both"/>
        <w:ind w:left="560" w:right="260" w:hanging="4"/>
        <w:spacing w:after="0" w:line="261"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their applicable Par Call Date) on a semi-annual basis (assuming a 360-day year consisting of twelve 30-day months) at the Treasury Rate plus 25 basis points with respect to the 2028 Notes, 30 basis points with respect to the 2030 Notes and 30 basis points with respect to the 2035 Notes less (b) interest accrued to the date of redemption, and</w:t>
      </w:r>
    </w:p>
    <w:p>
      <w:pPr>
        <w:spacing w:after="0" w:line="7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of such series to be redeemed,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 or after the applicable Par Call Date, the Company may redeem the Notes of the applicable series, in whole or in part, at any time and from time to time, at a redemption price equal to 100% of the principal amount of the Notes of such series being redeemed plus accrued and unpaid interest thereon to the redemption date.</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000"/>
          </w:cols>
          <w:pgMar w:left="320" w:top="455" w:right="5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2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in respect of a series of Notes means, with respect to any redemption date, the yield determined by the Company in accordance with the following two paragraphs.</w:t>
      </w:r>
    </w:p>
    <w:p>
      <w:pPr>
        <w:spacing w:after="0" w:line="16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applicable Par Call Date for such series of Notes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for such series of Notes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9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U.S. Treasury security maturing on, or with a maturity that is closest to, the Par Call Date for the relevant series of Notes, as applicable. If there is no U.S. Treasury security maturing on the applicable Par Call Date for such series of Notes but there are two or more U.S. Treasury securities with a maturity date equally distant from the applicable Par Call Date, one with a maturity date preceding the applicable Par Call Date and one with a maturity date following the applicable Par Call Date, the Company shall select the U.S. Treasury security with a maturity date preceding the applicable Par Call Date. If there are two or more U.S. Treasury securities maturing on the applicable Par Call Date for such series of Notes or two or more U.S. Treasury securities meeting the criteria of the preceding sentence, the Company shall select from among these two or more U.S. Treasury securities the U.S. Treasury security that is trading closest to par based upon the average of the bid and asked prices for such U.S. Treasury securities at 11:00 a.m., New York City time. In determining the Treasury Rate in accordance with the terms of this paragraph, the semi-annual yield to maturity of the applicable U.S. Treasury security shall be based upon the average of the bid and asked prices (expressed as a percentage of principal amount) at 11:00 a.m., New York City time, of such U.S. Treasury security, and rounded to three decimal places.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the case of a partial redemption of the Notes of a series, selection of the Notes for redemption will be made by the Trustee by lot.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40"/>
        <w:spacing w:after="0" w:line="282" w:lineRule="auto"/>
        <w:rPr>
          <w:sz w:val="20"/>
          <w:szCs w:val="20"/>
          <w:color w:val="auto"/>
        </w:rPr>
      </w:pPr>
      <w:r>
        <w:rPr>
          <w:rFonts w:ascii="Times New Roman" w:cs="Times New Roman" w:eastAsia="Times New Roman" w:hAnsi="Times New Roman"/>
          <w:sz w:val="18"/>
          <w:szCs w:val="18"/>
          <w:color w:val="auto"/>
        </w:rPr>
        <w:t>note. For so long as the Notes of a series are held by DTC (or another depositary), the redemption of the Notes of such series shall be done in accordance with the policies and procedures of the depositary.</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Notes or portions thereof called for redemption.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The following definitions shall be applicable to the covenants specified below:</w:t>
      </w:r>
    </w:p>
    <w:p>
      <w:pPr>
        <w:spacing w:after="0" w:line="11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Debt</w:t>
      </w:r>
      <w:r>
        <w:rPr>
          <w:rFonts w:ascii="Times New Roman" w:cs="Times New Roman" w:eastAsia="Times New Roman" w:hAnsi="Times New Roman"/>
          <w:sz w:val="18"/>
          <w:szCs w:val="18"/>
          <w:color w:val="auto"/>
        </w:rPr>
        <w:t>” means, at the time of determination as to any lease, the present value (discounted at the actual rate, if stated, or, if no rate is stated, the implicit rate of interest of such lease transaction as determined by our chairman, president or any vice chairman, our chief financial officer, any vice president, our treasurer or any assistant treasurer), calculated using the interval of scheduled rental payments under such lease, of the obligation of the lessee for net rental payments during the remaining term of such lease (excluding any subsequent renewal or other extension options held by the lessee). The term “net rental payments” means, with respect to any lease for any period, the sum of the rental and other payments required to be paid in such period by the lessee thereunder, but not including, however, any amounts required to be paid by such lessee (whether or not designated as rental or additional rental) on account of maintenance and repairs, insurance, taxes, assessments, water rates, indemnities or similar charges required to be paid by such lessee thereunder or any amounts required to be paid by such lessee thereunder contingent upon the amount of sales, earnings or profits or of maintenance and repairs, insurance, taxes, assessments, water rates, indemnities or similar charges; provided, however, that, in the case of any lease which is terminable by the lessee upon the payment of a penalty in an amount which is less than the total discounted net rental payments required to be paid from the later of the first date upon which such lease may be so terminated and the date of the determination of net rental payments, “net rental payments” shall include the then current amount of such penalty from the later of such two dates, and shall exclude the rental payments relating to the remaining period of the lease commencing with the later of such two dates.</w:t>
      </w:r>
    </w:p>
    <w:p>
      <w:pPr>
        <w:spacing w:after="0" w:line="187" w:lineRule="exact"/>
        <w:rPr>
          <w:sz w:val="20"/>
          <w:szCs w:val="20"/>
          <w:color w:val="auto"/>
        </w:rPr>
      </w:pPr>
    </w:p>
    <w:p>
      <w:pPr>
        <w:ind w:left="120" w:right="2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Tangible Assets</w:t>
      </w:r>
      <w:r>
        <w:rPr>
          <w:rFonts w:ascii="Times New Roman" w:cs="Times New Roman" w:eastAsia="Times New Roman" w:hAnsi="Times New Roman"/>
          <w:sz w:val="18"/>
          <w:szCs w:val="18"/>
          <w:color w:val="auto"/>
        </w:rPr>
        <w:t>” means, on the date of determination, total assets less goodwill and other intangible assets of GM and its consolidated subsidiaries, in each case as set forth on the most recently available consolidated balance sheet of GM and its subsidiaries in accordance with generally accepted accounting principles in the United States.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means notes, bonds, debentures or other similar evidences of indebtedness for money borrowed.</w:t>
      </w:r>
    </w:p>
    <w:p>
      <w:pPr>
        <w:spacing w:after="0" w:line="22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Manufacturing Subsidiary</w:t>
      </w:r>
      <w:r>
        <w:rPr>
          <w:rFonts w:ascii="Times New Roman" w:cs="Times New Roman" w:eastAsia="Times New Roman" w:hAnsi="Times New Roman"/>
          <w:sz w:val="18"/>
          <w:szCs w:val="18"/>
          <w:color w:val="auto"/>
        </w:rPr>
        <w:t>” means any Subsidiary (A) substantially all the property of which is located within the continental United States of America, (B) which owns a Principal Domestic Manufacturing Property and (C) in which our investment, direct or indirect and whether in the form of equity, debt, advances or otherwise, is in excess of $2,500,000,000 as shown on our books as of the end of the fiscal year immediately preceding the date of determination; provided, however, that “Manufacturing Subsidiary” shall not include any Subsidiary which is principally engaged in leasing or in financing installment receivables or otherwise providing financial or insurance services to us or others or which is principally engaged in financing our operations outside the continental United States of America.</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Mortgage</w:t>
      </w:r>
      <w:r>
        <w:rPr>
          <w:rFonts w:ascii="Times New Roman" w:cs="Times New Roman" w:eastAsia="Times New Roman" w:hAnsi="Times New Roman"/>
          <w:sz w:val="18"/>
          <w:szCs w:val="18"/>
          <w:color w:val="auto"/>
        </w:rPr>
        <w:t>” means any mortgage, pledge, lien, security interest, conditional sale or other title retention agreement or other similar encumbrance.</w:t>
      </w:r>
    </w:p>
    <w:p>
      <w:pPr>
        <w:spacing w:after="0" w:line="225"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Domestic Manufacturing Property</w:t>
      </w:r>
      <w:r>
        <w:rPr>
          <w:rFonts w:ascii="Times New Roman" w:cs="Times New Roman" w:eastAsia="Times New Roman" w:hAnsi="Times New Roman"/>
          <w:sz w:val="18"/>
          <w:szCs w:val="18"/>
          <w:color w:val="auto"/>
        </w:rPr>
        <w:t>” means all real property located within the continental United States of America and constituting part of any manufacturing plant or facility owned and operated by us or any Manufacturing Subsidiary, together with such manufacturing plant or facility (including all plumbing, electrical, ventilating, heating, cooling, lighting and other utility systems, ducts and pipes attached to or constituting a part thereof, but excluding all trade fixtures (unless such trade fixtures are attached to the manufacturing plant or</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facility in a manner that does not permit removal therefrom without causing substantial damage thereto), business machinery, equipment, motorized vehicles, tools, supplies and materials, security systems, cameras, inventory and other personal property and materials), unless, in the opinion of our Board of Directors, such manufacturing plant or facility is not of material importance to the total business conducted by us and our consolidated affiliates as an entity.</w:t>
      </w:r>
    </w:p>
    <w:p>
      <w:pPr>
        <w:spacing w:after="0" w:line="180"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“Subsidiary” means any corporation of which at least a majority of the outstanding stock having by the terms thereof ordinary voting power to elect a majority of the board of directors of such corporation (irrespective of whether or not at the time stock of any other class or classes of such corporation shall have or might have voting power by reason of the happening of any contingency) is at the time owned by us, or by one or more Subsidiaries, or by us and one or more Subsidiaries.</w:t>
      </w:r>
    </w:p>
    <w:p>
      <w:pPr>
        <w:spacing w:after="0" w:line="178"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Limitation on Liens</w:t>
      </w:r>
      <w:r>
        <w:rPr>
          <w:rFonts w:ascii="Times New Roman" w:cs="Times New Roman" w:eastAsia="Times New Roman" w:hAnsi="Times New Roman"/>
          <w:sz w:val="18"/>
          <w:szCs w:val="18"/>
          <w:color w:val="auto"/>
        </w:rPr>
        <w:t>. For the benefit of the Notes, we will not, nor will we permit any Manufacturing Subsidiary to, issue or assume any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secured by a Mortgage upon any Principal Domestic Manufacturing Property of ours or any Manufacturing Subsidiary or upon any shares of stock or indebtedness of any Manufacturing Subsidiary (whether such Principal Domestic Manufacturing Property, shares of stock or indebtedness are now owned or hereafter acquired) without in any such case effectively providing concurrently with the issuance or assumption of any such Debt that the Notes (together with, if we shall so determine, any other indebtedness of us or such Manufacturing Subsidiary ranking equally with the Notes and then existing or thereafter created) shall be secured equally and ratably with such Debt, unless the aggregate amount of Debt issued or assumed and so secured by Mortgages, together with all other Debt of ours and our Manufacturing Subsidiaries which (if originally issued or assumed at such time) would otherwise be subject to the foregoing restrictions, but not including Debt permitted to be secured under clauses (i) through (vii) of the immediately following paragraph, does not at the time exceed 15% of our Consolidated Tangible Assets.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above restrictions shall not apply to Debt secured by:</w:t>
      </w:r>
    </w:p>
    <w:p>
      <w:pPr>
        <w:spacing w:after="0" w:line="131" w:lineRule="exact"/>
        <w:rPr>
          <w:sz w:val="20"/>
          <w:szCs w:val="20"/>
          <w:color w:val="auto"/>
        </w:rPr>
      </w:pPr>
    </w:p>
    <w:p>
      <w:pPr>
        <w:ind w:left="1080" w:right="12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shares of stock or indebtedness of any corporation existing at the time such corporation becomes a Manufacturing Subsidiary;</w:t>
      </w:r>
    </w:p>
    <w:p>
      <w:pPr>
        <w:spacing w:after="0" w:line="67"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existing at the time of acquisition thereof or to secure the payment of all or any part of the purchase or construction price of property, or to secure Debt incurred for the purpose of financing all or part of the purchase or construction price of property or the cost of improvements on property, which Debt is incurred prior to, at the time of, or within 180 days after the later of such acquisition or completion of such improvements or construction or commencement of full operation of such property;</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securing Debt of a Manufacturing Subsidiary owing to us or to another Manufacturing Subsidiary;</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of a corporation existing at the time such corporation is merged or consolidated with us or a Manufacturing Subsidiary or at the time of a sale, lease or other disposition of the properties of a corporation as an entirety or substantially as an entirety to us or a Manufacturing Subsidiary;</w:t>
      </w:r>
    </w:p>
    <w:p>
      <w:pPr>
        <w:spacing w:after="0" w:line="81"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 or to secure any indebtedness incurred or guaranteed for the purpose of financing all or any part of the purchase price or the cost of construction or improvement of the property subject to such Mortgages (including, without limitation, Mortgages incurred in connection with pollution control, industrial revenue or similar financing);</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existing on the date of issuance of the Notes; or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line="25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in whole or in part of any Mortgage referred to in the foregoing clauses (i) to (vi) or in this clause (vii); provided, however, that the principal amount of Debt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on such property).</w:t>
      </w:r>
    </w:p>
    <w:p>
      <w:pPr>
        <w:spacing w:after="0" w:line="18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Limitation on Sales and Lease-Backs</w:t>
      </w:r>
      <w:r>
        <w:rPr>
          <w:rFonts w:ascii="Times New Roman" w:cs="Times New Roman" w:eastAsia="Times New Roman" w:hAnsi="Times New Roman"/>
          <w:sz w:val="18"/>
          <w:szCs w:val="18"/>
          <w:color w:val="auto"/>
        </w:rPr>
        <w:t>. For the benefit of the Notes, we will not, nor will we permit any Manufacturing Subsidiary to, enter into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with any person providing for the leasing by us or any Manufacturing Subsidiary of any Principal Domestic Manufacturing Property owned by us or any Manufacturing Subsidiary on the date that the Notes are originally issued (except for temporary leases for a term of not more than five years and except for leases between us and a Manufacturing Subsidiary or between Manufacturing Subsidiaries), which property has been or is to be sold or transferred by us or such Manufacturing Subsidiary to such person, unless either:</w:t>
      </w:r>
    </w:p>
    <w:p>
      <w:pPr>
        <w:spacing w:after="0" w:line="91" w:lineRule="exact"/>
        <w:rPr>
          <w:sz w:val="20"/>
          <w:szCs w:val="20"/>
          <w:color w:val="auto"/>
        </w:rPr>
      </w:pPr>
    </w:p>
    <w:p>
      <w:pPr>
        <w:ind w:left="1080" w:right="20" w:hanging="532"/>
        <w:spacing w:after="0" w:line="255"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such Manufacturing Subsidiary would be entitled, pursuant to the provisions of the covenant on limitation on liens described above, to issue, assume, extend, renew or replace Debt secured by a Mortgage upon such property at least equal in amount to the Attributable Debt in respect of such arrangement without equally and ratably securing the Notes; provided, however, that from and after the date on which such arrangement becomes effective the Attributable Debt in respect of such arrangement shall be deemed for all purposes under the covenant on limitation on liens described above and this covenant on limitation on sales and lease-backs to be Debt subject to the provisions of the covenant on limitation on liens described above (which provisions include the exceptions set forth in clauses (i) through (vii) of such covenant); or</w:t>
      </w:r>
    </w:p>
    <w:p>
      <w:pPr>
        <w:spacing w:after="0" w:line="94"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apply an amount in cash equal to the Attributable Debt in respect of such arrangement within 180 days of the effective date of any such arrangement to either (or a combination) of (i) the retirement (other than any mandatory retirement or by way of payment at maturity) of Debt of ours or any Manufacturing Subsidiary (other than Debt owned by us or any Manufacturing Subsidiary) which by its terms matures at or is extendible or renewable at the option of the obligor to a date more than twelve months after the date of the creation of such Debt, or (ii) the purchase, construction or development by us or a Manufacturing Subsidiary of other comparable property.</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elect, at our option at any time, pursuant to provisions of the Indenture, to have the provisions of the Indenture relating to legal defeasance or covenant defeasance, or both, which are described under the caption “Description of Debt Securities—Satisfaction, Discharge and Covenant Defeasance” in the accompanying prospectus, apply to the Notes or any principal amount thereof. Without in any way limiting the applicability of the covenant defeasance provisions of the Indenture with respect to the Notes, upon our exercise of our option to have covenant defeasance applied to all of the outstanding Notes of any particular series, (i) we shall also be deemed to be released from and may omit to comply with our obligations under the covenants described above under “—Certain Covenants” with respect to such series of Notes and (ii) the failure to comply with any such obligation, covenant, restriction, term or other provision shall not constitute (and shall be deemed not to be or result in) an event of default under the Indenture with respect to such series of Notes on and after the date the conditions described under the caption “Description of Debt Securities —Satisfaction, Discharge and Covenant Defeasance” in the accompanying prospectus are satisfied.</w:t>
      </w:r>
    </w:p>
    <w:p>
      <w:pPr>
        <w:spacing w:after="0" w:line="4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Concerning our Relationship with the Trustee</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Bank of New York Mellon and its affiliates act as depositary for funds of, make loans to, act as trustee and perform certain other services for, certain of our affiliates and us in the normal course of its business.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 FEDERAL TAX CONSIDERATIONS</w:t>
      </w:r>
    </w:p>
    <w:p>
      <w:pPr>
        <w:spacing w:after="0" w:line="22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following is a general discussion of U.S. generally applicable federal income tax considerations (and in the case of Non-U.S. Holders (as defined below), U.S. federal estate tax considerations) relating to the purchase, ownership and disposition of the Notes. It deals only with Notes purchased in this offering at their “issue price” (the first price at which a substantial amount of the Notes is sold for cash to investors other than to bond houses, brokers or similar persons acting in the capacity of underwriters, placement agents or wholesalers) and that are held as capital assets for U.S. federal income tax purposes (generally, property held for investment).</w:t>
      </w:r>
    </w:p>
    <w:p>
      <w:pPr>
        <w:spacing w:after="0" w:line="18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This discussion is based on the U.S. Internal Revenue Code of 1986, as amended (the “Code”), Treasury regulations promulgated thereunder and administrative and judicial interpretations thereof, all as in effect on the date hereof, and all of which are subject to change or to different interpretation, possibly with retroactive effect. It does not address all of the U.S. federal income tax considerations that may be relevant to specific Holders (as defined below) in light of their particular circumstances or to Holders subject to special treatment under U.S. federal income tax law (such as banks or other financial institutions, insurance companies, dealers in securities or other persons that generally mark their securities to market for U.S. federal income tax purposes, tax-exempt entities, retirement plans, regulated investment companies, real estate investment trusts, certain former citizens or residents of the U.S., partnerships or other pass-through entities (or investors therein), persons that hold the Notes as part of a straddle, hedge, conversion or other integrated transaction, non-U.S. trusts and estates that have U.S. beneficiaries, persons subject to the alternative minimum tax, U.S. Holders (as defined below) that have a “functional currency” other than the U.S. dollar, persons required to accelerate the recognition of any item of gross income with respect to the Notes as a result of such income being recognized on any applicable financial statement, “controlled foreign corporations,” or “passive foreign investment companies”). This discussion does not address any U.S. state or local tax considerations, non-U.S. tax considerations, or any U.S. federal tax considerations other than U.S. federal income tax considerations (such as U.S. federal gift tax or, except in the case of Non-U.S. Holders, U.S. federal estate tax considerations).</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This summary is for general information only and is not tax advice. This summary is not binding on the Internal Revenue Service (“IRS”) or a court. GM has not sought, and does not intend to seek, any tax opinion from counsel or ruling from the IRS with respect to any of the statements made in this summary, and there can be no assurance that the IRS will not take a position contrary to these statements, or that a contrary position taken by the IRS would not be sustained by a court.</w:t>
      </w:r>
    </w:p>
    <w:p>
      <w:pPr>
        <w:spacing w:after="0" w:line="176"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HOLDERS SHOULD CONSULT THEIR OWN TAX ADVISORS REGARDING THE U.S. FEDERAL, STATE AND LOCAL AND NON-U.S. TAX CONSIDERATIONS RELATING TO THE ACQUISITION, OWNERSHIP AND DISPOSITION OF THE NOTES IN LIGHT OF THEIR PARTICULAR CIRCUMSTANCES.</w:t>
      </w:r>
    </w:p>
    <w:p>
      <w:pPr>
        <w:spacing w:after="0" w:line="17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used in this discussion, the term “U.S. Holder” means a beneficial owner of a Note that, for U.S. federal income tax purposes, is (i) an individual who is a citizen or resident of the United States, (ii) a corporation (or other entity taxable as a corporation for U.S. federal income tax purposes) created or organized in or under the laws of the United States, any state thereof or the District of Columbia, (iii) an estate the income of which is subject to U.S. federal income taxation regardless of its source or (iv) a trust (x) with respect to which a court within the United States is able to exercise primary supervision over its administration and one or more U.S. persons have the authority to control all of its substantial decisions or (y) that has in effect a valid election under applicable U.S. Treasury regulations to be treated as a U.S. person.</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term “Non-U.S. Holder” means a beneficial owner of a Note that is, for U.S. federal income tax purposes, an individual, corporation, estate or trust that is not a U.S. Holder. For purposes of this “U.S. Federal Tax Considerations” section only, the term “Holder” means a U.S. Holder or a Non-U.S. Holder (as those terms are defined herein).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invests in a Note, the tax treatment of a partner will depend in part upon the status and activities of the entity and of the particular partner. Any such entity should consult its own tax advisor regarding the U.S. federal income tax considerations applicable to it and its partners relating to the purchase, ownership and disposition of the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Stated Interest</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In general, stated interest payable on the Notes will be taxable to a U.S. Holder as ordinary interest income when it is received or accrued, in accordance with such U.S. Holder’s method of accounting for U.S. federal income tax purposes.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Original Issue Discount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Notes are expected to be issued with less than a de minimis amount of original issue discount (“OID”) for U.S. federal income tax purposes. However, if the stated principal amount of any series of Notes exceeds their issue price (as defined above) by at least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such Notes will be treated as issued with OID. In such event, a U.S. Holder generally will be required to include the OID in its gross income (as ordinary income) as the OID accrues on a constant yield to maturity basis, regardless of its regular method of tax accounting and generally before such U.S. Holder receives any payment attributable to such income.</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Retirement or Other Taxable Disposition of the Notes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Upon the sale, exchange, redemption, retirement or other taxable disposition of a Note, a U.S. Holder generally will recognize gain or loss in an amount equal to the difference, if any, between (i) the amount realized on such disposition (i.e., the amount of cash and the fair market value of any property received, excluding amounts attributable to accrued but unpaid stated interest, which will be taxable as ordinary interest income to the extent not previously included in income) and (ii) such U.S. Holder’s “adjusted tax basis” in such Note. A U.S. Holder’s “adjusted tax basis” in a Note is generally the amount such U.S. Holder paid for such Note, increased by the amount of OID (if any) previously included in income (including in the year of disposition) and decreased by the aggregate amount of payments (other than stated interest) on such Note to date. Any gain or loss so recognized generally will be capital gain or loss and will be long-term capital gain or loss if such U.S. Holder has held such Note for more than one year at the time of such disposition. Net long-term capital gain of certain non-corporate U.S. Holders is generally subject to preferential rates of tax. The deductibility of capital losses is subject to limitations.</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Additional Tax on Net Investment Income</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An additional tax of 3.8% may be imposed on the “net investment income” of certain U.S. individuals and on the undistributed “net investment income” of certain estates and trusts. Among other items, “net investment income” generally includes payments of interest, accruals of OID and certain net gain from the disposition of investment property. U.S. Holders should consult their own tax advisors with respect to the tax consequences of the rules described above.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Information reporting will apply to payments of interest on, and the proceeds of the sale, redemption, exchange, retirement or other taxable disposition of, Notes held by a U.S. Holder. Backup withholding will apply to such payments and proceeds unless the U.S. Holder provides the payor with a taxpayer identification number (generally by providing an IRS Form W-9), certified under penalties of perjury, as well as certain other information or otherwise establishes an exemption from backup withholding. Backup withholding is not an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tax. Any amounts withheld under the backup withholding rules generally will be allowed as a refund or a credit against a U.S. Holder’s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income tax liability if the required information is timely furnished to the IRS.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 and Disposition of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the discussion below:</w:t>
      </w:r>
    </w:p>
    <w:p>
      <w:pPr>
        <w:spacing w:after="0" w:line="131" w:lineRule="exact"/>
        <w:rPr>
          <w:sz w:val="20"/>
          <w:szCs w:val="20"/>
          <w:color w:val="auto"/>
        </w:rPr>
      </w:pPr>
    </w:p>
    <w:p>
      <w:pPr>
        <w:ind w:left="1080" w:right="40" w:hanging="532"/>
        <w:spacing w:after="0" w:line="25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interest to a Non-U.S. Holder (which, for purposes of this discussion of Non-U.S. Holders, includes any accrued OID) with respect to a Note generally will not be subject to U.S. federal income or withholding tax; provided that (i) such amounts are not effectively connected with the conduct of a trade or business in the U.S. by such Non-U.S. Holder; (ii) such Non-U.S. Holder does not own, actually or constructively, 10% or more of the total combined voting power of all classes of GM’s stock entitled to vote; (iii) such Non-U.S. Holder is not a controlled foreign corporation described in Section 957(a) of the Code that is related to GM through stock ownership; and (iv) the certification requirements described below are satisfied; and</w:t>
      </w:r>
    </w:p>
    <w:p>
      <w:pPr>
        <w:spacing w:after="0" w:line="92"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Holder generally will not be subject to U.S. federal income or withholding tax on any gain realized on the sale, exchange, redemption, retirement or other taxable disposition of a Note unless (i) such gain is effectively connected with the conduct of a trade or business in the U.S. by such Non-U.S. Holder or (ii) such Non-U.S. Holder is an individual who is present in the U.S. for 183 days or more in the taxable year of such disposition and certain other conditions are met.</w:t>
      </w:r>
    </w:p>
    <w:p>
      <w:pPr>
        <w:spacing w:after="0" w:line="180"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certification requirements referred to in clause (a) above generally will be satisfied if the Non-U.S. Holder provides the applicable withholding agent with a statement on IRS Form W-8BEN or W-8BEN-E (or a suitable substitute form), signed under penalties of perjury, stating, among other things, that such Non-U.S. Holder is not a U.S. person. U.S. Treasury regulations provide additional rules for a Note held through one or more intermediaries or pass-through entities.</w:t>
      </w:r>
    </w:p>
    <w:p>
      <w:pPr>
        <w:spacing w:after="0" w:line="180"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If the requirements set forth in clause (a) above are not satisfied with respect to a Non-U.S. Holder, and subject to the immediately following paragraph, amounts treated as payments of interest generally will be subject to U.S. federal withholding tax at a rate of 30%, unless an applicable tax treaty applies to reduce or eliminate this withholding tax and such Non-U.S. Holder provides the appropriate documentation (generally, IRS Form W-8BEN or W-8BEN-E) to the applicable withholding agent.</w:t>
      </w:r>
    </w:p>
    <w:p>
      <w:pPr>
        <w:spacing w:after="0" w:line="180"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If a Non-U.S. Holder is engaged in the conduct of a trade or business in the U.S., and if interest on the Notes, or any gain realized on the sale, exchange, redemption, retirement or other taxable disposition of the Notes, is effectively connected with such trade or business (and, if required by an applicable tax treaty, is attributable to a permanent establishment or fixed base maintained by such Non-U.S. Holder in the United States), such Non-U.S. Holder generally will not be subject to U.S. federal withholding tax on such amounts provided that, in the case of interest, such Non-U.S. Holder provides the appropriate documentation (generally, IRS Form W-8ECI) to the applicable withholding agent. Instead, such Non-U.S. Holder generally will be subject to U.S. federal income tax on a net income basis in substantially the same manner as a U.S. Holder (except as provided by an applicable tax treaty). In addition, a Non-U.S. Holder that is a corporation may be subject to a branch profits tax at the rate of 30% (or a lower rate if provided by an applicable tax treaty) on its effectively connected income for the taxable year, subject to certain adjustments.</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Gain realized on the sale, exchange, redemption, retirement or other taxable disposition of a Note that is described in clause (b)(ii) above generally will be subject to a flat 30% U.S. federal income tax (or a lower rate if provided by an applicable tax treaty), which gain may be offset by U.S. source capital losses of the Non-U.S. Holder provided certain other requirements are satisfied.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FATCA Withholding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Provisions in the Code commonly referred to as “FATCA” impose withholding of 30% on payments of interest on the Notes and, subject to the discussion of proposed Treasury regulations below, on gross proceeds of sales or redemptions of the Notes paid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non-U.S. country may modify these requirements. Proposed Treasury regulations eliminate the 30% FATCA withholding on payments of gross proceeds. The preamble to those proposed Treasury regulations provides that taxpayers may rely on the proposed Treasury regulations until final Treasury regulations are issued. There can be no assurance, however, that final Treasury regulations would provide an exemption from FATCA withholding for gross proceeds. Prospective investors should consult their tax advisers regarding the effects of FATCA on their investment in the Notes.</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Generally, payments of interest on a Note to a Non-U.S. Holder and the amount of any tax withheld from such payments must be reported annually to the IRS and to such Non-U.S. Holder. Backup withholding will not apply to payments of interest on a Note if the recipient Non-U.S. Holder certifies under penalties of perjury that it is not a U.S. person (generally by providing an IRS Form W-8BEN or W-8BEN-E) or otherwise establishes an exemption.</w:t>
      </w:r>
    </w:p>
    <w:p>
      <w:pPr>
        <w:spacing w:after="0" w:line="180"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payment of proceeds from the sale, exchange, redemption, retirement or other taxable disposition of a Note by a Non-U.S. Holder effected through a non-U.S. office of a U.S. broker or of a non-U.S. broker with certain specified U.S. connections may be subject to information reporting, but not backup withholding, unless such Non-U.S. Holder certifies under penalties of perjury that it is not a U.S. person (generally by providing an IRS Form W-8BEN or W-8BEN-E) or otherwise establishes an exemption. The payment of proceeds from the sale, exchange, redemption, retirement or other disposition of a Note by a Non-U.S. Holder effected through a U.S. office of a broker generally will be subject to information reporting and backup withholding, unless such Non-U.S. Holder certifies under penalties of perjury that it is not a U.S. person (generally by providing an IRS Form W-8BEN or W-8BEN-E) or otherwise establishes an exemption.</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generally will be allowed as a refund or a credit against a Non-U.S. Holder’s U.S. federal income tax liability if the required information is timely furnished to the IRS.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 Federal Estate Tax</w:t>
      </w:r>
    </w:p>
    <w:p>
      <w:pPr>
        <w:spacing w:after="0" w:line="121" w:lineRule="exact"/>
        <w:rPr>
          <w:sz w:val="20"/>
          <w:szCs w:val="20"/>
          <w:color w:val="auto"/>
        </w:rPr>
      </w:pPr>
    </w:p>
    <w:p>
      <w:pPr>
        <w:jc w:val="both"/>
        <w:ind w:left="120" w:right="220" w:firstLine="440"/>
        <w:spacing w:after="0" w:line="272" w:lineRule="auto"/>
        <w:rPr>
          <w:sz w:val="20"/>
          <w:szCs w:val="20"/>
          <w:color w:val="auto"/>
        </w:rPr>
      </w:pPr>
      <w:r>
        <w:rPr>
          <w:rFonts w:ascii="Times New Roman" w:cs="Times New Roman" w:eastAsia="Times New Roman" w:hAnsi="Times New Roman"/>
          <w:sz w:val="17"/>
          <w:szCs w:val="17"/>
          <w:color w:val="auto"/>
        </w:rPr>
        <w:t>An individual Non-U.S. Holder who, for U.S. federal tax purposes, is not a citizen or resident of the U.S. at the time of such Non-U.S. Holder’s death generally will not be subject to U.S. federal estate taxes on any part of the value of a Note; provided that, at the time of such Non-U.S. Holder’s death, (i) such Non-U.S. Holder does not actually or constructively own 10% or more of the combined voting power of all classes of GM’s stock and</w:t>
      </w:r>
    </w:p>
    <w:p>
      <w:pPr>
        <w:spacing w:after="0" w:line="2" w:lineRule="exact"/>
        <w:rPr>
          <w:sz w:val="20"/>
          <w:szCs w:val="20"/>
          <w:color w:val="auto"/>
        </w:rPr>
      </w:pPr>
    </w:p>
    <w:p>
      <w:pPr>
        <w:ind w:left="120" w:hanging="4"/>
        <w:spacing w:after="0" w:line="260" w:lineRule="auto"/>
        <w:tabs>
          <w:tab w:leader="none" w:pos="3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treated as interest earned on the Note are not effectively connected with the conduct of a trade or business in the United States by such Non-U.S. Holder.</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stated in the underwriting agreement dated the date of this prospectus supplement, the underwriters named below, for whom Citigroup Global Markets Inc., Goldman Sachs &amp; Co. LLC and Wells Fargo Securities, LLC are acting as representatives, have severally, and not jointly, agreed to purchase, and we have agreed to sell to each underwriter, the principal amount of the Notes set forth opposite the underwriter’s name.</w:t>
      </w:r>
    </w:p>
    <w:p>
      <w:pPr>
        <w:spacing w:after="0" w:line="18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of 2028</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of 2030</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 2035</w:t>
            </w:r>
          </w:p>
        </w:tc>
        <w:tc>
          <w:tcPr>
            <w:tcW w:w="0" w:type="dxa"/>
            <w:vAlign w:val="bottom"/>
          </w:tcPr>
          <w:p>
            <w:pPr>
              <w:spacing w:after="0"/>
              <w:rPr>
                <w:sz w:val="1"/>
                <w:szCs w:val="1"/>
                <w:color w:val="auto"/>
              </w:rPr>
            </w:pPr>
          </w:p>
        </w:tc>
      </w:tr>
      <w:tr>
        <w:trPr>
          <w:trHeight w:val="173"/>
        </w:trPr>
        <w:tc>
          <w:tcPr>
            <w:tcW w:w="45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Notes</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Notes</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BBVA Securities Inc.</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31,731,000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31,731,000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31,731,000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31,731,000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31,731,000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31,731,000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CIBC World Markets Corp.</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31,731,000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31,731,000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Credit Agricole Securities (USA) Inc.</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31,731,000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31,731,000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31,731,000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31,731,000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ICBC Standard Bank Plc</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31,731,000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31,731,000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Intesa Sanpaolo IMI Securities Corp.</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31,731,000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31,731,000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Lloyds Securities Inc.</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31,731,000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31,731,000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31,731,000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31,731,000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31,731,000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31,731,000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Santander US Capital Markets LLC</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31,731,000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31,731,000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SG Americas Securities, LLC</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31,731,000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31,731,000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14,063,000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14,062,000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Banco Bradesco BBI S.A.</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14,062,000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14,063,000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Cabrera Capital Markets LLC</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14,062,000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14,062,000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Commerz Markets LLC</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14,062,000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14,062,000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Fifth Third Securities, Inc.</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14,062,000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14,062,000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14,062,000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14,062,000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14,062,000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14,062,000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UniCredit Capital Markets LLC</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14,062,000</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14,062,000</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750,000,000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750,000,000</w:t>
            </w:r>
          </w:p>
        </w:tc>
        <w:tc>
          <w:tcPr>
            <w:tcW w:w="6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are subject to approval of legal matters by counsel and to other conditions. The underwriters must purchase all the Notes if they purchase any of the Notes. The underwriting agreement also provides that if one or more underwriters default, the purchase commitments of the non-defaulting underwriters may be increased or the offering may be terminated.</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underwriters initially propose to offer the Notes to the public at the public offering prices that appear on the cover page of this prospectus supplement. The underwriters may offer the Notes to selected dealers at the public offering price minus a concession of up to 0.150% of the principal amount of the 2028 Notes, 0.200% of the principal amount of the 2030 Notes and 0.275% of the principal amount of the 2035 Notes. In addition, the underwriters may allow, and those selected dealers may reallow, a concession of up to 0.100% of the principal amount of the 2028 Notes, 0.150% of the principal amount of the 2030 Notes and 0.175% of the principal amount of the 2035 Notes to certain other dealers. After the initial offering, the underwriters may change the public offering prices and any other selling terms. The underwriters may offer and sell the Notes through certain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of their affiliates. The offering of the Notes by the underwriters is subject to receipt and acceptance and subject to the underwriters’ right to reject any order in whole or in part.</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have agreed that we will not, during the period beginning on the date of this prospectus supplement and continuing to and including the closing date of the offering of the Notes, offer, sell, contract to sell or otherwise dispose of any debt securities of the Company or warrants to purchase debt securities of the Company substantially similar to the Notes (other than the sale of the Notes under the underwriting agreement), without the prior written consent of the representative on behalf of the underwriters.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Notes will constitute new classes of securities with no established trading market. We do not intend to list the Notes on any national securities exchange. We cannot assure you that the prices at which the Notes will sell in the market after this offering will not be lower than the respective initial offering prices or that an active trading market for the Notes will develop and continue after this offering. The underwriters have advised us that they currently intend to make a market in the Notes of each series. However, they are not obligated to do so and they may discontinue any market-making activities with respect to the Notes at any time without notice. Accordingly, we cannot assure you as to the liquidity of, or the maintenance of any trading market for, the Notes.</w:t>
      </w:r>
    </w:p>
    <w:p>
      <w:pPr>
        <w:spacing w:after="0" w:line="18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discounts to be paid to the underwriters by us in connection with this offering. These underwriting discounts are the difference between the public offering prices and the amount the underwriters pay to us to purchase the Notes.</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2028 Note (expressed as a percentage)</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0.250%</w:t>
            </w:r>
          </w:p>
        </w:tc>
      </w:tr>
      <w:tr>
        <w:trPr>
          <w:trHeight w:val="234"/>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$1,875,000</w:t>
            </w:r>
          </w:p>
        </w:tc>
      </w:tr>
      <w:tr>
        <w:trPr>
          <w:trHeight w:val="90"/>
        </w:trPr>
        <w:tc>
          <w:tcPr>
            <w:tcW w:w="4760" w:type="dxa"/>
            <w:vAlign w:val="bottom"/>
          </w:tcPr>
          <w:p>
            <w:pPr>
              <w:spacing w:after="0"/>
              <w:rPr>
                <w:sz w:val="7"/>
                <w:szCs w:val="7"/>
                <w:color w:val="auto"/>
              </w:rPr>
            </w:pPr>
          </w:p>
        </w:tc>
        <w:tc>
          <w:tcPr>
            <w:tcW w:w="3600" w:type="dxa"/>
            <w:vAlign w:val="bottom"/>
          </w:tcPr>
          <w:p>
            <w:pPr>
              <w:spacing w:after="0"/>
              <w:rPr>
                <w:sz w:val="7"/>
                <w:szCs w:val="7"/>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2030 Note (expressed as a percentage)</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0.350%</w:t>
            </w:r>
          </w:p>
        </w:tc>
      </w:tr>
      <w:tr>
        <w:trPr>
          <w:trHeight w:val="234"/>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$2,625,000</w:t>
            </w:r>
          </w:p>
        </w:tc>
      </w:tr>
      <w:tr>
        <w:trPr>
          <w:trHeight w:val="90"/>
        </w:trPr>
        <w:tc>
          <w:tcPr>
            <w:tcW w:w="4760" w:type="dxa"/>
            <w:vAlign w:val="bottom"/>
          </w:tcPr>
          <w:p>
            <w:pPr>
              <w:spacing w:after="0"/>
              <w:rPr>
                <w:sz w:val="7"/>
                <w:szCs w:val="7"/>
                <w:color w:val="auto"/>
              </w:rPr>
            </w:pPr>
          </w:p>
        </w:tc>
        <w:tc>
          <w:tcPr>
            <w:tcW w:w="3600" w:type="dxa"/>
            <w:vAlign w:val="bottom"/>
          </w:tcPr>
          <w:p>
            <w:pPr>
              <w:spacing w:after="0"/>
              <w:rPr>
                <w:sz w:val="7"/>
                <w:szCs w:val="7"/>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2035 Note (expressed as a percentage)</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0.450%</w:t>
            </w:r>
          </w:p>
        </w:tc>
      </w:tr>
      <w:tr>
        <w:trPr>
          <w:trHeight w:val="234"/>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$2,250,000</w:t>
            </w:r>
          </w:p>
        </w:tc>
      </w:tr>
    </w:tbl>
    <w:p>
      <w:pPr>
        <w:spacing w:after="0" w:line="179"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We estimate that our portion of the total expenses of the offering, exclusive of the underwriter discounts payable by us in the offering and reimbursements of certain expenses incurred in connection with the offering, will be $210,000.</w:t>
      </w:r>
    </w:p>
    <w:p>
      <w:pPr>
        <w:spacing w:after="0" w:line="16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It is expected that delivery of the Notes will be made against payment therefor on or about May 7, 2025, which will be the second business day following the date of pricing of the Notes (such settlement cycle being referred to herein as “T+2”). Under Rule 15c6-1 of the Exchange Act, trades in the secondary market generally are required to settle in one business day, unless the parties to any such trade expressly agree otherwise. Accordingly, purchasers who wish to trade the Notes on any day prior to one business day before the settlement date will be required, by virtue of the fact that the Notes initially will settle in T+2, to specify an alternate settlement cycle at the time of any such trade to prevent a failed settlement. Purchasers of the Notes who wish to trade those Notes on the date of pricing should consult their own advisor.</w:t>
      </w:r>
    </w:p>
    <w:p>
      <w:pPr>
        <w:spacing w:after="0" w:line="18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67" w:lineRule="exact"/>
        <w:rPr>
          <w:sz w:val="20"/>
          <w:szCs w:val="20"/>
          <w:color w:val="auto"/>
        </w:rPr>
      </w:pPr>
    </w:p>
    <w:p>
      <w:pPr>
        <w:ind w:left="1080" w:right="1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secondary market sales by the underwriters of a greater number of the Notes than they are required to purchase in the offering.</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the Notes in the open market after the distribution has been completed in order to cover short positions.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involve bids to purchase the Notes so long as the stabilizing bids do not exceed a specified maximum.</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prices of the Notes. They may also cause the prices of the Notes to be higher than the prices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addition, certain underwriters or their respective affiliates are lenders and/or agents under our revolving credit facilities. Certain of the underwriters or their affiliates that have a lending relationship with us routinely hedge, certain other of the underwriters or their affiliates that have a lending relationship with us are likely to hedge, and certain other of the underwriters or their affiliates that have a lending relationship with us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In addition, certain of the underwriters and/or their affiliates may hold a portion of our 6.125% senior notes maturing on October 1, 2025 which will be partially repaid with the net proceeds of this offering, and therefore may receive a portion of such proceeds upon such repayment.</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Bradesco Securities Inc. will act as agent of Banco Bradesco BBI S.A. for sales of the notes in the United States of America. Banco Bradesco BBI S.A. is not a broker-dealer registered with the SEC, and therefore may not make sales of any notes in the United States to U.S. persons. Banco Bradesco BBI S.A. and Bradesco Securities Inc. are affiliates of Banco Bradesco S.A.</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that the underwriters may be required to make because of any of those liabilities.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jc w:val="both"/>
        <w:ind w:left="120" w:right="180" w:firstLine="440"/>
        <w:spacing w:after="0" w:line="272" w:lineRule="auto"/>
        <w:rPr>
          <w:sz w:val="20"/>
          <w:szCs w:val="20"/>
          <w:color w:val="auto"/>
        </w:rPr>
      </w:pPr>
      <w:r>
        <w:rPr>
          <w:rFonts w:ascii="Times New Roman" w:cs="Times New Roman" w:eastAsia="Times New Roman" w:hAnsi="Times New Roman"/>
          <w:sz w:val="17"/>
          <w:szCs w:val="17"/>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w:t>
      </w:r>
    </w:p>
    <w:p>
      <w:pPr>
        <w:spacing w:after="0" w:line="2"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2016/97 (as amended, the “Insurance Distribution Directive”),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No 2017/565 as it forms part of domestic law by virtue of the European Union (Withdrawal) Act 2018 (“EUWA”); (ii) a customer within the meaning of the provisions of the Financial Services and Markets Act 2000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Notes in the UK will be made pursuant to an exemption under the UK Prospectus Regulation and the FSMA from the requirement to publish a prospectus for offers of Notes. This prospectus supplement and the accompanying prospectus are not a prospectus for the purposes of the UK Prospectus Regulation or the FSMA.</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in the UK, this prospectus supplement and the accompanying prospectus are being distributed only to, and are directed only at qualified investors within the meaning of Article 2 of the UK Prospectus Regulation who are (i) persons who have professional experience in matters relating to investments falling within Article 19(5) of the Financial Services and Markets Act 2000 (Financial Promotion) Order 2005 (as amended, the “Order”), and/or (ii) high net worth companies (or persons to whom it may otherwise be lawfully communicated) falling within Article 49(2)(a) to (d) of the Order, which persons together we refer to in this prospectus supplement and the accompanying prospectus as “relevant persons.” Accordingly, such documents and/or materials are not being distributed to, and must not be passed on to, the general public in the UK. This prospectus supplement and the accompanying prospectus must not be acted on or relied on in the UK by persons who are not relevant persons. In the UK, any investment or investment activity to which this prospectus supplement and the accompanying prospectus relates is only available to, and will be engaged in with, relevant persons only.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Each Underwriter (i)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registered as a prospectus with the Monetary Authority of Singapore. Accordingly, the underwriters have not offered or sold the Notes or caused the Notes to be made the subject of an invitation for subscription or purchase and will not offer or sell the Notes or cause the Notes to be made the subject of an invitation for subscription or purchase, and have not circulated or distributed, nor will they circulate or distribute, this prospectus supplement or any other document or material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and the accompanying prospectus nor any other offering or marketing material relating to the Notes constitutes a prospectus pursuant to the FinSA, and neither this prospectus supplement and the accompanying prospectus nor any other offering or marketing material relating to the Notes may be publicly distributed or otherwise made publicly available in Switzerland.</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Taiwan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Notes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Notes in Taiwan.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Notes offered hereby will be passed upon for us by King &amp; Spalding LLP. Certain legal matters will be passed upon for the underwriters by Davis Polk &amp; Wardwell LLP.</w:t>
      </w:r>
    </w:p>
    <w:p>
      <w:pPr>
        <w:spacing w:after="0" w:line="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0800"/>
          </w:cols>
          <w:pgMar w:left="320" w:top="455" w:right="7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at the SEC’s website at http://www.sec.gov and our website at http://www.gm.com.</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which means that we can disclose important information about us by referring you to another document filed separately with the SEC. The information incorporated by reference is an important part of this prospectus supplement, and information that we file later with the SEC will automatically update and supersede this information. This prospectus incorporates by reference the documents and reports listed below and any future filings that we make with the SEC under Sections 13(a), 13(c), 14 or 15(d) of the Exchange Act, prior to the termination or completion of this offering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prospectus supplement does not incorporate by reference any documents, reports or filings, or portions of any documents, reports or filings, that are deemed to be furnished and not filed under applicable SEC rules):</w:t>
      </w:r>
    </w:p>
    <w:p>
      <w:pPr>
        <w:sectPr>
          <w:pgSz w:w="11900" w:h="16838" w:orient="portrait"/>
          <w:cols w:equalWidth="0" w:num="1">
            <w:col w:w="11120"/>
          </w:cols>
          <w:pgMar w:left="320" w:top="455" w:right="459" w:bottom="1440" w:gutter="0" w:footer="0" w:header="0"/>
        </w:sectPr>
      </w:pPr>
    </w:p>
    <w:p>
      <w:pPr>
        <w:spacing w:after="0" w:line="20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GM SEC Filings (File No. 001-34960)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 w:lineRule="exact"/>
        <w:rPr>
          <w:sz w:val="20"/>
          <w:szCs w:val="20"/>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50">
        <w:r>
          <w:rPr>
            <w:rFonts w:ascii="Times New Roman" w:cs="Times New Roman" w:eastAsia="Times New Roman" w:hAnsi="Times New Roman"/>
            <w:sz w:val="18"/>
            <w:szCs w:val="18"/>
            <w:u w:val="single" w:color="auto"/>
            <w:color w:val="0000EE"/>
          </w:rPr>
          <w:t>Form 10-K</w:t>
        </w:r>
      </w:hyperlink>
    </w:p>
    <w:p>
      <w:pPr>
        <w:spacing w:after="0" w:line="325" w:lineRule="exact"/>
        <w:rPr>
          <w:sz w:val="20"/>
          <w:szCs w:val="20"/>
          <w:color w:val="auto"/>
        </w:rPr>
      </w:pPr>
    </w:p>
    <w:p>
      <w:pPr>
        <w:ind w:lef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Specifically Incorporated by Reference into our Annual Report on Form 10-K for the year ended December 31, 2024 from our Definitive Proxy Statement on </w:t>
      </w:r>
      <w:hyperlink r:id="rId51">
        <w:r>
          <w:rPr>
            <w:rFonts w:ascii="Times New Roman" w:cs="Times New Roman" w:eastAsia="Times New Roman" w:hAnsi="Times New Roman"/>
            <w:sz w:val="18"/>
            <w:szCs w:val="18"/>
            <w:u w:val="single" w:color="auto"/>
            <w:color w:val="0000EE"/>
          </w:rPr>
          <w:t>Schedule 14A</w:t>
        </w:r>
      </w:hyperlink>
    </w:p>
    <w:p>
      <w:pPr>
        <w:spacing w:after="0" w:line="68" w:lineRule="exact"/>
        <w:rPr>
          <w:sz w:val="20"/>
          <w:szCs w:val="20"/>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w:t>
      </w:r>
      <w:hyperlink r:id="rId52">
        <w:r>
          <w:rPr>
            <w:rFonts w:ascii="Times New Roman" w:cs="Times New Roman" w:eastAsia="Times New Roman" w:hAnsi="Times New Roman"/>
            <w:sz w:val="18"/>
            <w:szCs w:val="18"/>
            <w:u w:val="single" w:color="auto"/>
            <w:color w:val="0000EE"/>
          </w:rPr>
          <w:t>Form 10-Q</w:t>
        </w:r>
      </w:hyperlink>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Current Reports on Form 8-K</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ind w:right="360"/>
        <w:spacing w:after="0" w:line="272" w:lineRule="auto"/>
        <w:rPr>
          <w:sz w:val="20"/>
          <w:szCs w:val="20"/>
          <w:color w:val="auto"/>
        </w:rPr>
      </w:pPr>
      <w:r>
        <w:rPr>
          <w:rFonts w:ascii="Times New Roman" w:cs="Times New Roman" w:eastAsia="Times New Roman" w:hAnsi="Times New Roman"/>
          <w:sz w:val="18"/>
          <w:szCs w:val="18"/>
          <w:color w:val="auto"/>
        </w:rPr>
        <w:t>Year ended December 31, 2024 (filed with the SEC on January 28, 2025)</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Year ended December 31, 2024 (filed with the SEC on April 22, 2025)</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ended March 31, 2025 (filed with the SEC on May 1, 2025)</w:t>
      </w:r>
    </w:p>
    <w:p>
      <w:pPr>
        <w:spacing w:after="0" w:line="117"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Dates filed: </w:t>
      </w:r>
      <w:hyperlink r:id="rId54">
        <w:r>
          <w:rPr>
            <w:rFonts w:ascii="Times New Roman" w:cs="Times New Roman" w:eastAsia="Times New Roman" w:hAnsi="Times New Roman"/>
            <w:sz w:val="18"/>
            <w:szCs w:val="18"/>
            <w:u w:val="single" w:color="auto"/>
            <w:color w:val="0000EE"/>
          </w:rPr>
          <w:t>February 26,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5">
        <w:r>
          <w:rPr>
            <w:rFonts w:ascii="Times New Roman" w:cs="Times New Roman" w:eastAsia="Times New Roman" w:hAnsi="Times New Roman"/>
            <w:sz w:val="18"/>
            <w:szCs w:val="18"/>
            <w:u w:val="single" w:color="auto"/>
            <w:color w:val="0000EE"/>
          </w:rPr>
          <w:t>March 26, 2025</w:t>
        </w:r>
      </w:hyperlink>
    </w:p>
    <w:p>
      <w:pPr>
        <w:spacing w:after="0" w:line="200" w:lineRule="exact"/>
        <w:rPr>
          <w:sz w:val="20"/>
          <w:szCs w:val="20"/>
          <w:color w:val="auto"/>
        </w:rPr>
      </w:pPr>
    </w:p>
    <w:p>
      <w:pPr>
        <w:sectPr>
          <w:pgSz w:w="11900" w:h="16838" w:orient="portrait"/>
          <w:cols w:equalWidth="0" w:num="2">
            <w:col w:w="5560" w:space="400"/>
            <w:col w:w="5160"/>
          </w:cols>
          <w:pgMar w:left="320" w:top="455" w:right="459" w:bottom="1440" w:gutter="0" w:footer="0" w:header="0"/>
          <w:type w:val="continuous"/>
        </w:sectPr>
      </w:pPr>
    </w:p>
    <w:p>
      <w:pPr>
        <w:spacing w:after="0" w:line="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a copy of the documents incorporated by reference into this prospectus supplement, except exhibits to such documents unless those exhibits are specifically incorporated by reference in such documents, at no cost, by writing or telephoning the office of Christopher T. Hatto, Vice President, Global Business Solutions and Chief Accounting Officer, at the following address and telephone number:</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Detroit, Michigan 48265-3000</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(313) 667-1500</w:t>
      </w:r>
    </w:p>
    <w:p>
      <w:pPr>
        <w:spacing w:after="0" w:line="20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You may also find additional information about us, including the documents mentioned above, on our website at https://www.gm.com. Our website and the information included in, or linked to on, our website are not part of this prospectus supplement. We have included our website address in this prospectus supplement solely as a textual reference.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173990</wp:posOffset>
            </wp:positionV>
            <wp:extent cx="3137535" cy="4032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313753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contains summaries of the general terms of the securities that General Motors Company may offer from time to time:</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in one or more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preferred stock, par value $0.01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par value $0.01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any of the other securities that may be sold under this prospectus,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these securities.</w:t>
      </w:r>
    </w:p>
    <w:p>
      <w:pPr>
        <w:spacing w:after="0" w:line="225"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Each time securities are offered pursuant to this prospectus, we will provide a prospectus supplement and attach it to this prospectus. The prospectus supplement will contain more specific information about the offering. The prospectus supplement may also add to, update or change the information contained in this prospectus. This prospectus may not be used to offer or sell securities without a prospectus supplement describing the terms of the offering.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“GM.”</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You should carefully read this prospectus and the accompanying prospectus supplement, together with the documents we incorporate by reference, before you invest in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right="18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Investment in our securities involves risk.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3 of this prospectus, the risk factors in our periodic reports filed from time to time with the Securities and Exchange Commission and any risk factors set forth in the accompanying prospectus supplement and in the documents incorporated by reference into the accompanying prospectus supplement.</w:t>
      </w:r>
    </w:p>
    <w:p>
      <w:pPr>
        <w:spacing w:after="0" w:line="181"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28, 2025.</w:t>
      </w:r>
    </w:p>
    <w:p>
      <w:pPr>
        <w:sectPr>
          <w:pgSz w:w="11900" w:h="16838" w:orient="portrait"/>
          <w:cols w:equalWidth="0" w:num="1">
            <w:col w:w="11120"/>
          </w:cols>
          <w:pgMar w:left="320" w:top="455" w:right="4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87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INCORPORATION OF CERTAIN DOCUMENTS BY REFERENCE</w:t>
            </w: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36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326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7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GENERAL MOTORS COMPANY</w:t>
            </w:r>
          </w:p>
        </w:tc>
        <w:tc>
          <w:tcPr>
            <w:tcW w:w="5920" w:type="dxa"/>
            <w:vAlign w:val="bottom"/>
            <w:gridSpan w:val="8"/>
          </w:tcPr>
          <w:p>
            <w:pPr>
              <w:spacing w:after="0"/>
              <w:rPr>
                <w:sz w:val="17"/>
                <w:szCs w:val="17"/>
                <w:color w:val="auto"/>
              </w:rPr>
            </w:pP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FORWARD-LOOKING STATEMENTS</w:t>
            </w: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OVERVIEW OF OUR CAPITAL STOCK</w:t>
            </w: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8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GENERAL DESCRIPTION OF SECURITIES THAT MAY BE OFFERED</w:t>
            </w:r>
          </w:p>
        </w:tc>
        <w:tc>
          <w:tcPr>
            <w:tcW w:w="2820" w:type="dxa"/>
            <w:vAlign w:val="bottom"/>
          </w:tcPr>
          <w:p>
            <w:pPr>
              <w:spacing w:after="0"/>
              <w:rPr>
                <w:sz w:val="17"/>
                <w:szCs w:val="17"/>
                <w:color w:val="auto"/>
              </w:rPr>
            </w:pPr>
          </w:p>
        </w:tc>
        <w:tc>
          <w:tcPr>
            <w:tcW w:w="2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2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DESCRIPTION OF DEBT SECURITIES</w:t>
            </w:r>
          </w:p>
        </w:tc>
        <w:tc>
          <w:tcPr>
            <w:tcW w:w="536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3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DESCRIPTION OF PREFERRED STOCK</w:t>
            </w:r>
          </w:p>
        </w:tc>
        <w:tc>
          <w:tcPr>
            <w:tcW w:w="526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1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DESCRIPTION OF COMMON STOCK</w:t>
            </w:r>
          </w:p>
        </w:tc>
        <w:tc>
          <w:tcPr>
            <w:tcW w:w="548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6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DESCRIPTION OF WARRANTS</w:t>
            </w:r>
          </w:p>
        </w:tc>
        <w:tc>
          <w:tcPr>
            <w:tcW w:w="600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1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PLAN OF DISTRIBUTION</w:t>
            </w:r>
          </w:p>
        </w:tc>
        <w:tc>
          <w:tcPr>
            <w:tcW w:w="6460" w:type="dxa"/>
            <w:vAlign w:val="bottom"/>
            <w:gridSpan w:val="11"/>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6"/>
              </w:rPr>
              <w:t>EXPERTS</w:t>
            </w:r>
          </w:p>
        </w:tc>
        <w:tc>
          <w:tcPr>
            <w:tcW w:w="720" w:type="dxa"/>
            <w:vAlign w:val="bottom"/>
            <w:tcBorders>
              <w:top w:val="single" w:sz="8" w:color="0000EE"/>
            </w:tcBorders>
            <w:gridSpan w:val="3"/>
          </w:tcPr>
          <w:p>
            <w:pPr>
              <w:spacing w:after="0"/>
              <w:rPr>
                <w:sz w:val="17"/>
                <w:szCs w:val="17"/>
                <w:color w:val="auto"/>
              </w:rPr>
            </w:pPr>
          </w:p>
        </w:tc>
        <w:tc>
          <w:tcPr>
            <w:tcW w:w="7080" w:type="dxa"/>
            <w:vAlign w:val="bottom"/>
            <w:gridSpan w:val="1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(SEC) utilizing a “shelf” registration process. Under this shelf process, any combination of the securities described in this prospectus may be sold in one or more offerings. This prospectus provides you with a general description of the securities that may be offered. Each time securities are sold pursuant to the registration statement of which this prospectus forms a part, we will provide a prospectus supplement that will contain specific information about the terms of that offering. The prospectus supplement may also add to, update or change the information contained in this prospectus. You should carefully read this prospectus and the accompanying prospectus supplement, along with all of the information incorporated by reference herein and therein, before making an investment decision.</w:t>
      </w:r>
    </w:p>
    <w:p>
      <w:pPr>
        <w:spacing w:after="0" w:line="18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In this prospectus, unless the context indicates otherwise, references to “we,” “our,” “us,” “ourselves,” the “Company,” “General Motors” or “GM” refer to General Motors Company and, where appropriate, its subsidiaries.</w:t>
      </w:r>
    </w:p>
    <w:p>
      <w:pPr>
        <w:spacing w:after="0" w:line="16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in this prospectus, in any prospectus supplement or in any free writing prospectus prepared by or on behalf of us or to which we have referred you. We do not take responsibility for, and we do not provide any assurance as to the reliability of, any other information that others may give you. We have not authorized any other person to provide you with different information. We are not making an offer to sell these securities in any jurisdiction where the offer or sale is not permitted. You should assume that the information appearing in this prospectus, in the accompanying prospectus supplement, in any document incorporated by reference herein or therein, and in any free writing prospectus prepared by or on behalf of us to which we have referred you is accurate only as of their respective dates. Our business, financial condition, results of operations and prospects may have changed since that date.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that we make with the SEC under Sections 13(a), 13(c), 14 or 15(d) of the Securities Exchange Act of 1934, as amended (the Exchange Act), prior to the termination of the offering under this prospectus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prospectus does not incorporate by reference any documents, reports or filings, or portions of any documents, reports or filings, that are deemed to be furnished and not filed under applicable SEC rules):</w:t>
      </w:r>
    </w:p>
    <w:p>
      <w:pPr>
        <w:spacing w:after="0" w:line="94"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50">
        <w:r>
          <w:rPr>
            <w:rFonts w:ascii="Times New Roman" w:cs="Times New Roman" w:eastAsia="Times New Roman" w:hAnsi="Times New Roman"/>
            <w:sz w:val="18"/>
            <w:szCs w:val="18"/>
            <w:u w:val="single" w:color="auto"/>
            <w:color w:val="0000EE"/>
          </w:rPr>
          <w:t>Annual Report on Form 10-K for the fiscal year ended December 31, 2024;</w:t>
        </w:r>
      </w:hyperlink>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w:t>
      </w:r>
      <w:hyperlink r:id="rId63">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24, 2024, that are specifically incorporated by reference into our Annual Report on Form 10-K for the year ended December 31, 2023;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5"/>
        </w:numPr>
        <w:rPr>
          <w:rFonts w:ascii="Times New Roman" w:cs="Times New Roman" w:eastAsia="Times New Roman" w:hAnsi="Times New Roman"/>
          <w:sz w:val="18"/>
          <w:szCs w:val="18"/>
          <w:u w:val="single" w:color="auto"/>
          <w:color w:val="0000EE"/>
        </w:rPr>
      </w:pPr>
      <w:hyperlink r:id="rId64">
        <w:r>
          <w:rPr>
            <w:rFonts w:ascii="Times New Roman" w:cs="Times New Roman" w:eastAsia="Times New Roman" w:hAnsi="Times New Roman"/>
            <w:sz w:val="18"/>
            <w:szCs w:val="18"/>
            <w:color w:val="auto"/>
          </w:rPr>
          <w:t xml:space="preserve">the description of our common stock set forth in </w:t>
        </w:r>
        <w:r>
          <w:rPr>
            <w:rFonts w:ascii="Times New Roman" w:cs="Times New Roman" w:eastAsia="Times New Roman" w:hAnsi="Times New Roman"/>
            <w:sz w:val="18"/>
            <w:szCs w:val="18"/>
            <w:u w:val="single" w:color="auto"/>
            <w:color w:val="0000EE"/>
          </w:rPr>
          <w:t>Exhibit 4.1 to our Annual Report on Form 10-K for the fiscal year ended December 31,</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EE"/>
          </w:rPr>
          <w:t>2024.</w:t>
        </w:r>
      </w:hyperlink>
    </w:p>
    <w:p>
      <w:pPr>
        <w:spacing w:after="0" w:line="162" w:lineRule="exact"/>
        <w:rPr>
          <w:rFonts w:ascii="Times New Roman" w:cs="Times New Roman" w:eastAsia="Times New Roman" w:hAnsi="Times New Roman"/>
          <w:sz w:val="18"/>
          <w:szCs w:val="18"/>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will provide to each person, including any beneficial owner, a copy of the documents incorporated by reference into this prospectus, except exhibits to such documents unless those exhibits are specifically incorporated by reference in such documents, at no cost, by writing or telephoning the office of Christopher T. Hatto, Vice President, Global Business Solutions and Chief Accounting Officer, at the following address and telephone number:</w:t>
      </w:r>
    </w:p>
    <w:p>
      <w:pPr>
        <w:spacing w:after="0" w:line="50"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7"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Detroit, Michigan 48265-3000</w:t>
      </w:r>
    </w:p>
    <w:p>
      <w:pPr>
        <w:spacing w:after="0" w:line="9"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(313) 667-1500</w:t>
      </w:r>
    </w:p>
    <w:p>
      <w:pPr>
        <w:spacing w:after="0" w:line="207" w:lineRule="exact"/>
        <w:rPr>
          <w:rFonts w:ascii="Times New Roman" w:cs="Times New Roman" w:eastAsia="Times New Roman" w:hAnsi="Times New Roman"/>
          <w:sz w:val="18"/>
          <w:szCs w:val="18"/>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You may also find additional information about us, including the documents mentioned above, on our website at https://www.gm.com. Our website and the information included in, or linked to on, our website are not part of this prospectus. We have included our website address in this prospectus solely as a textual reference.</w:t>
      </w:r>
    </w:p>
    <w:p>
      <w:pPr>
        <w:spacing w:after="0" w:line="108"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55"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Investment in any of the securities involves risk. In addition to all of the other information contained or incorporated by reference into this prospectus and any accompanying prospectus supplement, you should carefully consider the risk factors incorporated by reference from our Annual Report on Form 10-K for the year ended December 31, 2024, as updated by our subsequent filings under the Exchange Act, including Forms 10-Q and 8-K, and the risk factors contained or incorporated by reference into this prospectus and any accompanying prospectus supplement before acquiring any of the securities.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320" w:top="455" w:right="5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General Motors Company was incorporated as a Delaware corporation in 2009. We design, build and sell trucks, crossovers, cars and automobile parts and provide software-enabled services and subscriptions worldwide. Cruise is our global segment responsible for the development of autonomous vehicle technology. We also provide automotive financing services through General Motors Financial Company, Inc. (GM Financial).</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300 Renaissance Center, Detroit, Michigan 48265-3000, and our telephone number is (313) 667-1500. Our website is www.gm.com. Our website and the information included in, or linked to, our website are not part of this prospectus. We have included our website address in this prospectus solely as a textual reference.</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320" w:top="455" w:right="5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prospectus supplement of a particular offering will identify the use of proceeds for the offering.</w:t>
      </w:r>
    </w:p>
    <w:p>
      <w:pPr>
        <w:spacing w:after="0" w:line="1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139"/>
          </w:cols>
          <w:pgMar w:left="320" w:top="455"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the other reports filed by us with the SEC from time to time, as well as statements incorporated by reference 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 (1) our ability to deliver new products, services, technologies and customer experiences in response to increased competition and changing consumer needs and preferences; (2) our ability to attract and retain talented and highly skilled employees; (3) our ability to timely fund and introduce new and improved vehicle models, including EVs, that are able to attract a sufficient number of consumers; (4) our ability to profitably deliver a strategic portfolio of EVs; (5) our long-term strategy is dependent on consumer adoptions of EVs;</w:t>
      </w:r>
    </w:p>
    <w:p>
      <w:pPr>
        <w:spacing w:after="0" w:line="12" w:lineRule="exact"/>
        <w:rPr>
          <w:sz w:val="20"/>
          <w:szCs w:val="20"/>
          <w:color w:val="auto"/>
        </w:rPr>
      </w:pPr>
    </w:p>
    <w:p>
      <w:pPr>
        <w:ind w:left="120" w:right="20" w:hanging="4"/>
        <w:spacing w:after="0" w:line="250" w:lineRule="auto"/>
        <w:tabs>
          <w:tab w:leader="none" w:pos="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current line of ICE vehicles, particularly our full-size SUVs and full-size pickup trucks; (7) our highly competitive industry, which has been historically characterized by excess manufacturing capacity and the use of incentives, and the introduction of new and improved vehicle models by our competitors; (8) the unique technological, operational, regulatory and competitive risks related to our recently announced plans to refocus our AV strategy on personal vehicles; (9) risks associated with climate change, including increased regulation of GHG emissions, our transition to EVs and the potential increased impacts of severe weather events; (10) global automobile market sales volume, which can be volatile; (11) inflationary pressures and persistently high prices and uncertain availability of raw materials and commodities used by us and our suppliers, and instability in logistics and related costs; (12) our business in China, which is subject to unique operational, competitive, regulatory and economic risks; (13) the success of our ongoing strategic business relationships, particularly with respect to facilitating access to raw materials necessary for the production of EVs, and of our joint ventures, which we cannot operate solely for our benefit and over which we may have limited control; (14) the international scale and footprint of our operations, which expose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(15) any significant disruption, including any work stoppages, at any of our manufacturing facilities; (16) the ability of our suppliers to deliver parts, systems and components without disruption and at such times to allow us to meet production schedules; (17) pandemics, epidemics, disease outbreaks and other public health crises; (18) the possibility that competitors may independently develop products and services similar to ours, or that our intellectual property rights are not sufficient to prevent competitors from developing or selling those products or services; (19) our ability to manage risks related to security breaches, cyberattacks and other disruptions to our information technology systems and networked products, including connected vehicles; (20) our ability to manage security breaches and other disruptions to our in-vehicle systems; (21) our ability to comply with increasingly complex, restrictive and punitive regulations relating to our enterprise data practices, including the collection, use, sharing and security of the personal information of our customers, employees or</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suppliers; (22) our ability to comply with extensive laws, regulations and policies applicable to our operations and products, including those relating to fuel economy, emissions and AVs; (23) costs and risks associated with litigation and government investigations; (24) the costs and effect on our reputation of product safety recalls and alleged defects in products and services; (25) any additional tax expense or exposure or failure to fully realize available tax incentives; (26) our continued ability to develop captive financing capability through GM Financial; and (27) any significant increase in our pension funding requirements. For a further discussion of these and other risks and uncertainties, refer to our Annual Report on Form 10-K for the year ended December 31, 2024, as updated by our subsequent filings with the SEC.</w:t>
      </w:r>
    </w:p>
    <w:p>
      <w:pPr>
        <w:spacing w:after="0" w:line="187"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Consequently, all of the forward-looking statements made in this prospectus and any prospectus supplement,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1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40"/>
          </w:cols>
          <w:pgMar w:left="320" w:top="455" w:right="5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OVERVIEW OF OUR CAPITAL STOCK</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material provisions of our capital stock is based upon our restated certificate of incorporation (Certificate of Incorporation) and our amended and restated bylaws (Bylaws), in each case as currently in effect as of the date of this prospectus, and is qualified in its entirety by reference to the provisions of those documents.</w:t>
      </w:r>
    </w:p>
    <w:p>
      <w:pPr>
        <w:spacing w:after="0" w:line="17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Certain provisions of the General Corporation Law of the State of Delaware (the DGCL), our Certificate of Incorporation, and our Bylaws summarized in the following paragraphs may have an anti-takeover effect. This may delay, defer, or prevent a tender offer or takeover attempt that a stockholder might consider in its best interests.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As of January 16, 2025, 995,001,891 shares of our common stock were issued and outstanding. The general terms of our common stock are described below within the section of this prospectus entitled “Description of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Provisions of Our Certificate of Incorporation and Bylaws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Amendments to Our Certificate of Incorporation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Under the DGCL, the affirmative vote of a majority of the outstanding shares entitled to vote thereon and a majority of the outstanding stock of each class entitled to vote thereon is generally required to amend a corporation’s certificate of incorporation. Under the DGCL, the holders of the outstanding shares of a class of our capital stock shall be entitled to vote as a class upon a proposed amendment, whether or not entitled to vote thereon by the certificate of incorporation, if the amendment would:</w:t>
      </w:r>
    </w:p>
    <w:p>
      <w:pPr>
        <w:spacing w:after="0" w:line="85"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aggregate number of authorized shares of such class;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par value of the shares of such class;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change the powers, preferences, or special rights of the shares of such class so as to affect them adversely.</w:t>
      </w:r>
    </w:p>
    <w:p>
      <w:pPr>
        <w:spacing w:after="0" w:line="225"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Vacancies in our Board of Directors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that any vacancy occurring in our board of directors (Board of Directors) for any reason shall be filled exclusively pursuant to a resolution adopted by a majority of the remaining members of our Board of Directors then in office. Each director so elected shall hold office for a term expiring at the same time as the next annual meeting of stockholders. Each director shall hold office until his or her successor is elected and qualified, unless the director dies, resigns or otherwise leaves the Board of Directors before then.</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Under our Bylaws, special meetings of stockholders may be called at any time by the chair of the Board of Directors, by a majority of the members of the Board of Directors or as otherwise provided by Delaware law, the Certificate of Incorporation or the Bylaws. Our Bylaws further provide that the Board of Directors shall call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special meeting upon the written request of the record holders of at least 15%, in the aggregate, of the voting power of the outstanding shares of all classes of shares entitled to vote at such a meeting, subject to requirements and limitations set forth in our Bylaws.</w:t>
      </w:r>
    </w:p>
    <w:p>
      <w:pPr>
        <w:spacing w:after="0" w:line="16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Under the DGCL, written notice of any special meeting must be given not less than 10 nor more than 60 days before the date of the special meeting to each stockholder entitled to vote at such meeting.</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Notice of Stockholder Director Nominations and Stockholder Business</w:t>
      </w:r>
    </w:p>
    <w:p>
      <w:pPr>
        <w:spacing w:after="0" w:line="121" w:lineRule="exact"/>
        <w:rPr>
          <w:sz w:val="20"/>
          <w:szCs w:val="20"/>
          <w:color w:val="auto"/>
        </w:rPr>
      </w:pPr>
    </w:p>
    <w:p>
      <w:pPr>
        <w:jc w:val="both"/>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Under our Bylaws, nominations for the election of directors may be made by the Board of Directors or by any stockholder entitled to vote for the election of directors who complies with the applicable notice and other requirements set forth in our Bylaws.</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a stockholder wishes to bring any business before an annual or special meeting or nominate a person for election to our Board of Directors, our Bylaws contain certain procedures that must be followed for the advance timing required for delivery of stockholder notice of such nomination or other business and the information that such notice must contain.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Proxy Access Nominations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Under our Bylaws, we must include in our proxy statement for an annual meeting the name, together with certain other required information, of any person nominated for the election of directors in compliance with specified provisions in our Bylaws by a single stockholder that satisfies (or by a group of no more than 20 stockholders that satisfy) various notice and other requirements specified in our Bylaws. Among other requirements in our Bylaws, such stockholder or group of stockholders would need to provide evidence verifying that the stockholder or group owns, and has owned continuously for the preceding three years, at least 3% of the issued and outstanding voting shares of the Company. Our Bylaws contain limitations on the maximum number of nominees submitted by stockholders that we would be required to include in our proxy statement for an annual meeting.</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 without a Meeting</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thereon. Our Bylaws also contain notice and procedural requirements applicable to persons seeking to have the stockholders authorize or take corporate action by written consent without a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Effects of Delaware Law</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DGCL. In general, Section 203 of the DGCL prohibits a publicly held Delaware corporation from engaging in various business combination transactions with any interested stockholder for a period of three years following the time that such person became an interested stockholder, unless:</w:t>
      </w:r>
    </w:p>
    <w:p>
      <w:pPr>
        <w:spacing w:after="0" w:line="81" w:lineRule="exact"/>
        <w:rPr>
          <w:sz w:val="20"/>
          <w:szCs w:val="20"/>
          <w:color w:val="auto"/>
        </w:rPr>
      </w:pPr>
    </w:p>
    <w:p>
      <w:pPr>
        <w:ind w:left="1080" w:right="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the transaction which resulted in the stockholder becoming an interested stockholder is approved by the Board of Directors prior to the time the interested stockholder obtained such status;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6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the corporation’s voting stock.</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However, the restrictions contained in Section 203 will not apply if the business combination is with an interested stockholder who became an interested stockholder before the time that we had a class of voting stock that is either listed on a national securities exchange or held of record by more than 2,000 stockholders.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40"/>
          </w:cols>
          <w:pgMar w:left="320" w:top="455" w:right="5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GENERAL DESCRIPTION OF SECURITIES THAT MAY BE OFFERED</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securities may be offered, at any time and from time to time, pursuant to this prospectus:</w:t>
      </w:r>
    </w:p>
    <w:p>
      <w:pPr>
        <w:spacing w:after="0" w:line="13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securities, in one or more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preferred stock, par value $0.01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par value $0.01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any of the other securities that may be sold under this prospectus;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these securities.</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Securities offered under this prospectus may be exchangeable for or convertible into common stock or any of the other securities that may be sold under this prospectus. When particular securities are offered, a supplement to this prospectus will be filed with the SEC, which will describe the terms of the offering and sale of the offered securities.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debt securities offered by this prospectus will be issued under an indenture (the “indenture”) dated as of September 27, 2013, between us and The Bank of New York Mellon, as trustee, as amended and supplemented by the seventh supplemental indenture, dated as of August 2, 2022, copies of which have been filed as exhibits to the registration statement of which this prospectus is a part and which is incorporated by reference herein, subject to such further amendments or supplemental indentures as are adopted from time to time. We have summarized selected provisions of the indenture and the debt securities below. This summary is not complete and is qualified in its entirety by reference to the indenture.</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describe the particular terms of each series of debt securities we offer in a supplement to this prospectus. If any particular terms of the debt securities described in a prospectus supplement differ from any of the terms described in this prospectus, then the terms described in the applicable prospectus supplement will supersede the terms described in this prospectus. The terms of our debt securities will include those set forth in the indenture and those made a part of the indenture by the Trust Indenture Act of 1939, as amended (the TIA). You should carefully read the summary below, the applicable prospectus supplement and the provisions of the indenture that may be important to you before investing in our debt securities.</w:t>
      </w:r>
    </w:p>
    <w:p>
      <w:pPr>
        <w:spacing w:after="0" w:line="183"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Wherever terms are used but not defined in this section of the prospectus, those terms have the meanings assigned to them in the indenture, it being intended that those defined terms will be incorporated herein by reference. For purposes of this section of the prospectus, references to “we,” “our,” “us,” “ourselves,” the “Company,” “General Motors” or “GM” refer to General Motors Company (parent company only) and not any of its subsidiaries.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Terms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may issue debt securities at any time and from time to time in one or more series under the indenture. The debt securities that we may issue include senior debt securities, subordinated debt securities, convertible debt securities and exchangeable debt securities. A series of debt securities may be guaranteed by one or more of our subsidiaries. The indenture does not limit the amount of debt securities that may be issued thereunder and will govern debt securities up to the aggregate principal amount that we may authorize from time to time. Any such limit applicable to a particular series of debt securities will be specified in the prospectus supplement relating to that series.</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will describe the specific terms of each series of debt securities being offered in a supplement to this prospectus. These terms may include, but are not limited to, some or all of the following:</w:t>
      </w:r>
    </w:p>
    <w:p>
      <w:pPr>
        <w:spacing w:after="0" w:line="67"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of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 of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and premium, if any, of the debt securities of that series, or any tranche thereof, is payable;</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debt securities of that series, or any tranche thereof, will bear interest, or any formula or other method or means by which such rate or rates shall be determined, by reference to an index or other fact or event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and the dates on which such interest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extend the interest payment periods and the duration of any such extension;</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period or periods within which, the price or prices at which and the terms and conditions upon which debt securities of that series, or any tranche thereof, may be redeemed, in whole or in part, at our option;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9" w:lineRule="auto"/>
        <w:tabs>
          <w:tab w:leader="none" w:pos="10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obligation, if any, to redeem or purchase debt securities of that series, of any tranche thereof, pursuant to any sinking fund provision or at the option of the holder thereof and the period or periods within which, the price or prices at which and the terms and conditions on which debt securities of that series, or any tranche thereof, must be redeemed or purchased, in whole or in part, pursuant to such obligation;</w:t>
      </w:r>
    </w:p>
    <w:p>
      <w:pPr>
        <w:spacing w:after="0" w:line="6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the debt securities of that series will be subordinate in right and priority of payment to any of our other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of that series will be issuable;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entire principal amount of the debt securities of that series, the portion of the principal amount that will be payable upon acceleration of maturity as a result of a default on our obligations;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dollars, the currency or currencies in which the principal of or any premium or interest on the debt securities of that series will be payable;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any premium or interest on the debt securities of that series is to be payable, or is to be payable at our election or the election of a holder of those debt securities, in securities or other property, the type and amount of such securities or other property, or the manner of determining that amount, and the period or periods within which, and the terms and conditions upon which, any such election may be made;</w:t>
      </w:r>
    </w:p>
    <w:p>
      <w:pPr>
        <w:spacing w:after="0" w:line="85"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which apply to, and covenants for the benefit of the holders of, the debt securities of that series;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of that series may be converted into or exchanged for securities or other property of us or any other person;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terms of any collateral security, assurance or guaranty for the debt securities of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on which the debt securities of that series will be guaranteed by any of our subsidiaries;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the debt securities of that series.</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indenture does not contain any covenant or other specific provision affording protection to holders of debt securities in the event of a highly leveraged transaction or a change in control of us, except to the limited extent described under “Consolidation, Merger or Sale of Assets.”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Restrictive 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any restrictive covenants for any series of debt securities in the applicable prospectus supplement for such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Discharge and Covenant Defeasance</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may terminate our obligations with respect to the debt securities of any series under the indenture (with the exception of specified provisions as provided in the indenture), when:</w:t>
      </w:r>
    </w:p>
    <w:p>
      <w:pPr>
        <w:spacing w:after="0" w:line="67"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previously authenticated and delivered have been delivered to the trustee for cancellation; or</w:t>
      </w:r>
    </w:p>
    <w:p>
      <w:pPr>
        <w:spacing w:after="0" w:line="130" w:lineRule="exact"/>
        <w:rPr>
          <w:rFonts w:ascii="Times New Roman" w:cs="Times New Roman" w:eastAsia="Times New Roman" w:hAnsi="Times New Roman"/>
          <w:sz w:val="18"/>
          <w:szCs w:val="18"/>
          <w:color w:val="auto"/>
        </w:rPr>
      </w:pPr>
    </w:p>
    <w:p>
      <w:pPr>
        <w:jc w:val="both"/>
        <w:ind w:left="1540" w:right="80" w:hanging="331"/>
        <w:spacing w:after="0" w:line="266" w:lineRule="auto"/>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not previously delivered to the trustee for cancellation (i) have become due and payable (whether at stated maturity, early redemption or otherwise), (ii) will become due and payable at their stated maturity within one year, or (iii) are to be called for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spacing w:after="0" w:line="254" w:lineRule="auto"/>
        <w:rPr>
          <w:sz w:val="20"/>
          <w:szCs w:val="20"/>
          <w:color w:val="auto"/>
        </w:rPr>
      </w:pPr>
      <w:r>
        <w:rPr>
          <w:rFonts w:ascii="Times New Roman" w:cs="Times New Roman" w:eastAsia="Times New Roman" w:hAnsi="Times New Roman"/>
          <w:sz w:val="18"/>
          <w:szCs w:val="18"/>
          <w:color w:val="auto"/>
        </w:rPr>
        <w:t>redemption within one year under arrangements satisfactory to the trustee for the giving of notice of redemption by the trustee in our name and at our expense, and in each case, we have deposited or caused to be deposited with the trustee as funds in trust solely for the benefit of the holders of the debt securities of such series, an amount in cash in the currency or composite currency in which the debt securities of such series are denominated, “eligible obligations” (which means (1) with respect to debt securities denominated in U.S. dollars, U.S. government obligations, or (2) with respect to debt securities denominated in a currency other than U.S. dollars or in a composite currency, such other obligations or instruments as may be specified for such debt securities) or any combination thereof, sufficient to pay the principal of, and any premium and interest on, the debt securities of such series to the date of deposit (in the case of debt securities that have become due and payable) or the stated maturity date or redemption date thereof;</w:t>
      </w:r>
    </w:p>
    <w:p>
      <w:pPr>
        <w:spacing w:after="0" w:line="97"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under the indenture by us with respect to such series; and</w:t>
      </w:r>
    </w:p>
    <w:p>
      <w:pPr>
        <w:spacing w:after="0" w:line="130"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under the indenture relating to the satisfaction and discharge of the indenture with respect to such series have been complied with.</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may elect at any time to have our obligations under the indenture discharged with respect to any series of debt securities (legal defeasance), unless such series of debt securities was designated as not being defeasible. Legal defeasance means that we will be deemed to have paid and discharged the entire indebtedness represented by debt securities of such series and the provisions of the indenture relating to such series of debt securities shall be satisfied and discharged and shall no longer be in effect, except for:</w:t>
      </w:r>
    </w:p>
    <w:p>
      <w:pPr>
        <w:spacing w:after="0" w:line="85" w:lineRule="exact"/>
        <w:rPr>
          <w:sz w:val="20"/>
          <w:szCs w:val="20"/>
          <w:color w:val="auto"/>
        </w:rPr>
      </w:pPr>
    </w:p>
    <w:p>
      <w:pPr>
        <w:ind w:left="1080" w:right="60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the debt securities of such series to receive, solely from the funds deposited with the trustee, payment of the principal of (and premium, if any) and interest when due;</w:t>
      </w:r>
    </w:p>
    <w:p>
      <w:pPr>
        <w:spacing w:after="0" w:line="67" w:lineRule="exact"/>
        <w:rPr>
          <w:rFonts w:ascii="Times New Roman" w:cs="Times New Roman" w:eastAsia="Times New Roman" w:hAnsi="Times New Roman"/>
          <w:sz w:val="18"/>
          <w:szCs w:val="18"/>
          <w:color w:val="auto"/>
        </w:rPr>
      </w:pPr>
    </w:p>
    <w:p>
      <w:pPr>
        <w:ind w:left="1080" w:right="200" w:hanging="532"/>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with respect to the debt securities of such series concerning issuing temporary debt securities, registration of transfer of debt securities, mutilated, destroyed, lost or stolen debt securities, maintenance of an office or agency and money for security payments held in trust, and, if we shall have designated a redemption date, our obligations concerning the redemption of the debt securities of such series;</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under the indenture;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elect at any time to have our obligations under certain covenants in the indenture and the debt securities released with respect to any series of debt securities (covenant defeasance), unless such series of debt securities was designated as not being defeasible. Any failure to comply with these obligations will not constitute an event of default with respect to the debt securities of such series.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the conditions to the applications of legal defeasance or covenant defeasance to any series of debt securities:</w:t>
      </w:r>
    </w:p>
    <w:p>
      <w:pPr>
        <w:spacing w:after="0" w:line="131" w:lineRule="exact"/>
        <w:rPr>
          <w:sz w:val="20"/>
          <w:szCs w:val="20"/>
          <w:color w:val="auto"/>
        </w:rPr>
      </w:pPr>
    </w:p>
    <w:p>
      <w:pPr>
        <w:ind w:left="1080" w:right="480" w:hanging="532"/>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have deposited or caused to be deposited with the trustee as trust funds, specifically pledged as security for, and dedicated solely to, the benefit of the holders of the debt securities of such series: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in dollars (or such other currency or composite currency in which such debt securities are denominated) in an amount sufficient;</w:t>
      </w:r>
    </w:p>
    <w:p>
      <w:pPr>
        <w:spacing w:after="0" w:line="142" w:lineRule="exact"/>
        <w:rPr>
          <w:rFonts w:ascii="Times New Roman" w:cs="Times New Roman" w:eastAsia="Times New Roman" w:hAnsi="Times New Roman"/>
          <w:sz w:val="17"/>
          <w:szCs w:val="17"/>
          <w:color w:val="auto"/>
        </w:rPr>
      </w:pPr>
    </w:p>
    <w:p>
      <w:pPr>
        <w:ind w:left="1540" w:right="580" w:hanging="331"/>
        <w:spacing w:after="0" w:line="282" w:lineRule="auto"/>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obligations which through the payment of interest and principal in respect thereof in accordance with their terms will provide, on or before the due date of any payment, money in an amount sufficient;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220" w:hanging="331"/>
        <w:spacing w:after="0" w:line="276" w:lineRule="auto"/>
        <w:tabs>
          <w:tab w:leader="none" w:pos="154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combination of such cash and eligible obligations in an amount sufficient, in each case, in the opinion of a nationally recognized firm of independent certified public accountants, expressed in a written certification delivered to the trustee, to pay and discharge</w:t>
      </w:r>
    </w:p>
    <w:p>
      <w:pPr>
        <w:jc w:val="both"/>
        <w:ind w:left="1540"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the principal of (and premium, if any) and interest on such debt securities of such series at the stated maturity or redemption date and (2) any mandatory sinking fund payments applicable to the debt securities of such series on the day on which such payments are due and payable;</w:t>
      </w:r>
    </w:p>
    <w:p>
      <w:pPr>
        <w:spacing w:after="0" w:line="91" w:lineRule="exact"/>
        <w:rPr>
          <w:rFonts w:ascii="Times New Roman" w:cs="Times New Roman" w:eastAsia="Times New Roman" w:hAnsi="Times New Roman"/>
          <w:sz w:val="17"/>
          <w:szCs w:val="17"/>
          <w:color w:val="auto"/>
        </w:rPr>
      </w:pPr>
    </w:p>
    <w:p>
      <w:pPr>
        <w:ind w:left="1080" w:right="20" w:hanging="532"/>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subject to certain exceptions, we have delivered to the trustee an opinion of counsel to the effect that, based upon an Internal Revenue Service ruling or a change in law, the holders of the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85"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have delivered to the trustee an opinion of counsel to the effect that the holders of the debt securities of such series will not recognize gain or loss for federal income tax purposes as a result of the deposit and covenant defeasance to be effected and will be subject to the same federal income tax as would be the case if the deposit and covenant defeasance did not occur;</w:t>
      </w:r>
    </w:p>
    <w:p>
      <w:pPr>
        <w:spacing w:after="0" w:line="81"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a breach or violation of, or constitute a default under, any material agreement or instrument to which we are a party or by which we are bound;</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event that with notice or lapse of time would become an event of default with respect to the debt securities of such series has occurred and is continuing at the date of such deposit or, with regard to any event of default relating to bankruptcy or insolvency, during the period ending on the 91st day after the date of such deposit;</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agreement whereby we irrevocably agree to forfeit our rights, if any, to extend the interest payment periods on such debt securities pursuant to the indenture;</w:t>
      </w:r>
    </w:p>
    <w:p>
      <w:pPr>
        <w:spacing w:after="0" w:line="67" w:lineRule="exact"/>
        <w:rPr>
          <w:rFonts w:ascii="Times New Roman" w:cs="Times New Roman" w:eastAsia="Times New Roman" w:hAnsi="Times New Roman"/>
          <w:sz w:val="18"/>
          <w:szCs w:val="18"/>
          <w:color w:val="auto"/>
        </w:rPr>
      </w:pPr>
    </w:p>
    <w:p>
      <w:pPr>
        <w:ind w:left="1080" w:right="240" w:hanging="532"/>
        <w:spacing w:after="0" w:line="289" w:lineRule="auto"/>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legal defeasance or covenant defeasance will not (i) cause the trustee with respect to the debt securities of such series to have certain conflicting interests for purposes of the TIA with respect to the debt securities of such series, or (ii) result in the trust arising from such deposit to constitute, unless it is qualified as, a regulated investment company under the Investment Company Act of 1940, as amended;</w:t>
      </w:r>
    </w:p>
    <w:p>
      <w:pPr>
        <w:spacing w:after="0" w:line="63" w:lineRule="exact"/>
        <w:rPr>
          <w:rFonts w:ascii="Times New Roman" w:cs="Times New Roman" w:eastAsia="Times New Roman" w:hAnsi="Times New Roman"/>
          <w:sz w:val="17"/>
          <w:szCs w:val="17"/>
          <w:color w:val="auto"/>
        </w:rPr>
      </w:pPr>
    </w:p>
    <w:p>
      <w:pPr>
        <w:ind w:left="1080" w:right="24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stating that all conditions precedent with respect to the legal defeasance or covenant defeasance have been complied with; and</w:t>
      </w:r>
    </w:p>
    <w:p>
      <w:pPr>
        <w:spacing w:after="0" w:line="67"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deposited or caused to be deposited money or eligible obligations to pay or discharge the principal of (and premium, if any) and interest on the debt securities of a series to and including a redemption date pursuant to clause (i) above, such redemption date shall be irrevocably designated by a board resolution delivered to the trustee on or prior to the date of deposit of such money or eligible obligations, and such board resolution shall be accompanied by an irrevocable written request by us that the trustee give notice of such redemption in our name, and at our expense, not less than 30 nor more than 60 days prior to such redemption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 of Assets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we may not consolidate with or merge with or into, or convey, transfer or lease all or substantially all of our properties and assets to, any person (including any individual, corporation or partnership), unless:</w:t>
      </w:r>
    </w:p>
    <w:p>
      <w:pPr>
        <w:spacing w:after="0" w:line="67" w:lineRule="exact"/>
        <w:rPr>
          <w:sz w:val="20"/>
          <w:szCs w:val="20"/>
          <w:color w:val="auto"/>
        </w:rPr>
      </w:pPr>
    </w:p>
    <w:p>
      <w:pPr>
        <w:ind w:left="1080" w:right="60" w:hanging="532"/>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(x) we shall be the continuing corporation or the successor corporation or (y) the person formed by such consolidation or into which we are merged or the person that acquires by conveyance, transfer or lease our properties and assets substantially as an entirety shall be a person organized and existing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66" w:lineRule="auto"/>
        <w:rPr>
          <w:sz w:val="20"/>
          <w:szCs w:val="20"/>
          <w:color w:val="auto"/>
        </w:rPr>
      </w:pPr>
      <w:r>
        <w:rPr>
          <w:rFonts w:ascii="Times New Roman" w:cs="Times New Roman" w:eastAsia="Times New Roman" w:hAnsi="Times New Roman"/>
          <w:sz w:val="18"/>
          <w:szCs w:val="18"/>
          <w:color w:val="auto"/>
        </w:rPr>
        <w:t>under the laws of the United States of America, any State thereof or the District of Columbia and shall expressly assume by a supplemental indenture the due and punctual payment of the principal of (and premium, if any) and interest on all of the outstanding debt securities and the performance of our covenants under the indenture;</w:t>
      </w:r>
    </w:p>
    <w:p>
      <w:pPr>
        <w:spacing w:after="0" w:line="81" w:lineRule="exact"/>
        <w:rPr>
          <w:sz w:val="20"/>
          <w:szCs w:val="20"/>
          <w:color w:val="auto"/>
        </w:rPr>
      </w:pPr>
    </w:p>
    <w:p>
      <w:pPr>
        <w:ind w:left="1080" w:right="520" w:hanging="532"/>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event of default and no event that, after notice or lapse of time or both, would become an event of default, shall have occurred and be continuing; and</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such consolidation, merger, conveyance, transfer or lease and such supplemental indenture complies with these provisions (except that such opinion of counsel need not opine as to clause (ii) above).</w:t>
      </w:r>
    </w:p>
    <w:p>
      <w:pPr>
        <w:spacing w:after="0" w:line="176"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the event of any such consolidation or merger or any conveyance, transfer or lease of all or substantially all our properties and assets, any such successor will be substituted for, and may exercise every right and power of, us under the indenture with the same effect as if it had been named in the indenture as obligor.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indenture contains provisions permitting us and the trustee to enter into one or more supplemental indentures for the purpose of adding any provisions to or changing in any manner or eliminating any of the provisions of the indenture or any supplemental indenture or of modifying in any manner the rights of the holders of the debt securities of any series or of the coupons pertaining to such debt securities under the indenture, with the consent of the holders of not less than a majority in aggregate principal amount of the debt securities of all series at the time outstanding under the indenture which are affected by such supplemental indenture, voting as one class,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there are debt securities of more than one series of equal ranking outstanding under the indenture and if a proposed supplemental indenture shall directly affect the rights of the holder of debt securities of one or more, but less than all, of such series, then the consent only of the holders of not less than a majority in aggregate principal amount of the outstanding debt securities of all series so directly affected, considered as one class, shall be required,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without the consent of the holder of each outstanding debt security so affected, no such supplemental indenture may:</w:t>
      </w:r>
    </w:p>
    <w:p>
      <w:pPr>
        <w:spacing w:after="0" w:line="94" w:lineRule="exact"/>
        <w:rPr>
          <w:sz w:val="20"/>
          <w:szCs w:val="20"/>
          <w:color w:val="auto"/>
        </w:rPr>
      </w:pPr>
    </w:p>
    <w:p>
      <w:pPr>
        <w:ind w:left="1080" w:right="60" w:hanging="532"/>
        <w:spacing w:after="0" w:line="255"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principal of or interest on, any debt security, or reduce the principal amount or premium, if any, thereof or the rate of interest thereon (or the amount of any installment of interest thereon) or any premium payable upon the redemption thereof, or change the method of calculating the rate of interest thereon, or reduce the amount of principal of an original issue discount security that would be due and payable upon a declaration of acceleration of the maturity thereof pursuant to the indenture, or change the coin or currency (or other property) in which, any debt security or any premium or the interest thereon is payable, or impair the right to institute suit for the enforcement of any such payment on or after the stated maturity thereof (or, in the case of redemption, on or after the redemption date, or, in the case of repayment at the option of the holders, on or after the repayment date);</w:t>
      </w:r>
    </w:p>
    <w:p>
      <w:pPr>
        <w:spacing w:after="0" w:line="94"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under the indenture and their consequences provided for in the indenture; or</w:t>
      </w:r>
    </w:p>
    <w:p>
      <w:pPr>
        <w:spacing w:after="0" w:line="81" w:lineRule="exact"/>
        <w:rPr>
          <w:rFonts w:ascii="Times New Roman" w:cs="Times New Roman" w:eastAsia="Times New Roman" w:hAnsi="Times New Roman"/>
          <w:sz w:val="18"/>
          <w:szCs w:val="18"/>
          <w:color w:val="auto"/>
        </w:rPr>
      </w:pPr>
    </w:p>
    <w:p>
      <w:pPr>
        <w:ind w:left="1080" w:right="440" w:hanging="532"/>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above provisions or the provisions of the indenture regarding the waiver of past defaults and the waiver of certain covenants by the holders of the debt securities, except to increase any such percentage vote required or to provide that certain other provisions of the indenture cannot be modified or waived without the consent of the holder of each outstanding debt security affected thereby.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permitting us and the trustee to enter into supplemental indentures, without the consent of the holders of any debt securities, for any of the following purposes:</w:t>
      </w:r>
    </w:p>
    <w:p>
      <w:pPr>
        <w:spacing w:after="0" w:line="67" w:lineRule="exact"/>
        <w:rPr>
          <w:sz w:val="20"/>
          <w:szCs w:val="20"/>
          <w:color w:val="auto"/>
        </w:rPr>
      </w:pPr>
    </w:p>
    <w:p>
      <w:pPr>
        <w:ind w:left="1080" w:right="20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us and the assumption by any such successor of the covenants applicable to us under the indenture and in the debt securities;</w:t>
      </w:r>
    </w:p>
    <w:p>
      <w:pPr>
        <w:spacing w:after="0" w:line="67"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applicable to us for the benefit of the holders of all or any series of debt securities, or to surrender any right or power conferred upon us under the indenture;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with respect to all or any series of debt securities;</w:t>
      </w:r>
    </w:p>
    <w:p>
      <w:pPr>
        <w:spacing w:after="0" w:line="130" w:lineRule="exact"/>
        <w:rPr>
          <w:rFonts w:ascii="Times New Roman" w:cs="Times New Roman" w:eastAsia="Times New Roman" w:hAnsi="Times New Roman"/>
          <w:sz w:val="18"/>
          <w:szCs w:val="18"/>
          <w:color w:val="auto"/>
        </w:rPr>
      </w:pPr>
    </w:p>
    <w:p>
      <w:pPr>
        <w:jc w:val="both"/>
        <w:ind w:left="1080" w:right="240" w:hanging="532"/>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the indenture to such extent as shall be necessary to permit or facilitate the issuance of debt securities in bearer form, registrable or not registrable as to principal, and with or without interest coupons or to permit or facilitate the issuance of debt securities in uncertificated form;</w:t>
      </w:r>
    </w:p>
    <w:p>
      <w:pPr>
        <w:spacing w:after="0" w:line="81"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change or eliminate any of the provisions of the indenture, or to add any new provision to the indenture, in respect of one or more series of debt securities;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such change, elimination or addition either (A) shall neither (i) apply to any debt security of any series created prior to the execution of such supplemental indenture and entitled to the benefit of such provision nor (ii) modify the rights of the holder of any such debt security with respect to such provision or (B) shall become effective only when there is no such debt security outstanding;</w:t>
      </w:r>
    </w:p>
    <w:p>
      <w:pPr>
        <w:spacing w:after="0" w:line="88" w:lineRule="exact"/>
        <w:rPr>
          <w:rFonts w:ascii="Times New Roman" w:cs="Times New Roman" w:eastAsia="Times New Roman" w:hAnsi="Times New Roman"/>
          <w:sz w:val="18"/>
          <w:szCs w:val="18"/>
          <w:color w:val="auto"/>
        </w:rPr>
      </w:pPr>
    </w:p>
    <w:p>
      <w:pPr>
        <w:ind w:left="1080" w:right="74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collateral security with respect to the debt securities of any series and to provide for the terms and conditions of release or substitution thereof;</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issuance of and establish the form, terms and conditions of any additional debt securities of any series or tranche thereof as permitted by the indenture;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all, or any series or tranche of, certificated debt securities;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indenture by a successor trustee with respect to the debt securities of one or more series and to add to or change any of the provisions of the indenture as shall be necessary to provide for or facilitate the administration of the trusts thereunder by more than one trustee, pursuant to the requirements of the indenture;</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 separate trustee or co-trustee;</w:t>
      </w:r>
    </w:p>
    <w:p>
      <w:pPr>
        <w:spacing w:after="0" w:line="130"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 place or places where (a) the principal of or premium, if any, or interest, if any, on all or any series of debt securities shall be payable, (b) all or any series of debt securities may be surrendered for registration or transfer, (c) all or any series of debt securities may be surrendered for exchange and (d) notices and demands to us in respect of all or any series of debt securities and the indenture may be served;</w:t>
      </w:r>
    </w:p>
    <w:p>
      <w:pPr>
        <w:spacing w:after="0" w:line="85"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supplement any of the provisions of the indenture to such extent as shall be necessary to permit or facilitate the defeasance and discharge of any series of debt securities, or any tranche thereof, pursuant to the terms of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debt securities of such series or tranche or any other series of debt securities in any material respect;</w:t>
      </w:r>
    </w:p>
    <w:p>
      <w:pPr>
        <w:spacing w:after="0" w:line="85" w:lineRule="exact"/>
        <w:rPr>
          <w:rFonts w:ascii="Times New Roman" w:cs="Times New Roman" w:eastAsia="Times New Roman" w:hAnsi="Times New Roman"/>
          <w:sz w:val="18"/>
          <w:szCs w:val="18"/>
          <w:color w:val="auto"/>
        </w:rPr>
      </w:pPr>
    </w:p>
    <w:p>
      <w:pPr>
        <w:jc w:val="both"/>
        <w:ind w:left="1080" w:right="440" w:hanging="532"/>
        <w:spacing w:after="0" w:line="312" w:lineRule="auto"/>
        <w:tabs>
          <w:tab w:leader="none" w:pos="10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one or more guarantees for the benefit of the holders of all or any series of debt securities under the indenture or evidence the release, termination or discharge of any such guarantee when such release, termination or discharge is permitted under the indenture;</w:t>
      </w:r>
    </w:p>
    <w:p>
      <w:pPr>
        <w:spacing w:after="0" w:line="45" w:lineRule="exact"/>
        <w:rPr>
          <w:rFonts w:ascii="Times New Roman" w:cs="Times New Roman" w:eastAsia="Times New Roman" w:hAnsi="Times New Roman"/>
          <w:sz w:val="17"/>
          <w:szCs w:val="17"/>
          <w:color w:val="auto"/>
        </w:rPr>
      </w:pPr>
    </w:p>
    <w:p>
      <w:pPr>
        <w:ind w:left="1080" w:right="18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to correct or supplement any provision contained in the indenture or in any supplemental indenture that may be defective or inconsistent with any other provision contained in the indenture or in any supplemental indenture; 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55"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080" w:right="160" w:hanging="532"/>
        <w:spacing w:after="0" w:line="267"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any other provisions with respect to matters or questions arising under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action pursuant to this clause shall not adversely affect in any material respect the interests of the holders of any debt securities of any series outstanding on the date of such supplemental indenture.</w:t>
      </w:r>
    </w:p>
    <w:p>
      <w:pPr>
        <w:spacing w:after="0" w:line="67"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indenture also permits us and the trustee to enter into supplemental indentures, without the consent of the holders of any debt securities, to implement certain changes to the indenture if the TIA as in effect at the date of the execution and delivery of the indenture or at any time thereafter becomes amended.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An event of default with respect to debt securities of any series is defined in the indenture as being any one of the following events, unless such event is either inapplicable to a particular series or it is specifically deleted or modified with respect to such series of debt securities:</w:t>
      </w:r>
    </w:p>
    <w:p>
      <w:pPr>
        <w:spacing w:after="0" w:line="67" w:lineRule="exact"/>
        <w:rPr>
          <w:sz w:val="20"/>
          <w:szCs w:val="20"/>
          <w:color w:val="auto"/>
        </w:rPr>
      </w:pPr>
    </w:p>
    <w:p>
      <w:pPr>
        <w:ind w:left="1080" w:right="40" w:hanging="532"/>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default in the payment of interest on any debt security of that series when it becomes due and payable, and continuance of such default for a period of 30 days;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valid extension of the interest payment period by us as permitted under the terms of any debt security of that series shall not constitute a failure to pay interest for this purpose;</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debt security of that series when due (and, in the case of technical or administrative difficulties, only if such default persists for a period of more than three business days);</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when and as due by the terms of a debt security of that series and continuance of such default for a period of 30 days;</w:t>
      </w:r>
    </w:p>
    <w:p>
      <w:pPr>
        <w:spacing w:after="0" w:line="67"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of our covenants or warranties in the indenture (other than covenants or warranties referred to in clauses (i), (ii) and (iii) above and covenants solely for the benefit of one or more series of debt securities other than that series) and continuance of such default or breach for a period of 90 days after we have been given written notice of default from the trustee or we and the trustee have been given written notice of default from the holders of at least 25% in aggregate principal amount of the outstanding debt securities of such series;</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reorganization, administration or similar proceedings with respect to us have occurred;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pursuant to the indenture.</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an event of default under the indenture with respect to any series of outstanding debt securities occurs and is continuing, then the trustee or the holders of not less than 25% in aggregate principal amount of the outstanding debt securities of such series may by written notice declare the principal amount of the debt securities of such series (or, if the debt securities of such series are original issue discount securities or indexed securities, such portion of the principal amount of such debt securities as may be specified in the terms thereof) to be due and payable immediately and upon such declaration such principal amount (or specified amount), together with all accrued and unpaid interest thereon, shall become immediately due and payable. If an event of default under the indenture specified in clause (v) above occurs, then the principal amount of all the debt securities of each series then outstanding (or if any such debt securities are original issue discount securities or indexed securities, such portion of the principal amount of such debt securities as may be specified in the terms thereof) will automatically become immediately due and payable, together with all accrued and unpaid interest thereon, without any declaration or other act on the part of the trustee or any holders of the debt securities.</w:t>
      </w:r>
    </w:p>
    <w:p>
      <w:pPr>
        <w:spacing w:after="0" w:line="188"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At any time after a declaration of acceleration with respect to debt securities of any series has been made and before a judgment or decree for payment of the money due has been obtained by the trustee, the event or events of default giving rise to such declaration of acceleration shall, without further act, be deemed to have been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waived, and such declaration and its consequence shall, without further act, be deemed to have been rescinded and annulled if (i) all events of default with respect to debt securities of that series, other than nonpayment of the principal of and accrued and unpaid interest on the debt securities of such series that have become due solely by such declaration of acceleration, have been cured or waived as provided in the indenture, and (ii) we have paid or deposited irrevocably with the trustee a sum sufficient to pay (A) all overdue interest of all debt securities of such series, (B) the principal of (and premium, if any, on) any debt securities of such series that have become due otherwise than by such declaration of acceleration and interest thereon at the rate or rates prescribed therefor in such debt securities, (C) to the extent lawful, interest upon overdue interest at the rates borne by the debt securities of such series, unless another rate is provided in such debt securities and (D) certain amounts due to the trustee. The holders of not less than a majority in aggregate principal amount of the outstanding debt securities of any series also have the right to waive past defaults with respect to such series, except a default in paying principal, premium (if any) or interest on any debt security of that series, and except in respect of a covenant or a provision that cannot be modified or amended without the consent of all holders of the outstanding debt securities of that series affected.</w:t>
      </w:r>
    </w:p>
    <w:p>
      <w:pPr>
        <w:spacing w:after="0" w:line="8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indenture imposes limitations on suits brought by holders of debt securities against us. Except for actions for payment of overdue principal, premium or interest, no holder of any debt security of any series may institute any action against us with respect to the indenture unless:</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written notice to the trustee of a continuing event of default with respect to the debt securities of that series;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aggregate principal amount of the outstanding debt securities of that series have made written request to the trustee to institute the action;</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holders have offered the trustee indemnity against the reasonable expenses and liabilities to be incurred in complying with the request;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instituted the action within 60 days of receipt of the request and offer of indemnity; and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the written request has been given to the trustee during such 60-day period by the holders of a majority in aggregate principal amount of the outstanding debt securities of that series.</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an event of default shall have occurred and be continuing in respect to any series of debt securities, the holders of a majority in aggregate principal amount of the outstanding debt securities of such series shall have the right to direct the time, method and place of conducting any proceeding for any remedy available to the trustee, or exercising any trust or power conferred on the trustee, with respect to the debt securities of such series;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an event of default has occurred and is continuing with respect to more than one series of debt securities of equal ranking,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holders of a majority in aggregate principal amount of the outstanding debt securities of all such series of equal ranking, considered as one class, shall have the right to make such direction, and not the holders of the debt securities of any one of such series of equal ranking;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(1) such direction shall not be in conflict with any rule of law or with the indenture, and (2) the trustee may take any other action deemed proper by the trustee which is not inconsistent with such direction.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 Global Securities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Global Securities</w:t>
      </w:r>
    </w:p>
    <w:p>
      <w:pPr>
        <w:spacing w:after="0" w:line="121" w:lineRule="exact"/>
        <w:rPr>
          <w:sz w:val="20"/>
          <w:szCs w:val="20"/>
          <w:color w:val="auto"/>
        </w:rPr>
      </w:pPr>
    </w:p>
    <w:p>
      <w:pPr>
        <w:jc w:val="both"/>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debt securities of each series will be issued in the form of one or more global debt securities, in definitive, fully registered form without interest coupons, each of which we refer to as a “global security.” Unless otherwise specified in the applicable prospectus supplement, each such global security will be deposited with the trustee as custodian for The Depository Trust Company (DTC) and registered in the name of a nominee of DTC in New York, New York.</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who have accounts with DTC (DTC participants) or persons who hold interests through DTC participants. We expect that under procedures established by DTC:</w:t>
      </w:r>
    </w:p>
    <w:p>
      <w:pPr>
        <w:spacing w:after="0" w:line="67" w:lineRule="exact"/>
        <w:rPr>
          <w:sz w:val="20"/>
          <w:szCs w:val="20"/>
          <w:color w:val="auto"/>
        </w:rPr>
      </w:pPr>
    </w:p>
    <w:p>
      <w:pPr>
        <w:ind w:left="1080" w:right="2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 global security and deposit of the global security with DTC’s custodian, DTC will credit portions of the principal amount of the global security to the accounts of DTC participants; and</w:t>
      </w:r>
    </w:p>
    <w:p>
      <w:pPr>
        <w:spacing w:after="0" w:line="67" w:lineRule="exact"/>
        <w:rPr>
          <w:rFonts w:ascii="Times New Roman" w:cs="Times New Roman" w:eastAsia="Times New Roman" w:hAnsi="Times New Roman"/>
          <w:sz w:val="18"/>
          <w:szCs w:val="18"/>
          <w:color w:val="auto"/>
        </w:rPr>
      </w:pPr>
    </w:p>
    <w:p>
      <w:pPr>
        <w:jc w:val="both"/>
        <w:ind w:left="1080" w:right="20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interests in a global security will be shown on, and transfer of ownership of those interests will be effected only through, records maintained by DTC (with respect to interests of DTC participants) and the records of DTC participants or persons who hold interests through DTC participants (with respect to other owners of beneficial interests in the global security).</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Beneficial interests in a global security may not be exchanged for debt securities in physical, certificated form except in the limited circumstances described below.</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Book-Entry Procedures for the Global Securities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All interests in the global securities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any underwriter is responsible for those operations or procedures.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purpose trust company organized under the laws of the State of New York;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under Section 17A of the Exchange Act.</w:t>
      </w:r>
    </w:p>
    <w:p>
      <w:pPr>
        <w:spacing w:after="0" w:line="225"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So long as DTC or its nominee is the registered owner of a global security, DTC or such nominee, as the case may be, will be considered the sole owner or holder of the debt security represented by that global security for all purposes under the indenture. Except as provided below, owners of beneficial interests in a global security:</w:t>
      </w:r>
    </w:p>
    <w:p>
      <w:pPr>
        <w:spacing w:after="0" w:line="8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a debt security represented by the global security registered in their names;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a physical, certificated debt security;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debt security represented by the global security under the indenture for any purpose, including with respect to the giving of any direction, instruction or approval to the trustee under the indenture.</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a result, each investor who owns a beneficial interest in a global security must rely on the procedures of DTC to exercise any rights of a holder of the debt security under the indenture (and, if the investor is not a participant or an indirect participant in DTC, on the procedures of the DTC participant through which the investor owns its interest).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60"/>
          </w:cols>
          <w:pgMar w:left="320" w:top="455" w:right="5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Payments of principal, premium, if any, and interest with respect to the debt securities represented by a global security will be made on behalf of GM by the trustee or other paying agent to DTC or its nominee as the registered holder of the global security. Neither we nor the trustee will have any responsibility or liability for the payment of amounts to owners of beneficial interests in a global security, for any aspect of the records relating to or payments made on account of those interests by DTC, or for maintaining, supervising or reviewing any records of DTC relating to those interests.</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Payments by participants and indirect participants in DTC to the owners of beneficial interests in a global security will be governed by standing instructions and customary industry practice and will be the responsibility of those participants or indirect participants and DTC.</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security to such persons may be limited. Because DTC can only act on behalf of participants, who in turn act on behalf of others, the ability of a person having a beneficial interest in a global security to pledge its interest to a person or entity that does not participate in the DTC system, or otherwise take actions in respect of its interest, may be affected by the lack of a physical security.</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 global security may be exchanged for debt securities in physical, certificated form (which would be registered in such names as DTC shall direct) only if:</w:t>
      </w:r>
    </w:p>
    <w:p>
      <w:pPr>
        <w:spacing w:after="0" w:line="67" w:lineRule="exact"/>
        <w:rPr>
          <w:sz w:val="20"/>
          <w:szCs w:val="20"/>
          <w:color w:val="auto"/>
        </w:rPr>
      </w:pPr>
    </w:p>
    <w:p>
      <w:pPr>
        <w:ind w:left="1080" w:right="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at any time that it is unwilling or unable to continue as depositary for the global security and a successor depositary is not appointed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ceases to be registered as a clearing agency under the Exchange Act and a successor depositary is not appointed within 90 days;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at our option, notify the trustee that we elect to cause the issuance of certificated debt securities;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of default with respect to the debt securities under the indenture should occur and be continuing.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Individual Liability of Incorporators, Stockholders, Officers or Directors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no past, present or future director, officer, stockholder or employee of us, any of our affiliates, or any successor corporation shall have any liability for any obligation, covenant or agreement of us or any guarantor under the indenture or any supplemental indenture or in the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laws of the State of New York.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Bank of New York Mellon is the trustee under the indenture.</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if the trustee has or acquires any conflicting interest within the meaning of the TIA with respect to the debt securities of any series, it must either eliminate such conflicting interest or resign to the extent, in the manner and with the effect, and subject to the conditions, provided in the TIA and the indenture.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to create and provide for the issuance of one or more series of preferred stock, par value $0.01 per share, without the approval of our stockholders. Our Board of Directors is authorized to establish from time to time the number of shares to be included in each such series, and to fix the designations, powers, preferences and rights of the shares of each such series and the qualifications, limitations and restrictions thereof. Our Certificate of Incorporation currently authorizes our Board of Directors to issue 2,000,000,000 shares of preferred stock. As of January 16, 2025, there were no shares of preferred stock outstanding. The terms of any shares of preferred stock offered pursuant to this prospectus will be set forth in an applicable prospectus supplement.</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only class of common stock is our common stock, par value $0.01 per share. Our Certificate of Incorporation currently authorizes our Board of Directors to issue 5,000,000,000 shares of common stock. As of January 16, 2025, 995,001,891 shares of our common stock were issued and outstanding. There are no redemption or sinking fund provisions applicable to our common stock. All outstanding shares of our common stock are fully paid and non-assessable.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DGCL and our Certificate of Incorporation do not require our Board of Directors to declare dividends on our common stock. The declaration of any dividend on our common stock is a matter to be acted upon by our Board of Directors in its sole discretion. Our payment of dividends on our common stock in the future will be determined by our Board of Directors in its sole discretion and will depend on business conditions, our financial condition, earnings and liquidity, and other factors.</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on our common stock by us under the DGCL. In particular, under the DGCL, we can only pay dividends to the extent that we have surplus—the extent by which the fair market value of our net assets exceeds the amount of our capital—or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 As of January 16, 2025, there were no shares of preferred stock outstanding.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except as may otherwise be provided in a certificate of designations relating to any outstanding series of preferred stock or by applicable law, the holders of shares of common stock shall be entitled to one vote for each such share upon each matter presented to the stockholders and the common stock shall have the exclusive right to vote for the election of directors and for all other purposes. Holders of our common stock do not possess cumulative voting rights.</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Under our Bylaws, in uncontested elections of directors, those nominees receiving the affirmative vote of a majority of the votes cast with respect to that director’s election at a meeting at which a quorum is present shall be elected. A majority of votes cast means that the number of votes for a nominee must exceed 50% of the votes cast with respect to the election of that nominee (excluding any abstentions). In certain contested elections, the nominees who receive a plurality of votes cast with respect to the election of directors at a meeting at which a quorum is present shall be elected. Under our Bylaws, any other corporate action put to a stockholder vote shall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be decided by the vote of the holders of a majority of the voting power of the shares entitled to vote thereon present in person or by proxy at the meeting, unless otherwise provided by law, rule or regulation, including any stock exchange rule or regulation, applicable to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the holders of our common stock would be entitled to receive, after payment or provision for payment of all of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Computershare Trust Company, N.A. is the transfer agent and registrar for our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“GM.”</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terms of any warrants to purchase securities to be offered pursuant to this prospectus and a description of the material provisions of any applicable warrant agreement relating to such warrants will be set forth in an applicable prospectus supplement.</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be offered through agents, through underwriters or dealers, directly to one or more purchasers or through a combination of any of these methods of sale. The specific plan of distribution, including any underwriters, dealers, agents or direct purchasers and their compensation will be identified in a prospectus supplement.</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accompanying prospectus supplement, the validity of the securities offered hereby will be passed upon for us by King &amp; Spalding LLP.</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General Motors Company and subsidiaries appearing in General Motors Company’s Annual Report (Form 10-K) for the year ended December 31, 2024, and the effectiveness of General Motors Company and subsidiaries’ internal control over financial reporting as of December 31, 2024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Our SEC filings are available to the public through the Internet at the SEC’s website at https://www.sec.gov.</w:t>
      </w:r>
    </w:p>
    <w:p>
      <w:pPr>
        <w:spacing w:after="0" w:line="162"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We also make available free of charge on our website at https://www.gm.com all of the documents that we file with the SEC. Information contained on, or that can be accessed through, our website is not incorporated by reference into this prospectus, and you should not consider such information as part of this prospectus.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and does not contain all of the information in the registration statement. The full registration statement, including exhibits to the registration statement, provides additional information about us and may be obtained from the SEC or us, as provided above.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60"/>
          </w:cols>
          <w:pgMar w:left="320" w:top="455" w:right="5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$2,000,000,000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255905</wp:posOffset>
            </wp:positionV>
            <wp:extent cx="3137535" cy="402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313753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5"/>
          <w:szCs w:val="25"/>
          <w:b w:val="1"/>
          <w:bCs w:val="1"/>
          <w:color w:val="auto"/>
        </w:rPr>
        <w:t>$750,000,000 5.350% Senior Notes due 2028</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5"/>
          <w:szCs w:val="25"/>
          <w:b w:val="1"/>
          <w:bCs w:val="1"/>
          <w:color w:val="auto"/>
        </w:rPr>
        <w:t>$750,000,000 5.625% Senior Notes due 2030</w:t>
      </w:r>
    </w:p>
    <w:p>
      <w:pPr>
        <w:spacing w:after="0" w:line="1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5"/>
          <w:szCs w:val="25"/>
          <w:b w:val="1"/>
          <w:bCs w:val="1"/>
          <w:color w:val="auto"/>
        </w:rPr>
        <w:t>$500,000,000 6.250% Senior Notes due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1022985</wp:posOffset>
            </wp:positionV>
            <wp:extent cx="1474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2320" w:type="dxa"/>
            <w:vAlign w:val="bottom"/>
          </w:tcPr>
          <w:p>
            <w:pPr>
              <w:spacing w:after="0"/>
              <w:rPr>
                <w:sz w:val="20"/>
                <w:szCs w:val="20"/>
                <w:color w:val="auto"/>
              </w:rPr>
            </w:pPr>
          </w:p>
        </w:tc>
        <w:tc>
          <w:tcPr>
            <w:tcW w:w="4680" w:type="dxa"/>
            <w:vAlign w:val="bottom"/>
            <w:gridSpan w:val="2"/>
          </w:tcPr>
          <w:p>
            <w:pPr>
              <w:jc w:val="center"/>
              <w:ind w:left="1604"/>
              <w:spacing w:after="0"/>
              <w:rPr>
                <w:sz w:val="20"/>
                <w:szCs w:val="20"/>
                <w:color w:val="auto"/>
              </w:rPr>
            </w:pPr>
            <w:r>
              <w:rPr>
                <w:rFonts w:ascii="Times New Roman" w:cs="Times New Roman" w:eastAsia="Times New Roman" w:hAnsi="Times New Roman"/>
                <w:sz w:val="18"/>
                <w:szCs w:val="18"/>
                <w:i w:val="1"/>
                <w:iCs w:val="1"/>
                <w:color w:val="auto"/>
                <w:w w:val="99"/>
              </w:rPr>
              <w:t>Joint Book-Running Managers</w:t>
            </w:r>
          </w:p>
        </w:tc>
        <w:tc>
          <w:tcPr>
            <w:tcW w:w="126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478"/>
        </w:trPr>
        <w:tc>
          <w:tcPr>
            <w:tcW w:w="2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Citigroup</w:t>
            </w:r>
          </w:p>
        </w:tc>
        <w:tc>
          <w:tcPr>
            <w:tcW w:w="4680" w:type="dxa"/>
            <w:vAlign w:val="bottom"/>
            <w:gridSpan w:val="2"/>
          </w:tcPr>
          <w:p>
            <w:pPr>
              <w:ind w:left="2140"/>
              <w:spacing w:after="0"/>
              <w:rPr>
                <w:sz w:val="20"/>
                <w:szCs w:val="20"/>
                <w:color w:val="auto"/>
              </w:rPr>
            </w:pPr>
            <w:r>
              <w:rPr>
                <w:rFonts w:ascii="Times New Roman" w:cs="Times New Roman" w:eastAsia="Times New Roman" w:hAnsi="Times New Roman"/>
                <w:sz w:val="20"/>
                <w:szCs w:val="20"/>
                <w:b w:val="1"/>
                <w:bCs w:val="1"/>
                <w:color w:val="auto"/>
              </w:rPr>
              <w:t>Goldman Sachs &amp; Co. LLC</w:t>
            </w:r>
          </w:p>
        </w:tc>
        <w:tc>
          <w:tcPr>
            <w:tcW w:w="1260" w:type="dxa"/>
            <w:vAlign w:val="bottom"/>
          </w:tcPr>
          <w:p>
            <w:pPr>
              <w:spacing w:after="0"/>
              <w:rPr>
                <w:sz w:val="24"/>
                <w:szCs w:val="24"/>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Wells Fargo Securities</w:t>
            </w:r>
          </w:p>
        </w:tc>
      </w:tr>
      <w:tr>
        <w:trPr>
          <w:trHeight w:val="534"/>
        </w:trPr>
        <w:tc>
          <w:tcPr>
            <w:tcW w:w="2320" w:type="dxa"/>
            <w:vAlign w:val="bottom"/>
          </w:tcPr>
          <w:p>
            <w:pPr>
              <w:spacing w:after="0"/>
              <w:rPr>
                <w:sz w:val="24"/>
                <w:szCs w:val="24"/>
                <w:color w:val="auto"/>
              </w:rPr>
            </w:pPr>
          </w:p>
        </w:tc>
        <w:tc>
          <w:tcPr>
            <w:tcW w:w="4680" w:type="dxa"/>
            <w:vAlign w:val="bottom"/>
            <w:gridSpan w:val="2"/>
          </w:tcPr>
          <w:p>
            <w:pPr>
              <w:jc w:val="center"/>
              <w:ind w:left="1604"/>
              <w:spacing w:after="0"/>
              <w:rPr>
                <w:sz w:val="20"/>
                <w:szCs w:val="20"/>
                <w:color w:val="auto"/>
              </w:rPr>
            </w:pPr>
            <w:r>
              <w:rPr>
                <w:rFonts w:ascii="Times New Roman" w:cs="Times New Roman" w:eastAsia="Times New Roman" w:hAnsi="Times New Roman"/>
                <w:sz w:val="18"/>
                <w:szCs w:val="18"/>
                <w:i w:val="1"/>
                <w:iCs w:val="1"/>
                <w:color w:val="auto"/>
                <w:w w:val="99"/>
              </w:rPr>
              <w:t>Joint Lead Managers</w:t>
            </w:r>
          </w:p>
        </w:tc>
        <w:tc>
          <w:tcPr>
            <w:tcW w:w="126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478"/>
        </w:trPr>
        <w:tc>
          <w:tcPr>
            <w:tcW w:w="23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3"/>
              </w:rPr>
              <w:t>BBVA</w:t>
            </w:r>
          </w:p>
        </w:tc>
        <w:tc>
          <w:tcPr>
            <w:tcW w:w="4680" w:type="dxa"/>
            <w:vAlign w:val="bottom"/>
            <w:gridSpan w:val="2"/>
          </w:tcPr>
          <w:p>
            <w:pPr>
              <w:jc w:val="center"/>
              <w:ind w:left="1604"/>
              <w:spacing w:after="0"/>
              <w:rPr>
                <w:sz w:val="20"/>
                <w:szCs w:val="20"/>
                <w:color w:val="auto"/>
              </w:rPr>
            </w:pPr>
            <w:r>
              <w:rPr>
                <w:rFonts w:ascii="Times New Roman" w:cs="Times New Roman" w:eastAsia="Times New Roman" w:hAnsi="Times New Roman"/>
                <w:sz w:val="20"/>
                <w:szCs w:val="20"/>
                <w:b w:val="1"/>
                <w:bCs w:val="1"/>
                <w:color w:val="auto"/>
                <w:w w:val="97"/>
              </w:rPr>
              <w:t>BNP PARIBAS</w:t>
            </w:r>
          </w:p>
        </w:tc>
        <w:tc>
          <w:tcPr>
            <w:tcW w:w="1260" w:type="dxa"/>
            <w:vAlign w:val="bottom"/>
          </w:tcPr>
          <w:p>
            <w:pPr>
              <w:spacing w:after="0"/>
              <w:rPr>
                <w:sz w:val="24"/>
                <w:szCs w:val="24"/>
                <w:color w:val="auto"/>
              </w:rPr>
            </w:pPr>
          </w:p>
        </w:tc>
        <w:tc>
          <w:tcPr>
            <w:tcW w:w="2760" w:type="dxa"/>
            <w:vAlign w:val="bottom"/>
          </w:tcPr>
          <w:p>
            <w:pPr>
              <w:jc w:val="center"/>
              <w:ind w:left="221"/>
              <w:spacing w:after="0"/>
              <w:rPr>
                <w:sz w:val="20"/>
                <w:szCs w:val="20"/>
                <w:color w:val="auto"/>
              </w:rPr>
            </w:pPr>
            <w:r>
              <w:rPr>
                <w:rFonts w:ascii="Times New Roman" w:cs="Times New Roman" w:eastAsia="Times New Roman" w:hAnsi="Times New Roman"/>
                <w:sz w:val="20"/>
                <w:szCs w:val="20"/>
                <w:b w:val="1"/>
                <w:bCs w:val="1"/>
                <w:color w:val="auto"/>
                <w:w w:val="99"/>
              </w:rPr>
              <w:t>BofA Securities</w:t>
            </w:r>
          </w:p>
        </w:tc>
      </w:tr>
      <w:tr>
        <w:trPr>
          <w:trHeight w:val="297"/>
        </w:trPr>
        <w:tc>
          <w:tcPr>
            <w:tcW w:w="2320" w:type="dxa"/>
            <w:vAlign w:val="bottom"/>
          </w:tcPr>
          <w:p>
            <w:pPr>
              <w:jc w:val="center"/>
              <w:ind w:left="1"/>
              <w:spacing w:after="0"/>
              <w:rPr>
                <w:sz w:val="20"/>
                <w:szCs w:val="20"/>
                <w:color w:val="auto"/>
              </w:rPr>
            </w:pPr>
            <w:r>
              <w:rPr>
                <w:rFonts w:ascii="Times New Roman" w:cs="Times New Roman" w:eastAsia="Times New Roman" w:hAnsi="Times New Roman"/>
                <w:sz w:val="20"/>
                <w:szCs w:val="20"/>
                <w:b w:val="1"/>
                <w:bCs w:val="1"/>
                <w:color w:val="auto"/>
                <w:w w:val="99"/>
              </w:rPr>
              <w:t>CIBC Capital Markets</w:t>
            </w:r>
          </w:p>
        </w:tc>
        <w:tc>
          <w:tcPr>
            <w:tcW w:w="2620" w:type="dxa"/>
            <w:vAlign w:val="bottom"/>
          </w:tcPr>
          <w:p>
            <w:pPr>
              <w:jc w:val="center"/>
              <w:ind w:left="664"/>
              <w:spacing w:after="0"/>
              <w:rPr>
                <w:sz w:val="20"/>
                <w:szCs w:val="20"/>
                <w:color w:val="auto"/>
              </w:rPr>
            </w:pPr>
            <w:r>
              <w:rPr>
                <w:rFonts w:ascii="Times New Roman" w:cs="Times New Roman" w:eastAsia="Times New Roman" w:hAnsi="Times New Roman"/>
                <w:sz w:val="20"/>
                <w:szCs w:val="20"/>
                <w:b w:val="1"/>
                <w:bCs w:val="1"/>
                <w:color w:val="auto"/>
                <w:w w:val="98"/>
              </w:rPr>
              <w:t>Credit Agricole CIB</w:t>
            </w:r>
          </w:p>
        </w:tc>
        <w:tc>
          <w:tcPr>
            <w:tcW w:w="3320" w:type="dxa"/>
            <w:vAlign w:val="bottom"/>
            <w:gridSpan w:val="2"/>
          </w:tcPr>
          <w:p>
            <w:pPr>
              <w:jc w:val="center"/>
              <w:ind w:left="804"/>
              <w:spacing w:after="0"/>
              <w:rPr>
                <w:sz w:val="20"/>
                <w:szCs w:val="20"/>
                <w:color w:val="auto"/>
              </w:rPr>
            </w:pPr>
            <w:r>
              <w:rPr>
                <w:rFonts w:ascii="Times New Roman" w:cs="Times New Roman" w:eastAsia="Times New Roman" w:hAnsi="Times New Roman"/>
                <w:sz w:val="20"/>
                <w:szCs w:val="20"/>
                <w:b w:val="1"/>
                <w:bCs w:val="1"/>
                <w:color w:val="auto"/>
                <w:w w:val="98"/>
              </w:rPr>
              <w:t>Deutsche Bank Securities</w:t>
            </w:r>
          </w:p>
        </w:tc>
        <w:tc>
          <w:tcPr>
            <w:tcW w:w="2760" w:type="dxa"/>
            <w:vAlign w:val="bottom"/>
          </w:tcPr>
          <w:p>
            <w:pPr>
              <w:jc w:val="center"/>
              <w:ind w:left="221"/>
              <w:spacing w:after="0"/>
              <w:rPr>
                <w:sz w:val="20"/>
                <w:szCs w:val="20"/>
                <w:color w:val="auto"/>
              </w:rPr>
            </w:pPr>
            <w:r>
              <w:rPr>
                <w:rFonts w:ascii="Times New Roman" w:cs="Times New Roman" w:eastAsia="Times New Roman" w:hAnsi="Times New Roman"/>
                <w:sz w:val="20"/>
                <w:szCs w:val="20"/>
                <w:b w:val="1"/>
                <w:bCs w:val="1"/>
                <w:color w:val="auto"/>
                <w:w w:val="99"/>
              </w:rPr>
              <w:t>ICBC Standard Bank</w:t>
            </w:r>
          </w:p>
        </w:tc>
      </w:tr>
      <w:tr>
        <w:trPr>
          <w:trHeight w:val="297"/>
        </w:trPr>
        <w:tc>
          <w:tcPr>
            <w:tcW w:w="2320" w:type="dxa"/>
            <w:vAlign w:val="bottom"/>
          </w:tcPr>
          <w:p>
            <w:pPr>
              <w:jc w:val="center"/>
              <w:ind w:left="1"/>
              <w:spacing w:after="0"/>
              <w:rPr>
                <w:sz w:val="20"/>
                <w:szCs w:val="20"/>
                <w:color w:val="auto"/>
              </w:rPr>
            </w:pPr>
            <w:r>
              <w:rPr>
                <w:rFonts w:ascii="Times New Roman" w:cs="Times New Roman" w:eastAsia="Times New Roman" w:hAnsi="Times New Roman"/>
                <w:sz w:val="20"/>
                <w:szCs w:val="20"/>
                <w:b w:val="1"/>
                <w:bCs w:val="1"/>
                <w:color w:val="auto"/>
                <w:w w:val="99"/>
              </w:rPr>
              <w:t>IMI - Intesa Sanpaolo</w:t>
            </w:r>
          </w:p>
        </w:tc>
        <w:tc>
          <w:tcPr>
            <w:tcW w:w="2620" w:type="dxa"/>
            <w:vAlign w:val="bottom"/>
          </w:tcPr>
          <w:p>
            <w:pPr>
              <w:jc w:val="center"/>
              <w:ind w:left="644"/>
              <w:spacing w:after="0"/>
              <w:rPr>
                <w:sz w:val="20"/>
                <w:szCs w:val="20"/>
                <w:color w:val="auto"/>
              </w:rPr>
            </w:pPr>
            <w:r>
              <w:rPr>
                <w:rFonts w:ascii="Times New Roman" w:cs="Times New Roman" w:eastAsia="Times New Roman" w:hAnsi="Times New Roman"/>
                <w:sz w:val="20"/>
                <w:szCs w:val="20"/>
                <w:b w:val="1"/>
                <w:bCs w:val="1"/>
                <w:color w:val="auto"/>
                <w:w w:val="98"/>
              </w:rPr>
              <w:t>Lloyds Securities</w:t>
            </w:r>
          </w:p>
        </w:tc>
        <w:tc>
          <w:tcPr>
            <w:tcW w:w="3320" w:type="dxa"/>
            <w:vAlign w:val="bottom"/>
            <w:gridSpan w:val="2"/>
          </w:tcPr>
          <w:p>
            <w:pPr>
              <w:jc w:val="center"/>
              <w:ind w:left="824"/>
              <w:spacing w:after="0"/>
              <w:rPr>
                <w:sz w:val="20"/>
                <w:szCs w:val="20"/>
                <w:color w:val="auto"/>
              </w:rPr>
            </w:pPr>
            <w:r>
              <w:rPr>
                <w:rFonts w:ascii="Times New Roman" w:cs="Times New Roman" w:eastAsia="Times New Roman" w:hAnsi="Times New Roman"/>
                <w:sz w:val="20"/>
                <w:szCs w:val="20"/>
                <w:b w:val="1"/>
                <w:bCs w:val="1"/>
                <w:color w:val="auto"/>
                <w:w w:val="97"/>
              </w:rPr>
              <w:t>Mizuho</w:t>
            </w:r>
          </w:p>
        </w:tc>
        <w:tc>
          <w:tcPr>
            <w:tcW w:w="2760" w:type="dxa"/>
            <w:vAlign w:val="bottom"/>
          </w:tcPr>
          <w:p>
            <w:pPr>
              <w:jc w:val="center"/>
              <w:ind w:left="241"/>
              <w:spacing w:after="0"/>
              <w:rPr>
                <w:sz w:val="20"/>
                <w:szCs w:val="20"/>
                <w:color w:val="auto"/>
              </w:rPr>
            </w:pPr>
            <w:r>
              <w:rPr>
                <w:rFonts w:ascii="Times New Roman" w:cs="Times New Roman" w:eastAsia="Times New Roman" w:hAnsi="Times New Roman"/>
                <w:sz w:val="20"/>
                <w:szCs w:val="20"/>
                <w:b w:val="1"/>
                <w:bCs w:val="1"/>
                <w:color w:val="auto"/>
                <w:w w:val="99"/>
              </w:rPr>
              <w:t>RBC Capital Markets</w:t>
            </w:r>
          </w:p>
        </w:tc>
      </w:tr>
      <w:tr>
        <w:trPr>
          <w:trHeight w:val="297"/>
        </w:trPr>
        <w:tc>
          <w:tcPr>
            <w:tcW w:w="2320" w:type="dxa"/>
            <w:vAlign w:val="bottom"/>
          </w:tcPr>
          <w:p>
            <w:pPr>
              <w:spacing w:after="0"/>
              <w:rPr>
                <w:sz w:val="24"/>
                <w:szCs w:val="24"/>
                <w:color w:val="auto"/>
              </w:rPr>
            </w:pPr>
          </w:p>
        </w:tc>
        <w:tc>
          <w:tcPr>
            <w:tcW w:w="2620" w:type="dxa"/>
            <w:vAlign w:val="bottom"/>
          </w:tcPr>
          <w:p>
            <w:pPr>
              <w:jc w:val="center"/>
              <w:ind w:right="1364"/>
              <w:spacing w:after="0"/>
              <w:rPr>
                <w:sz w:val="20"/>
                <w:szCs w:val="20"/>
                <w:color w:val="auto"/>
              </w:rPr>
            </w:pPr>
            <w:r>
              <w:rPr>
                <w:rFonts w:ascii="Times New Roman" w:cs="Times New Roman" w:eastAsia="Times New Roman" w:hAnsi="Times New Roman"/>
                <w:sz w:val="20"/>
                <w:szCs w:val="20"/>
                <w:b w:val="1"/>
                <w:bCs w:val="1"/>
                <w:color w:val="auto"/>
                <w:w w:val="98"/>
              </w:rPr>
              <w:t>Santander</w:t>
            </w:r>
          </w:p>
        </w:tc>
        <w:tc>
          <w:tcPr>
            <w:tcW w:w="2060" w:type="dxa"/>
            <w:vAlign w:val="bottom"/>
          </w:tcPr>
          <w:p>
            <w:pPr>
              <w:spacing w:after="0"/>
              <w:rPr>
                <w:sz w:val="24"/>
                <w:szCs w:val="24"/>
                <w:color w:val="auto"/>
              </w:rPr>
            </w:pPr>
          </w:p>
        </w:tc>
        <w:tc>
          <w:tcPr>
            <w:tcW w:w="4020" w:type="dxa"/>
            <w:vAlign w:val="bottom"/>
            <w:gridSpan w:val="2"/>
          </w:tcPr>
          <w:p>
            <w:pPr>
              <w:jc w:val="right"/>
              <w:ind w:right="1741"/>
              <w:spacing w:after="0"/>
              <w:rPr>
                <w:sz w:val="20"/>
                <w:szCs w:val="20"/>
                <w:color w:val="auto"/>
              </w:rPr>
            </w:pPr>
            <w:r>
              <w:rPr>
                <w:rFonts w:ascii="Times New Roman" w:cs="Times New Roman" w:eastAsia="Times New Roman" w:hAnsi="Times New Roman"/>
                <w:sz w:val="20"/>
                <w:szCs w:val="20"/>
                <w:b w:val="1"/>
                <w:bCs w:val="1"/>
                <w:color w:val="auto"/>
              </w:rPr>
              <w:t>SOCIETE GENERALE</w:t>
            </w:r>
          </w:p>
        </w:tc>
      </w:tr>
      <w:tr>
        <w:trPr>
          <w:trHeight w:val="534"/>
        </w:trPr>
        <w:tc>
          <w:tcPr>
            <w:tcW w:w="23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60" w:type="dxa"/>
            <w:vAlign w:val="bottom"/>
          </w:tcPr>
          <w:p>
            <w:pPr>
              <w:jc w:val="center"/>
              <w:ind w:right="844"/>
              <w:spacing w:after="0"/>
              <w:rPr>
                <w:sz w:val="20"/>
                <w:szCs w:val="20"/>
                <w:color w:val="auto"/>
              </w:rPr>
            </w:pPr>
            <w:r>
              <w:rPr>
                <w:rFonts w:ascii="Times New Roman" w:cs="Times New Roman" w:eastAsia="Times New Roman" w:hAnsi="Times New Roman"/>
                <w:sz w:val="18"/>
                <w:szCs w:val="18"/>
                <w:i w:val="1"/>
                <w:iCs w:val="1"/>
                <w:color w:val="auto"/>
                <w:w w:val="99"/>
              </w:rPr>
              <w:t>Co-Managers</w:t>
            </w:r>
          </w:p>
        </w:tc>
        <w:tc>
          <w:tcPr>
            <w:tcW w:w="126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478"/>
        </w:trPr>
        <w:tc>
          <w:tcPr>
            <w:tcW w:w="232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Academy Securities</w:t>
            </w:r>
          </w:p>
        </w:tc>
        <w:tc>
          <w:tcPr>
            <w:tcW w:w="2620" w:type="dxa"/>
            <w:vAlign w:val="bottom"/>
          </w:tcPr>
          <w:p>
            <w:pPr>
              <w:spacing w:after="0"/>
              <w:rPr>
                <w:sz w:val="24"/>
                <w:szCs w:val="24"/>
                <w:color w:val="auto"/>
              </w:rPr>
            </w:pPr>
          </w:p>
        </w:tc>
        <w:tc>
          <w:tcPr>
            <w:tcW w:w="2060" w:type="dxa"/>
            <w:vAlign w:val="bottom"/>
          </w:tcPr>
          <w:p>
            <w:pPr>
              <w:jc w:val="center"/>
              <w:ind w:left="84"/>
              <w:spacing w:after="0"/>
              <w:rPr>
                <w:sz w:val="20"/>
                <w:szCs w:val="20"/>
                <w:color w:val="auto"/>
              </w:rPr>
            </w:pPr>
            <w:r>
              <w:rPr>
                <w:rFonts w:ascii="Times New Roman" w:cs="Times New Roman" w:eastAsia="Times New Roman" w:hAnsi="Times New Roman"/>
                <w:sz w:val="20"/>
                <w:szCs w:val="20"/>
                <w:b w:val="1"/>
                <w:bCs w:val="1"/>
                <w:color w:val="auto"/>
                <w:w w:val="97"/>
              </w:rPr>
              <w:t>Bradesco BBI</w:t>
            </w:r>
          </w:p>
        </w:tc>
        <w:tc>
          <w:tcPr>
            <w:tcW w:w="1260" w:type="dxa"/>
            <w:vAlign w:val="bottom"/>
          </w:tcPr>
          <w:p>
            <w:pPr>
              <w:spacing w:after="0"/>
              <w:rPr>
                <w:sz w:val="24"/>
                <w:szCs w:val="24"/>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Cabrera Capital Markets LLC</w:t>
            </w: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COMMERZBANK</w:t>
            </w:r>
          </w:p>
        </w:tc>
        <w:tc>
          <w:tcPr>
            <w:tcW w:w="2620" w:type="dxa"/>
            <w:vAlign w:val="bottom"/>
          </w:tcPr>
          <w:p>
            <w:pPr>
              <w:spacing w:after="0"/>
              <w:rPr>
                <w:sz w:val="24"/>
                <w:szCs w:val="24"/>
                <w:color w:val="auto"/>
              </w:rPr>
            </w:pPr>
          </w:p>
        </w:tc>
        <w:tc>
          <w:tcPr>
            <w:tcW w:w="2060" w:type="dxa"/>
            <w:vAlign w:val="bottom"/>
          </w:tcPr>
          <w:p>
            <w:pPr>
              <w:jc w:val="center"/>
              <w:ind w:left="84"/>
              <w:spacing w:after="0"/>
              <w:rPr>
                <w:sz w:val="20"/>
                <w:szCs w:val="20"/>
                <w:color w:val="auto"/>
              </w:rPr>
            </w:pPr>
            <w:r>
              <w:rPr>
                <w:rFonts w:ascii="Times New Roman" w:cs="Times New Roman" w:eastAsia="Times New Roman" w:hAnsi="Times New Roman"/>
                <w:sz w:val="20"/>
                <w:szCs w:val="20"/>
                <w:b w:val="1"/>
                <w:bCs w:val="1"/>
                <w:color w:val="auto"/>
                <w:w w:val="99"/>
              </w:rPr>
              <w:t>Fifth Third Securities</w:t>
            </w:r>
          </w:p>
        </w:tc>
        <w:tc>
          <w:tcPr>
            <w:tcW w:w="1260" w:type="dxa"/>
            <w:vAlign w:val="bottom"/>
          </w:tcPr>
          <w:p>
            <w:pPr>
              <w:spacing w:after="0"/>
              <w:rPr>
                <w:sz w:val="24"/>
                <w:szCs w:val="24"/>
                <w:color w:val="auto"/>
              </w:rPr>
            </w:pPr>
          </w:p>
        </w:tc>
        <w:tc>
          <w:tcPr>
            <w:tcW w:w="2760" w:type="dxa"/>
            <w:vAlign w:val="bottom"/>
          </w:tcPr>
          <w:p>
            <w:pPr>
              <w:jc w:val="right"/>
              <w:ind w:right="1041"/>
              <w:spacing w:after="0"/>
              <w:rPr>
                <w:sz w:val="20"/>
                <w:szCs w:val="20"/>
                <w:color w:val="auto"/>
              </w:rPr>
            </w:pPr>
            <w:r>
              <w:rPr>
                <w:rFonts w:ascii="Times New Roman" w:cs="Times New Roman" w:eastAsia="Times New Roman" w:hAnsi="Times New Roman"/>
                <w:sz w:val="20"/>
                <w:szCs w:val="20"/>
                <w:b w:val="1"/>
                <w:bCs w:val="1"/>
                <w:color w:val="auto"/>
              </w:rPr>
              <w:t>ING</w:t>
            </w:r>
          </w:p>
        </w:tc>
      </w:tr>
      <w:tr>
        <w:trPr>
          <w:trHeight w:val="297"/>
        </w:trPr>
        <w:tc>
          <w:tcPr>
            <w:tcW w:w="4940" w:type="dxa"/>
            <w:vAlign w:val="bottom"/>
            <w:gridSpan w:val="2"/>
          </w:tcPr>
          <w:p>
            <w:pPr>
              <w:jc w:val="center"/>
              <w:ind w:left="801"/>
              <w:spacing w:after="0"/>
              <w:rPr>
                <w:sz w:val="20"/>
                <w:szCs w:val="20"/>
                <w:color w:val="auto"/>
              </w:rPr>
            </w:pPr>
            <w:r>
              <w:rPr>
                <w:rFonts w:ascii="Times New Roman" w:cs="Times New Roman" w:eastAsia="Times New Roman" w:hAnsi="Times New Roman"/>
                <w:sz w:val="20"/>
                <w:szCs w:val="20"/>
                <w:b w:val="1"/>
                <w:bCs w:val="1"/>
                <w:color w:val="auto"/>
                <w:w w:val="98"/>
              </w:rPr>
              <w:t>Loop Capital Markets</w:t>
            </w:r>
          </w:p>
        </w:tc>
        <w:tc>
          <w:tcPr>
            <w:tcW w:w="2060" w:type="dxa"/>
            <w:vAlign w:val="bottom"/>
          </w:tcPr>
          <w:p>
            <w:pPr>
              <w:spacing w:after="0"/>
              <w:rPr>
                <w:sz w:val="24"/>
                <w:szCs w:val="24"/>
                <w:color w:val="auto"/>
              </w:rPr>
            </w:pPr>
          </w:p>
        </w:tc>
        <w:tc>
          <w:tcPr>
            <w:tcW w:w="4020" w:type="dxa"/>
            <w:vAlign w:val="bottom"/>
            <w:gridSpan w:val="2"/>
          </w:tcPr>
          <w:p>
            <w:pPr>
              <w:jc w:val="right"/>
              <w:ind w:right="1621"/>
              <w:spacing w:after="0"/>
              <w:rPr>
                <w:sz w:val="20"/>
                <w:szCs w:val="20"/>
                <w:color w:val="auto"/>
              </w:rPr>
            </w:pPr>
            <w:r>
              <w:rPr>
                <w:rFonts w:ascii="Times New Roman" w:cs="Times New Roman" w:eastAsia="Times New Roman" w:hAnsi="Times New Roman"/>
                <w:sz w:val="20"/>
                <w:szCs w:val="20"/>
                <w:b w:val="1"/>
                <w:bCs w:val="1"/>
                <w:color w:val="auto"/>
                <w:w w:val="98"/>
              </w:rPr>
              <w:t>UniCredit Capital Markets</w:t>
            </w:r>
          </w:p>
        </w:tc>
      </w:tr>
      <w:tr>
        <w:trPr>
          <w:trHeight w:val="642"/>
        </w:trPr>
        <w:tc>
          <w:tcPr>
            <w:tcW w:w="23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60" w:type="dxa"/>
            <w:vAlign w:val="bottom"/>
          </w:tcPr>
          <w:p>
            <w:pPr>
              <w:jc w:val="center"/>
              <w:ind w:right="824"/>
              <w:spacing w:after="0"/>
              <w:rPr>
                <w:sz w:val="20"/>
                <w:szCs w:val="20"/>
                <w:color w:val="auto"/>
              </w:rPr>
            </w:pPr>
            <w:r>
              <w:rPr>
                <w:rFonts w:ascii="Times New Roman" w:cs="Times New Roman" w:eastAsia="Times New Roman" w:hAnsi="Times New Roman"/>
                <w:sz w:val="18"/>
                <w:szCs w:val="18"/>
                <w:b w:val="1"/>
                <w:bCs w:val="1"/>
                <w:color w:val="auto"/>
              </w:rPr>
              <w:t>May 5, 2025</w:t>
            </w:r>
          </w:p>
        </w:tc>
        <w:tc>
          <w:tcPr>
            <w:tcW w:w="126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540"/>
        </w:trPr>
        <w:tc>
          <w:tcPr>
            <w:tcW w:w="23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81"/>
        </w:trPr>
        <w:tc>
          <w:tcPr>
            <w:tcW w:w="2320" w:type="dxa"/>
            <w:vAlign w:val="bottom"/>
            <w:tcBorders>
              <w:bottom w:val="single" w:sz="8" w:color="auto"/>
            </w:tcBorders>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760" w:type="dxa"/>
            <w:vAlign w:val="bottom"/>
            <w:tcBorders>
              <w:bottom w:val="single" w:sz="8" w:color="auto"/>
            </w:tcBorders>
          </w:tcPr>
          <w:p>
            <w:pPr>
              <w:spacing w:after="0"/>
              <w:rPr>
                <w:sz w:val="7"/>
                <w:szCs w:val="7"/>
                <w:color w:val="auto"/>
              </w:rPr>
            </w:pPr>
          </w:p>
        </w:tc>
      </w:tr>
    </w:tbl>
    <w:p>
      <w:pPr>
        <w:sectPr>
          <w:pgSz w:w="11900" w:h="16838" w:orient="portrait"/>
          <w:cols w:equalWidth="0" w:num="1">
            <w:col w:w="11140"/>
          </w:cols>
          <w:pgMar w:left="320" w:top="455" w:right="4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424(b)(2)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54" w:lineRule="exact"/>
        <w:rPr>
          <w:sz w:val="20"/>
          <w:szCs w:val="20"/>
          <w:color w:val="auto"/>
        </w:rPr>
      </w:pPr>
    </w:p>
    <w:tbl>
      <w:tblPr>
        <w:tblLayout w:type="fixed"/>
        <w:tblInd w:w="70" w:type="dxa"/>
        <w:tblCellMar>
          <w:top w:w="0" w:type="dxa"/>
          <w:left w:w="0" w:type="dxa"/>
          <w:bottom w:w="0" w:type="dxa"/>
          <w:right w:w="0" w:type="dxa"/>
        </w:tblCellMar>
      </w:tblPr>
      <w:tr>
        <w:trPr>
          <w:trHeight w:val="142"/>
        </w:trPr>
        <w:tc>
          <w:tcPr>
            <w:tcW w:w="960" w:type="dxa"/>
            <w:vAlign w:val="bottom"/>
            <w:tcBorders>
              <w:top w:val="single" w:sz="8" w:color="auto"/>
              <w:left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right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146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Filing Fee</w:t>
            </w: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Previously</w:t>
            </w: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4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Paid In</w:t>
            </w: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660" w:type="dxa"/>
            <w:vAlign w:val="bottom"/>
          </w:tcPr>
          <w:p>
            <w:pPr>
              <w:jc w:val="center"/>
              <w:ind w:left="67"/>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4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Carry</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Connection</w:t>
            </w: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11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4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Carry</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Carry</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Forward</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with Unsold</w:t>
            </w: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660" w:type="dxa"/>
            <w:vAlign w:val="bottom"/>
          </w:tcPr>
          <w:p>
            <w:pPr>
              <w:jc w:val="center"/>
              <w:ind w:left="6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Carry</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4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9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Amount of</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Forward</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Forward</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Initial</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Securities to</w:t>
            </w: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w:t>
            </w:r>
          </w:p>
        </w:tc>
        <w:tc>
          <w:tcPr>
            <w:tcW w:w="660" w:type="dxa"/>
            <w:vAlign w:val="bottom"/>
          </w:tcPr>
          <w:p>
            <w:pPr>
              <w:jc w:val="center"/>
              <w:ind w:left="67"/>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jc w:val="right"/>
              <w:ind w:right="264"/>
              <w:spacing w:after="0" w:line="135" w:lineRule="exact"/>
              <w:rPr>
                <w:sz w:val="20"/>
                <w:szCs w:val="20"/>
                <w:color w:val="auto"/>
              </w:rPr>
            </w:pPr>
            <w:r>
              <w:rPr>
                <w:rFonts w:ascii="Times New Roman" w:cs="Times New Roman" w:eastAsia="Times New Roman" w:hAnsi="Times New Roman"/>
                <w:sz w:val="13"/>
                <w:szCs w:val="13"/>
                <w:b w:val="1"/>
                <w:bCs w:val="1"/>
                <w:color w:val="auto"/>
              </w:rPr>
              <w:t>Amount</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Per</w:t>
            </w:r>
          </w:p>
        </w:tc>
        <w:tc>
          <w:tcPr>
            <w:tcW w:w="14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Registration</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Form</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File</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effective</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be Carried</w:t>
            </w:r>
          </w:p>
        </w:tc>
      </w:tr>
      <w:tr>
        <w:trPr>
          <w:trHeight w:val="167"/>
        </w:trPr>
        <w:tc>
          <w:tcPr>
            <w:tcW w:w="960" w:type="dxa"/>
            <w:vAlign w:val="bottom"/>
            <w:tcBorders>
              <w:left w:val="single" w:sz="8" w:color="auto"/>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660" w:type="dxa"/>
            <w:vAlign w:val="bottom"/>
            <w:tcBorders>
              <w:bottom w:val="single" w:sz="8" w:color="auto"/>
            </w:tcBorders>
          </w:tcPr>
          <w:p>
            <w:pPr>
              <w:jc w:val="center"/>
              <w:ind w:left="67"/>
              <w:spacing w:after="0"/>
              <w:rPr>
                <w:sz w:val="20"/>
                <w:szCs w:val="20"/>
                <w:color w:val="auto"/>
              </w:rPr>
            </w:pPr>
            <w:r>
              <w:rPr>
                <w:rFonts w:ascii="Times New Roman" w:cs="Times New Roman" w:eastAsia="Times New Roman" w:hAnsi="Times New Roman"/>
                <w:sz w:val="13"/>
                <w:szCs w:val="13"/>
                <w:b w:val="1"/>
                <w:bCs w:val="1"/>
                <w:color w:val="auto"/>
                <w:w w:val="92"/>
              </w:rPr>
              <w:t>Rule</w:t>
            </w:r>
          </w:p>
        </w:tc>
        <w:tc>
          <w:tcPr>
            <w:tcW w:w="12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Registered</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Offering Price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Fee</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Forward</w:t>
            </w:r>
          </w:p>
        </w:tc>
      </w:tr>
      <w:tr>
        <w:trPr>
          <w:trHeight w:val="218"/>
        </w:trPr>
        <w:tc>
          <w:tcPr>
            <w:tcW w:w="960" w:type="dxa"/>
            <w:vAlign w:val="bottom"/>
            <w:tcBorders>
              <w:left w:val="single" w:sz="8" w:color="auto"/>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3"/>
          </w:tcPr>
          <w:p>
            <w:pPr>
              <w:jc w:val="center"/>
              <w:ind w:right="286"/>
              <w:spacing w:after="0"/>
              <w:rPr>
                <w:sz w:val="20"/>
                <w:szCs w:val="20"/>
                <w:color w:val="auto"/>
              </w:rPr>
            </w:pPr>
            <w:r>
              <w:rPr>
                <w:rFonts w:ascii="Times New Roman" w:cs="Times New Roman" w:eastAsia="Times New Roman" w:hAnsi="Times New Roman"/>
                <w:sz w:val="16"/>
                <w:szCs w:val="16"/>
                <w:b w:val="1"/>
                <w:bCs w:val="1"/>
                <w:color w:val="auto"/>
              </w:rPr>
              <w:t>Newly Registered Securities</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r>
      <w:tr>
        <w:trPr>
          <w:trHeight w:val="202"/>
        </w:trPr>
        <w:tc>
          <w:tcPr>
            <w:tcW w:w="960" w:type="dxa"/>
            <w:vAlign w:val="bottom"/>
            <w:tcBorders>
              <w:left w:val="single" w:sz="8" w:color="auto"/>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5.350%</w:t>
            </w: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r>
      <w:tr>
        <w:trPr>
          <w:trHeight w:val="203"/>
        </w:trPr>
        <w:tc>
          <w:tcPr>
            <w:tcW w:w="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Fees to Be</w:t>
            </w:r>
          </w:p>
        </w:tc>
        <w:tc>
          <w:tcPr>
            <w:tcW w:w="5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Note due</w:t>
            </w: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r>
      <w:tr>
        <w:trPr>
          <w:trHeight w:val="223"/>
        </w:trPr>
        <w:tc>
          <w:tcPr>
            <w:tcW w:w="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7"/>
              </w:rPr>
              <w:t>Paid </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Debt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2028 </w:t>
            </w:r>
          </w:p>
        </w:tc>
        <w:tc>
          <w:tcPr>
            <w:tcW w:w="660" w:type="dxa"/>
            <w:vAlign w:val="bottom"/>
            <w:tcBorders>
              <w:bottom w:val="single" w:sz="8" w:color="auto"/>
            </w:tcBorders>
          </w:tcPr>
          <w:p>
            <w:pPr>
              <w:jc w:val="center"/>
              <w:ind w:left="67"/>
              <w:spacing w:after="0"/>
              <w:rPr>
                <w:sz w:val="20"/>
                <w:szCs w:val="20"/>
                <w:color w:val="auto"/>
              </w:rPr>
            </w:pPr>
            <w:r>
              <w:rPr>
                <w:rFonts w:ascii="Times New Roman" w:cs="Times New Roman" w:eastAsia="Times New Roman" w:hAnsi="Times New Roman"/>
                <w:sz w:val="16"/>
                <w:szCs w:val="16"/>
                <w:color w:val="auto"/>
                <w:w w:val="99"/>
              </w:rPr>
              <w:t>457(r)</w:t>
            </w:r>
          </w:p>
        </w:tc>
        <w:tc>
          <w:tcPr>
            <w:tcW w:w="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$750,000,000 </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99.942%</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$749,565,000.00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.00015310 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$114,758.40 </w:t>
            </w:r>
          </w:p>
        </w:tc>
        <w:tc>
          <w:tcPr>
            <w:tcW w:w="6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r>
      <w:tr>
        <w:trPr>
          <w:trHeight w:val="202"/>
        </w:trPr>
        <w:tc>
          <w:tcPr>
            <w:tcW w:w="960" w:type="dxa"/>
            <w:vAlign w:val="bottom"/>
            <w:tcBorders>
              <w:left w:val="single" w:sz="8" w:color="auto"/>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5.625%</w:t>
            </w: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r>
      <w:tr>
        <w:trPr>
          <w:trHeight w:val="203"/>
        </w:trPr>
        <w:tc>
          <w:tcPr>
            <w:tcW w:w="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Fees to Be</w:t>
            </w:r>
          </w:p>
        </w:tc>
        <w:tc>
          <w:tcPr>
            <w:tcW w:w="5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Note due</w:t>
            </w: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r>
      <w:tr>
        <w:trPr>
          <w:trHeight w:val="223"/>
        </w:trPr>
        <w:tc>
          <w:tcPr>
            <w:tcW w:w="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7"/>
              </w:rPr>
              <w:t>Paid </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Debt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2030 </w:t>
            </w:r>
          </w:p>
        </w:tc>
        <w:tc>
          <w:tcPr>
            <w:tcW w:w="660" w:type="dxa"/>
            <w:vAlign w:val="bottom"/>
            <w:tcBorders>
              <w:bottom w:val="single" w:sz="8" w:color="auto"/>
            </w:tcBorders>
          </w:tcPr>
          <w:p>
            <w:pPr>
              <w:jc w:val="center"/>
              <w:ind w:left="67"/>
              <w:spacing w:after="0"/>
              <w:rPr>
                <w:sz w:val="20"/>
                <w:szCs w:val="20"/>
                <w:color w:val="auto"/>
              </w:rPr>
            </w:pPr>
            <w:r>
              <w:rPr>
                <w:rFonts w:ascii="Times New Roman" w:cs="Times New Roman" w:eastAsia="Times New Roman" w:hAnsi="Times New Roman"/>
                <w:sz w:val="16"/>
                <w:szCs w:val="16"/>
                <w:color w:val="auto"/>
                <w:w w:val="99"/>
              </w:rPr>
              <w:t>457(r)</w:t>
            </w:r>
          </w:p>
        </w:tc>
        <w:tc>
          <w:tcPr>
            <w:tcW w:w="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$750,000,000 </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99.949%</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$749,617,500.00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.00015310 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$114,766.44 </w:t>
            </w:r>
          </w:p>
        </w:tc>
        <w:tc>
          <w:tcPr>
            <w:tcW w:w="6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r>
      <w:tr>
        <w:trPr>
          <w:trHeight w:val="202"/>
        </w:trPr>
        <w:tc>
          <w:tcPr>
            <w:tcW w:w="960" w:type="dxa"/>
            <w:vAlign w:val="bottom"/>
            <w:tcBorders>
              <w:left w:val="single" w:sz="8" w:color="auto"/>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6.250%</w:t>
            </w: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r>
      <w:tr>
        <w:trPr>
          <w:trHeight w:val="203"/>
        </w:trPr>
        <w:tc>
          <w:tcPr>
            <w:tcW w:w="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Fees to Be</w:t>
            </w:r>
          </w:p>
        </w:tc>
        <w:tc>
          <w:tcPr>
            <w:tcW w:w="5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Note due</w:t>
            </w: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r>
      <w:tr>
        <w:trPr>
          <w:trHeight w:val="223"/>
        </w:trPr>
        <w:tc>
          <w:tcPr>
            <w:tcW w:w="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7"/>
              </w:rPr>
              <w:t>Paid </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Debt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2035 </w:t>
            </w:r>
          </w:p>
        </w:tc>
        <w:tc>
          <w:tcPr>
            <w:tcW w:w="660" w:type="dxa"/>
            <w:vAlign w:val="bottom"/>
            <w:tcBorders>
              <w:bottom w:val="single" w:sz="8" w:color="auto"/>
            </w:tcBorders>
          </w:tcPr>
          <w:p>
            <w:pPr>
              <w:jc w:val="center"/>
              <w:ind w:left="67"/>
              <w:spacing w:after="0"/>
              <w:rPr>
                <w:sz w:val="20"/>
                <w:szCs w:val="20"/>
                <w:color w:val="auto"/>
              </w:rPr>
            </w:pPr>
            <w:r>
              <w:rPr>
                <w:rFonts w:ascii="Times New Roman" w:cs="Times New Roman" w:eastAsia="Times New Roman" w:hAnsi="Times New Roman"/>
                <w:sz w:val="16"/>
                <w:szCs w:val="16"/>
                <w:color w:val="auto"/>
                <w:w w:val="99"/>
              </w:rPr>
              <w:t>457(r)</w:t>
            </w:r>
          </w:p>
        </w:tc>
        <w:tc>
          <w:tcPr>
            <w:tcW w:w="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$500,000,000 </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99.735%</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$498,675,000.00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.00015310 </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$76,347.14 </w:t>
            </w:r>
          </w:p>
        </w:tc>
        <w:tc>
          <w:tcPr>
            <w:tcW w:w="6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r>
      <w:tr>
        <w:trPr>
          <w:trHeight w:val="202"/>
        </w:trPr>
        <w:tc>
          <w:tcPr>
            <w:tcW w:w="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Fees</w:t>
            </w:r>
          </w:p>
        </w:tc>
        <w:tc>
          <w:tcPr>
            <w:tcW w:w="5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r>
      <w:tr>
        <w:trPr>
          <w:trHeight w:val="203"/>
        </w:trPr>
        <w:tc>
          <w:tcPr>
            <w:tcW w:w="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Previously</w:t>
            </w:r>
          </w:p>
        </w:tc>
        <w:tc>
          <w:tcPr>
            <w:tcW w:w="5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r>
      <w:tr>
        <w:trPr>
          <w:trHeight w:val="223"/>
        </w:trPr>
        <w:tc>
          <w:tcPr>
            <w:tcW w:w="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7"/>
              </w:rPr>
              <w:t>Paid </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center"/>
              <w:ind w:left="67"/>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6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r>
      <w:tr>
        <w:trPr>
          <w:trHeight w:val="223"/>
        </w:trPr>
        <w:tc>
          <w:tcPr>
            <w:tcW w:w="960" w:type="dxa"/>
            <w:vAlign w:val="bottom"/>
            <w:tcBorders>
              <w:left w:val="single" w:sz="8" w:color="auto"/>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3"/>
          </w:tcPr>
          <w:p>
            <w:pPr>
              <w:jc w:val="center"/>
              <w:ind w:right="286"/>
              <w:spacing w:after="0"/>
              <w:rPr>
                <w:sz w:val="20"/>
                <w:szCs w:val="20"/>
                <w:color w:val="auto"/>
              </w:rPr>
            </w:pPr>
            <w:r>
              <w:rPr>
                <w:rFonts w:ascii="Times New Roman" w:cs="Times New Roman" w:eastAsia="Times New Roman" w:hAnsi="Times New Roman"/>
                <w:sz w:val="16"/>
                <w:szCs w:val="16"/>
                <w:b w:val="1"/>
                <w:bCs w:val="1"/>
                <w:color w:val="auto"/>
              </w:rPr>
              <w:t>Carry Forward Securities</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r>
      <w:tr>
        <w:trPr>
          <w:trHeight w:val="202"/>
        </w:trPr>
        <w:tc>
          <w:tcPr>
            <w:tcW w:w="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Carry</w:t>
            </w:r>
          </w:p>
        </w:tc>
        <w:tc>
          <w:tcPr>
            <w:tcW w:w="5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r>
      <w:tr>
        <w:trPr>
          <w:trHeight w:val="202"/>
        </w:trPr>
        <w:tc>
          <w:tcPr>
            <w:tcW w:w="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Forward</w:t>
            </w:r>
          </w:p>
        </w:tc>
        <w:tc>
          <w:tcPr>
            <w:tcW w:w="5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r>
      <w:tr>
        <w:trPr>
          <w:trHeight w:val="237"/>
        </w:trPr>
        <w:tc>
          <w:tcPr>
            <w:tcW w:w="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Securities </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center"/>
              <w:ind w:left="67"/>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7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 Offering Amounts </w:t>
            </w:r>
          </w:p>
        </w:tc>
        <w:tc>
          <w:tcPr>
            <w:tcW w:w="70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$1,997,857,500.00 </w:t>
            </w:r>
          </w:p>
        </w:tc>
        <w:tc>
          <w:tcPr>
            <w:tcW w:w="9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$305,871.98 </w:t>
            </w:r>
          </w:p>
        </w:tc>
        <w:tc>
          <w:tcPr>
            <w:tcW w:w="6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Total Fees Previously Paid </w:t>
            </w:r>
          </w:p>
        </w:tc>
        <w:tc>
          <w:tcPr>
            <w:tcW w:w="70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6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Total Fee Offsets </w:t>
            </w:r>
          </w:p>
        </w:tc>
        <w:tc>
          <w:tcPr>
            <w:tcW w:w="70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6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r>
      <w:tr>
        <w:trPr>
          <w:trHeight w:val="223"/>
        </w:trPr>
        <w:tc>
          <w:tcPr>
            <w:tcW w:w="96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Net Fee Due </w:t>
            </w:r>
          </w:p>
        </w:tc>
        <w:tc>
          <w:tcPr>
            <w:tcW w:w="70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$305,871.98 </w:t>
            </w:r>
          </w:p>
        </w:tc>
        <w:tc>
          <w:tcPr>
            <w:tcW w:w="6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maximum aggregate offering price of the securities to which the prospectus relates is $1,997,857,500.00. The prospectus is a final prospectus for the related offering.</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1)"/>
      <w:numFmt w:val="decimal"/>
      <w:start w:val="10"/>
    </w:lvl>
  </w:abstractNum>
  <w:abstractNum w:abstractNumId="2">
    <w:nsid w:val="436C6125"/>
    <w:multiLevelType w:val="hybridMultilevel"/>
    <w:lvl w:ilvl="0">
      <w:lvlJc w:val="left"/>
      <w:lvlText w:val="(%1)"/>
      <w:numFmt w:val="decimal"/>
      <w:start w:val="22"/>
    </w:lvl>
  </w:abstractNum>
  <w:abstractNum w:abstractNumId="3">
    <w:nsid w:val="628C895D"/>
    <w:multiLevelType w:val="hybridMultilevel"/>
    <w:lvl w:ilvl="0">
      <w:lvlJc w:val="left"/>
      <w:lvlText w:val="(%1)"/>
      <w:numFmt w:val="decimal"/>
      <w:start w:val="313"/>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lowerRoman"/>
      <w:start w:val="1"/>
    </w:lvl>
  </w:abstractNum>
  <w:abstractNum w:abstractNumId="8">
    <w:nsid w:val="6763845E"/>
    <w:multiLevelType w:val="hybridMultilevel"/>
    <w:lvl w:ilvl="0">
      <w:lvlJc w:val="left"/>
      <w:lvlText w:val="(%1)"/>
      <w:numFmt w:val="lowerRoman"/>
      <w:start w:val="7"/>
    </w:lvl>
  </w:abstractNum>
  <w:abstractNum w:abstractNumId="9">
    <w:nsid w:val="75A2A8D4"/>
    <w:multiLevelType w:val="hybridMultilevel"/>
    <w:lvl w:ilvl="0">
      <w:lvlJc w:val="left"/>
      <w:lvlText w:val="(%1)"/>
      <w:numFmt w:val="lowerRoman"/>
      <w:start w:val="1"/>
    </w:lvl>
  </w:abstractNum>
  <w:abstractNum w:abstractNumId="10">
    <w:nsid w:val="8EDBDAB"/>
    <w:multiLevelType w:val="hybridMultilevel"/>
    <w:lvl w:ilvl="0">
      <w:lvlJc w:val="left"/>
      <w:lvlText w:val="(%1)"/>
      <w:numFmt w:val="lowerLetter"/>
      <w:start w:val="1"/>
    </w:lvl>
  </w:abstractNum>
  <w:abstractNum w:abstractNumId="11">
    <w:nsid w:val="79838CB2"/>
    <w:multiLevelType w:val="hybridMultilevel"/>
    <w:lvl w:ilvl="0">
      <w:lvlJc w:val="left"/>
      <w:lvlText w:val="(%1)"/>
      <w:numFmt w:val="lowerRoman"/>
      <w:start w:val="2"/>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decimal"/>
      <w:start w:val="6"/>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lowerRoman"/>
      <w:start w:val="1"/>
    </w:lvl>
    <w:lvl w:ilvl="1">
      <w:lvlJc w:val="left"/>
      <w:lvlText w:val="•"/>
      <w:numFmt w:val="bullet"/>
      <w:start w:val="1"/>
    </w:lvl>
  </w:abstractNum>
  <w:abstractNum w:abstractNumId="23">
    <w:nsid w:val="7C3DBD3D"/>
    <w:multiLevelType w:val="hybridMultilevel"/>
    <w:lvl w:ilvl="0">
      <w:lvlJc w:val="left"/>
      <w:lvlText w:val="(%1)"/>
      <w:numFmt w:val="lowerRoman"/>
      <w:start w:val="2"/>
    </w:lvl>
  </w:abstractNum>
  <w:abstractNum w:abstractNumId="24">
    <w:nsid w:val="737B8DDC"/>
    <w:multiLevelType w:val="hybridMultilevel"/>
    <w:lvl w:ilvl="0">
      <w:lvlJc w:val="left"/>
      <w:lvlText w:val="(%1)"/>
      <w:numFmt w:val="lowerRoman"/>
      <w:start w:val="1"/>
    </w:lvl>
  </w:abstractNum>
  <w:abstractNum w:abstractNumId="25">
    <w:nsid w:val="6CEAF087"/>
    <w:multiLevelType w:val="hybridMultilevel"/>
    <w:lvl w:ilvl="0">
      <w:lvlJc w:val="left"/>
      <w:lvlText w:val="(%1)"/>
      <w:numFmt w:val="lowerRoman"/>
      <w:start w:val="1"/>
    </w:lvl>
    <w:lvl w:ilvl="1">
      <w:lvlJc w:val="left"/>
      <w:lvlText w:val="•"/>
      <w:numFmt w:val="bullet"/>
      <w:start w:val="1"/>
    </w:lvl>
  </w:abstractNum>
  <w:abstractNum w:abstractNumId="26">
    <w:nsid w:val="22221A70"/>
    <w:multiLevelType w:val="hybridMultilevel"/>
    <w:lvl w:ilvl="0">
      <w:lvlJc w:val="left"/>
      <w:lvlText w:val="(%1)"/>
      <w:numFmt w:val="lowerRoman"/>
      <w:start w:val="1"/>
    </w:lvl>
    <w:lvl w:ilvl="1">
      <w:lvlJc w:val="left"/>
      <w:lvlText w:val="•"/>
      <w:numFmt w:val="bullet"/>
      <w:start w:val="1"/>
    </w:lvl>
  </w:abstractNum>
  <w:abstractNum w:abstractNumId="27">
    <w:nsid w:val="4516DDE9"/>
    <w:multiLevelType w:val="hybridMultilevel"/>
    <w:lvl w:ilvl="0">
      <w:lvlJc w:val="left"/>
      <w:lvlText w:val="(%1)"/>
      <w:numFmt w:val="lowerRoman"/>
      <w:start w:val="1"/>
    </w:lvl>
  </w:abstractNum>
  <w:abstractNum w:abstractNumId="28">
    <w:nsid w:val="3006C83E"/>
    <w:multiLevelType w:val="hybridMultilevel"/>
    <w:lvl w:ilvl="0">
      <w:lvlJc w:val="left"/>
      <w:lvlText w:val="(%1)"/>
      <w:numFmt w:val="lowerRoman"/>
      <w:start w:val="2"/>
    </w:lvl>
  </w:abstractNum>
  <w:abstractNum w:abstractNumId="29">
    <w:nsid w:val="614FD4A1"/>
    <w:multiLevelType w:val="hybridMultilevel"/>
    <w:lvl w:ilvl="0">
      <w:lvlJc w:val="left"/>
      <w:lvlText w:val="(%1)"/>
      <w:numFmt w:val="lowerRoman"/>
      <w:start w:val="1"/>
    </w:lvl>
  </w:abstractNum>
  <w:abstractNum w:abstractNumId="30">
    <w:nsid w:val="419AC241"/>
    <w:multiLevelType w:val="hybridMultilevel"/>
    <w:lvl w:ilvl="0">
      <w:lvlJc w:val="left"/>
      <w:lvlText w:val="(%1)"/>
      <w:numFmt w:val="lowerRoman"/>
      <w:start w:val="1"/>
    </w:lvl>
  </w:abstractNum>
  <w:abstractNum w:abstractNumId="31">
    <w:nsid w:val="5577F8E1"/>
    <w:multiLevelType w:val="hybridMultilevel"/>
    <w:lvl w:ilvl="0">
      <w:lvlJc w:val="left"/>
      <w:lvlText w:val="(%1)"/>
      <w:numFmt w:val="lowerRoman"/>
      <w:start w:val="15"/>
    </w:lvl>
  </w:abstractNum>
  <w:abstractNum w:abstractNumId="32">
    <w:nsid w:val="440BADFC"/>
    <w:multiLevelType w:val="hybridMultilevel"/>
    <w:lvl w:ilvl="0">
      <w:lvlJc w:val="left"/>
      <w:lvlText w:val="(%1)"/>
      <w:numFmt w:val="lowerRoman"/>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3"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jpe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jpeg"/><Relationship Id="rId91" Type="http://schemas.openxmlformats.org/officeDocument/2006/relationships/image" Target="media/image77.png"/><Relationship Id="rId50" Type="http://schemas.openxmlformats.org/officeDocument/2006/relationships/hyperlink" Target="http://www.sec.gov/ix?doc=/Archives/edgar/data/1467858/000146785825000032/gm-20241231.htm" TargetMode="External"/><Relationship Id="rId51" Type="http://schemas.openxmlformats.org/officeDocument/2006/relationships/hyperlink" Target="http://www.sec.gov/ix?doc=/Archives/edgar/data/1467858/000146785825000084/gm-20250422.htm" TargetMode="External"/><Relationship Id="rId52" Type="http://schemas.openxmlformats.org/officeDocument/2006/relationships/hyperlink" Target="http://www.sec.gov/ix?doc=/Archives/edgar/data/1467858/000146785825000096/gm-20250331.htm" TargetMode="External"/><Relationship Id="rId54" Type="http://schemas.openxmlformats.org/officeDocument/2006/relationships/hyperlink" Target="http://www.sec.gov/ix?doc=/Archives/edgar/data/1467858/000146785825000063/gm-20250226.htm" TargetMode="External"/><Relationship Id="rId55" Type="http://schemas.openxmlformats.org/officeDocument/2006/relationships/hyperlink" Target="http://www.sec.gov/ix?doc=/Archives/edgar/data/1467858/000119312525062882/d943807d8k.htm" TargetMode="External"/><Relationship Id="rId63" Type="http://schemas.openxmlformats.org/officeDocument/2006/relationships/hyperlink" Target="http://www.sec.gov/Archives/edgar/data/1467858/000119312524108581/d648661ddef14a.htm" TargetMode="External"/><Relationship Id="rId64" Type="http://schemas.openxmlformats.org/officeDocument/2006/relationships/hyperlink" Target="http://www.sec.gov/Archives/edgar/data/1467858/000146785825000032/ex-41x12312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2025-05-06T16:25:56Z</dcterms:created>
  <dcterms:modified xsi:type="dcterms:W3CDTF">2025-05-06T16:25:56Z</dcterms:modified>
</cp:coreProperties>
</file>