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37465</wp:posOffset>
            </wp:positionV>
            <wp:extent cx="6967220" cy="1758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SCHOEWE THOMAS M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ind w:left="60"/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u w:val="single" w:color="auto"/>
                  <w:color w:val="0000EE"/>
                </w:rPr>
                <w:t>General Motors Co</w:t>
              </w:r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4,436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30.48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4,436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39,583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18.32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40,336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-3399790</wp:posOffset>
            </wp:positionV>
            <wp:extent cx="7033260" cy="3376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376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 w:right="24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Share Units ("DSUs") were awarded pursuant to the General Motors Company Deferred Compensation Plan for Non-Employee Directors (the "Plan"). Under the Plan, each non-employee director is required to defer one-half of the $305,000 annual retainer fee for service on the Board of Directors into DSUs and may elect to defer more.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of the DSUs is the average closing price of the Company's Common Stock during the previous calendar year.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2020 that were credited as additional DSUs at the end of the year pursuant to the terms of the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dividends were converted to DSUs based on the average of the high and low trading price of the Company's Common Stock on the applicable dividend payment date.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4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Fact for Mr. Schoewe</w:t>
            </w: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61375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2021-01-05T16:11:39Z</dcterms:created>
  <dcterms:modified xsi:type="dcterms:W3CDTF">2021-01-05T16:11:39Z</dcterms:modified>
</cp:coreProperties>
</file>