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211</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211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123</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9"/>
              </w:rPr>
              <w:t>88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88</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7"/>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357</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357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208</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149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149</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7"/>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801</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801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468</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333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333</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7"/>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8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211</w:t>
            </w:r>
          </w:p>
        </w:tc>
        <w:tc>
          <w:tcPr>
            <w:tcW w:w="220" w:type="dxa"/>
            <w:vAlign w:val="bottom"/>
          </w:tcPr>
          <w:p>
            <w:pPr>
              <w:spacing w:after="0"/>
              <w:rPr>
                <w:sz w:val="16"/>
                <w:szCs w:val="16"/>
                <w:color w:val="auto"/>
              </w:rPr>
            </w:pPr>
          </w:p>
        </w:tc>
        <w:tc>
          <w:tcPr>
            <w:tcW w:w="460" w:type="dxa"/>
            <w:vAlign w:val="bottom"/>
            <w:vMerge w:val="restart"/>
          </w:tcPr>
          <w:p>
            <w:pPr>
              <w:jc w:val="center"/>
              <w:ind w:right="119"/>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211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restart"/>
          </w:tcPr>
          <w:p>
            <w:pPr>
              <w:jc w:val="center"/>
              <w:ind w:left="167"/>
              <w:spacing w:after="0" w:line="146" w:lineRule="exact"/>
              <w:rPr>
                <w:sz w:val="20"/>
                <w:szCs w:val="20"/>
                <w:color w:val="auto"/>
              </w:rPr>
            </w:pPr>
            <w:r>
              <w:rPr>
                <w:rFonts w:ascii="Arial" w:cs="Arial" w:eastAsia="Arial" w:hAnsi="Arial"/>
                <w:sz w:val="14"/>
                <w:szCs w:val="14"/>
                <w:color w:val="0000FF"/>
                <w:w w:val="85"/>
              </w:rPr>
              <w:t>421</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357</w:t>
            </w:r>
          </w:p>
        </w:tc>
        <w:tc>
          <w:tcPr>
            <w:tcW w:w="220" w:type="dxa"/>
            <w:vAlign w:val="bottom"/>
          </w:tcPr>
          <w:p>
            <w:pPr>
              <w:spacing w:after="0"/>
              <w:rPr>
                <w:sz w:val="16"/>
                <w:szCs w:val="16"/>
                <w:color w:val="auto"/>
              </w:rPr>
            </w:pPr>
          </w:p>
        </w:tc>
        <w:tc>
          <w:tcPr>
            <w:tcW w:w="460" w:type="dxa"/>
            <w:vAlign w:val="bottom"/>
            <w:vMerge w:val="restart"/>
          </w:tcPr>
          <w:p>
            <w:pPr>
              <w:jc w:val="center"/>
              <w:ind w:right="119"/>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357</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restart"/>
          </w:tcPr>
          <w:p>
            <w:pPr>
              <w:jc w:val="center"/>
              <w:ind w:left="167"/>
              <w:spacing w:after="0" w:line="146" w:lineRule="exact"/>
              <w:rPr>
                <w:sz w:val="20"/>
                <w:szCs w:val="20"/>
                <w:color w:val="auto"/>
              </w:rPr>
            </w:pPr>
            <w:r>
              <w:rPr>
                <w:rFonts w:ascii="Arial" w:cs="Arial" w:eastAsia="Arial" w:hAnsi="Arial"/>
                <w:sz w:val="14"/>
                <w:szCs w:val="14"/>
                <w:color w:val="0000FF"/>
                <w:w w:val="85"/>
              </w:rPr>
              <w:t>357</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801</w:t>
            </w:r>
          </w:p>
        </w:tc>
        <w:tc>
          <w:tcPr>
            <w:tcW w:w="220" w:type="dxa"/>
            <w:vAlign w:val="bottom"/>
          </w:tcPr>
          <w:p>
            <w:pPr>
              <w:spacing w:after="0"/>
              <w:rPr>
                <w:sz w:val="16"/>
                <w:szCs w:val="16"/>
                <w:color w:val="auto"/>
              </w:rPr>
            </w:pPr>
          </w:p>
        </w:tc>
        <w:tc>
          <w:tcPr>
            <w:tcW w:w="460" w:type="dxa"/>
            <w:vAlign w:val="bottom"/>
            <w:vMerge w:val="restart"/>
          </w:tcPr>
          <w:p>
            <w:pPr>
              <w:jc w:val="center"/>
              <w:ind w:right="119"/>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801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restart"/>
          </w:tcPr>
          <w:p>
            <w:pPr>
              <w:jc w:val="center"/>
              <w:ind w:left="187"/>
              <w:spacing w:after="0" w:line="146" w:lineRule="exact"/>
              <w:rPr>
                <w:sz w:val="20"/>
                <w:szCs w:val="20"/>
                <w:color w:val="auto"/>
              </w:rPr>
            </w:pPr>
            <w:r>
              <w:rPr>
                <w:rFonts w:ascii="Arial" w:cs="Arial" w:eastAsia="Arial" w:hAnsi="Arial"/>
                <w:sz w:val="14"/>
                <w:szCs w:val="14"/>
                <w:color w:val="0000FF"/>
                <w:w w:val="76"/>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and vested upon grant. The portion of this award currently payable was settled on June 30, 2014.</w:t>
      </w:r>
    </w:p>
    <w:p>
      <w:pPr>
        <w:spacing w:after="0" w:line="30"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$36.44.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07/02/2014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91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2019-12-18T15:38:00Z</dcterms:created>
  <dcterms:modified xsi:type="dcterms:W3CDTF">2019-12-18T15:38:00Z</dcterms:modified>
</cp:coreProperties>
</file>