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February 6, 2018</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GENERAL MOTORS COMPANY</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667-1500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62"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5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On February 6, 2018 General Motors Company (GM) issued a news release and supplemental materials on the subject of its 2017 fourth quarter and full year consolidated earnings. The news release and supplemental materials are attached as Exhibit 99.1 and Exhibit 99.2.</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Charts furnished to securities analysts in connection with GM's 2017 fourth quarter and full year consolidated earnings release are available on GM's website at www.gm.com/investors/earnings-releases.html.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220" w:type="dxa"/>
            <w:vAlign w:val="bottom"/>
            <w:gridSpan w:val="5"/>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3220" w:type="dxa"/>
            <w:vAlign w:val="bottom"/>
            <w:gridSpan w:val="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News Release Dated February 6, 2018</w:t>
              </w:r>
            </w:hyperlink>
          </w:p>
        </w:tc>
      </w:tr>
      <w:tr>
        <w:trPr>
          <w:trHeight w:val="20"/>
        </w:trPr>
        <w:tc>
          <w:tcPr>
            <w:tcW w:w="2860" w:type="dxa"/>
            <w:vAlign w:val="bottom"/>
            <w:gridSpan w:val="2"/>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99.2</w:t>
            </w:r>
          </w:p>
        </w:tc>
        <w:tc>
          <w:tcPr>
            <w:tcW w:w="32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9">
              <w:r>
                <w:rPr>
                  <w:rFonts w:ascii="Arial" w:cs="Arial" w:eastAsia="Arial" w:hAnsi="Arial"/>
                  <w:sz w:val="18"/>
                  <w:szCs w:val="18"/>
                  <w:color w:val="0000FF"/>
                  <w:w w:val="91"/>
                </w:rPr>
                <w:t>Financial Highlights Dated February 6, 2018</w:t>
              </w:r>
            </w:hyperlink>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6140" w:type="dxa"/>
            <w:vAlign w:val="bottom"/>
          </w:tcPr>
          <w:p>
            <w:pPr>
              <w:ind w:left="548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6140" w:type="dxa"/>
            <w:vAlign w:val="bottom"/>
            <w:vMerge w:val="restart"/>
          </w:tcPr>
          <w:p>
            <w:pPr>
              <w:spacing w:after="0"/>
              <w:rPr>
                <w:sz w:val="20"/>
                <w:szCs w:val="20"/>
                <w:color w:val="auto"/>
              </w:rPr>
            </w:pPr>
            <w:r>
              <w:rPr>
                <w:rFonts w:ascii="Arial" w:cs="Arial" w:eastAsia="Arial" w:hAnsi="Arial"/>
                <w:sz w:val="18"/>
                <w:szCs w:val="18"/>
                <w:color w:val="auto"/>
              </w:rPr>
              <w:t>Date: February 6, 2018</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1"/>
              </w:rPr>
              <w:t>Thomas S. Timko, Vice President, Global Business Solutions and Chief</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9537700</wp:posOffset>
            </wp:positionV>
            <wp:extent cx="68560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60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58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6095"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99.2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jc w:val="both"/>
        <w:ind w:firstLine="162"/>
        <w:spacing w:after="0" w:line="249" w:lineRule="auto"/>
        <w:rPr>
          <w:sz w:val="20"/>
          <w:szCs w:val="20"/>
          <w:color w:val="auto"/>
        </w:rPr>
      </w:pPr>
      <w:r>
        <w:rPr>
          <w:rFonts w:ascii="Arial" w:cs="Arial" w:eastAsia="Arial" w:hAnsi="Arial"/>
          <w:sz w:val="16"/>
          <w:szCs w:val="16"/>
          <w:color w:val="auto"/>
        </w:rPr>
        <w:t>Unless otherwise indicated, General Motors Company's (GM) non-GAAP measures are related to our continuing operations and not our discontinued operations or our assets and liabilities held for sale. GM's non-GAAP measures include earnings before interest and taxes (EBIT)-adjusted, presented net of noncontrolling interests,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78"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62"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related to goodwill;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w:t>
      </w:r>
    </w:p>
    <w:p>
      <w:pPr>
        <w:spacing w:after="0" w:line="155" w:lineRule="exact"/>
        <w:rPr>
          <w:sz w:val="20"/>
          <w:szCs w:val="20"/>
          <w:color w:val="auto"/>
        </w:rPr>
      </w:pPr>
    </w:p>
    <w:p>
      <w:pPr>
        <w:jc w:val="both"/>
        <w:ind w:firstLine="162"/>
        <w:spacing w:after="0" w:line="256"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color w:val="auto"/>
        </w:rPr>
        <w:t>EPS-diluted-adjusted is used by management and can be used by investors to review our consolidated diluted EPS results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EPS-diluted-adjusted is calculated as net income attributable to common stockholders-diluted less income (loss) from discontinued operations on an after-tax basis, adjustments noted above for EBIT-adjusted, gains or losses on the extinguishment of debt obligations on an after-tax basis and certain income tax adjustments divided by weighted-average common shares outstanding-diluted. Examples of income tax adjustments include the establishment or reversal of significant deferred tax asset valuation allowances.</w:t>
      </w:r>
    </w:p>
    <w:p>
      <w:pPr>
        <w:spacing w:after="0" w:line="153"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color w:val="auto"/>
        </w:rPr>
        <w:t>ETR-adjusted is used by management and can be used by investors to review the consolidated effective tax rate for our core operations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ETR-adjusted is calculated as Income tax expense less the income tax related to the adjustments noted above for EBIT-adjusted and the income tax adjustments noted above for EPS-diluted-adjusted divided by Income before income taxes less adjustments.</w:t>
      </w:r>
    </w:p>
    <w:p>
      <w:pPr>
        <w:spacing w:after="0" w:line="145" w:lineRule="exact"/>
        <w:rPr>
          <w:sz w:val="20"/>
          <w:szCs w:val="20"/>
          <w:color w:val="auto"/>
        </w:rPr>
      </w:pPr>
    </w:p>
    <w:p>
      <w:pPr>
        <w:jc w:val="both"/>
        <w:ind w:firstLine="162"/>
        <w:spacing w:after="0" w:line="256"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color w:val="auto"/>
        </w:rPr>
        <w:t>ROIC-adjusted is used by management and can be used by investors to review our investment and capital allocation decisions. We define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as EBIT-adjusted for the trailing four quarters divided by ROIC-adjusted average net assets, which is considered to be the average equity balances adjusted for average automotive debt and interest liabilities, exclusive of capital leases; average automotive net pension and other postretirement benefits (OPEB) liabilities; and average automotive net income tax assets during the same period. Adjustments to the average equity balances exclude assets and liabilities classified as either assets held for sale or liabilities held for sale.</w:t>
      </w:r>
    </w:p>
    <w:p>
      <w:pPr>
        <w:spacing w:after="0" w:line="153" w:lineRule="exact"/>
        <w:rPr>
          <w:sz w:val="20"/>
          <w:szCs w:val="20"/>
          <w:color w:val="auto"/>
        </w:rPr>
      </w:pPr>
    </w:p>
    <w:p>
      <w:pPr>
        <w:jc w:val="both"/>
        <w:ind w:firstLine="162"/>
        <w:spacing w:after="0" w:line="256"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color w:val="auto"/>
        </w:rPr>
        <w:t>Adjusted automotive free cash flow is used by management and can be used by investors to review the liquidity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primarily related to strengthening our balance sheet, such as prepayments of debt and discretionary contributions to employee benefit plans.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segment profit to Net income (loss) attributable to stockholders under U.S. GAAP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3"/>
                <w:szCs w:val="13"/>
                <w:b w:val="1"/>
                <w:bCs w:val="1"/>
                <w:color w:val="auto"/>
              </w:rPr>
              <w:t>Three Months Ended</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3"/>
                <w:szCs w:val="13"/>
                <w:b w:val="1"/>
                <w:bCs w:val="1"/>
                <w:color w:val="auto"/>
              </w:rPr>
              <w:t>Years Ended</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December 31, 2017</w:t>
            </w:r>
          </w:p>
        </w:tc>
        <w:tc>
          <w:tcPr>
            <w:tcW w:w="1480" w:type="dxa"/>
            <w:vAlign w:val="bottom"/>
            <w:gridSpan w:val="3"/>
          </w:tcPr>
          <w:p>
            <w:pPr>
              <w:ind w:left="120"/>
              <w:spacing w:after="0"/>
              <w:rPr>
                <w:sz w:val="20"/>
                <w:szCs w:val="20"/>
                <w:color w:val="auto"/>
              </w:rPr>
            </w:pPr>
            <w:r>
              <w:rPr>
                <w:rFonts w:ascii="Arial" w:cs="Arial" w:eastAsia="Arial" w:hAnsi="Arial"/>
                <w:sz w:val="13"/>
                <w:szCs w:val="13"/>
                <w:b w:val="1"/>
                <w:bCs w:val="1"/>
                <w:color w:val="auto"/>
              </w:rPr>
              <w:t>December 31, 2016</w:t>
            </w:r>
          </w:p>
        </w:tc>
        <w:tc>
          <w:tcPr>
            <w:tcW w:w="1460" w:type="dxa"/>
            <w:vAlign w:val="bottom"/>
            <w:gridSpan w:val="3"/>
          </w:tcPr>
          <w:p>
            <w:pPr>
              <w:ind w:left="120"/>
              <w:spacing w:after="0"/>
              <w:rPr>
                <w:sz w:val="20"/>
                <w:szCs w:val="20"/>
                <w:color w:val="auto"/>
              </w:rPr>
            </w:pPr>
            <w:r>
              <w:rPr>
                <w:rFonts w:ascii="Arial" w:cs="Arial" w:eastAsia="Arial" w:hAnsi="Arial"/>
                <w:sz w:val="13"/>
                <w:szCs w:val="13"/>
                <w:b w:val="1"/>
                <w:bCs w:val="1"/>
                <w:color w:val="auto"/>
              </w:rPr>
              <w:t>December 31, 2017</w:t>
            </w:r>
          </w:p>
        </w:tc>
        <w:tc>
          <w:tcPr>
            <w:tcW w:w="138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December 31, 2016</w:t>
            </w:r>
          </w:p>
        </w:tc>
        <w:tc>
          <w:tcPr>
            <w:tcW w:w="0" w:type="dxa"/>
            <w:vAlign w:val="bottom"/>
          </w:tcPr>
          <w:p>
            <w:pPr>
              <w:spacing w:after="0"/>
              <w:rPr>
                <w:sz w:val="1"/>
                <w:szCs w:val="1"/>
                <w:color w:val="auto"/>
              </w:rPr>
            </w:pPr>
          </w:p>
        </w:tc>
      </w:tr>
      <w:tr>
        <w:trPr>
          <w:trHeight w:val="260"/>
        </w:trPr>
        <w:tc>
          <w:tcPr>
            <w:tcW w:w="5600" w:type="dxa"/>
            <w:vAlign w:val="bottom"/>
          </w:tcPr>
          <w:p>
            <w:pPr>
              <w:ind w:left="40"/>
              <w:spacing w:after="0"/>
              <w:rPr>
                <w:sz w:val="20"/>
                <w:szCs w:val="20"/>
                <w:color w:val="auto"/>
              </w:rPr>
            </w:pPr>
            <w:r>
              <w:rPr>
                <w:rFonts w:ascii="Arial" w:cs="Arial" w:eastAsia="Arial" w:hAnsi="Arial"/>
                <w:sz w:val="16"/>
                <w:szCs w:val="16"/>
                <w:color w:val="auto"/>
              </w:rPr>
              <w:t>Operating segments</w:t>
            </w: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 North America (GMNA)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2,875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11,889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65"/>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12,388</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Arial" w:cs="Arial" w:eastAsia="Arial" w:hAnsi="Arial"/>
                <w:sz w:val="16"/>
                <w:szCs w:val="16"/>
                <w:color w:val="auto"/>
              </w:rPr>
              <w:t>GM International (GMI)(a)</w:t>
            </w:r>
          </w:p>
        </w:tc>
        <w:tc>
          <w:tcPr>
            <w:tcW w:w="120" w:type="dxa"/>
            <w:vAlign w:val="bottom"/>
          </w:tcPr>
          <w:p>
            <w:pPr>
              <w:spacing w:after="0"/>
              <w:rPr>
                <w:sz w:val="22"/>
                <w:szCs w:val="22"/>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7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Motors Financial Company, Inc. (GM Financial)(b)</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47"/>
        </w:trPr>
        <w:tc>
          <w:tcPr>
            <w:tcW w:w="5600" w:type="dxa"/>
            <w:vAlign w:val="bottom"/>
          </w:tcPr>
          <w:p>
            <w:pPr>
              <w:ind w:left="40"/>
              <w:spacing w:after="0"/>
              <w:rPr>
                <w:sz w:val="20"/>
                <w:szCs w:val="20"/>
                <w:color w:val="auto"/>
              </w:rPr>
            </w:pPr>
            <w:r>
              <w:rPr>
                <w:rFonts w:ascii="Arial" w:cs="Arial" w:eastAsia="Arial" w:hAnsi="Arial"/>
                <w:sz w:val="16"/>
                <w:szCs w:val="16"/>
                <w:color w:val="auto"/>
              </w:rPr>
              <w:t>Total operating segments</w:t>
            </w:r>
          </w:p>
        </w:tc>
        <w:tc>
          <w:tcPr>
            <w:tcW w:w="12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3,592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3,066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14,385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13,918</w:t>
            </w:r>
          </w:p>
        </w:tc>
        <w:tc>
          <w:tcPr>
            <w:tcW w:w="0" w:type="dxa"/>
            <w:vAlign w:val="bottom"/>
          </w:tcPr>
          <w:p>
            <w:pPr>
              <w:spacing w:after="0"/>
              <w:rPr>
                <w:sz w:val="1"/>
                <w:szCs w:val="1"/>
                <w:color w:val="auto"/>
              </w:rPr>
            </w:pPr>
          </w:p>
        </w:tc>
      </w:tr>
      <w:tr>
        <w:trPr>
          <w:trHeight w:val="273"/>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and eliminations(c)</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47"/>
        </w:trPr>
        <w:tc>
          <w:tcPr>
            <w:tcW w:w="5600" w:type="dxa"/>
            <w:vAlign w:val="bottom"/>
          </w:tcPr>
          <w:p>
            <w:pPr>
              <w:ind w:left="40"/>
              <w:spacing w:after="0"/>
              <w:rPr>
                <w:sz w:val="20"/>
                <w:szCs w:val="20"/>
                <w:color w:val="auto"/>
              </w:rPr>
            </w:pPr>
            <w:r>
              <w:rPr>
                <w:rFonts w:ascii="Arial" w:cs="Arial" w:eastAsia="Arial" w:hAnsi="Arial"/>
                <w:sz w:val="16"/>
                <w:szCs w:val="16"/>
                <w:color w:val="auto"/>
              </w:rPr>
              <w:t>EBIT-adjusted</w:t>
            </w:r>
          </w:p>
        </w:tc>
        <w:tc>
          <w:tcPr>
            <w:tcW w:w="12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3,085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2,598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12,844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12,848</w:t>
            </w:r>
          </w:p>
        </w:tc>
        <w:tc>
          <w:tcPr>
            <w:tcW w:w="0" w:type="dxa"/>
            <w:vAlign w:val="bottom"/>
          </w:tcPr>
          <w:p>
            <w:pPr>
              <w:spacing w:after="0"/>
              <w:rPr>
                <w:sz w:val="1"/>
                <w:szCs w:val="1"/>
                <w:color w:val="auto"/>
              </w:rPr>
            </w:pPr>
          </w:p>
        </w:tc>
      </w:tr>
      <w:tr>
        <w:trPr>
          <w:trHeight w:val="28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Special items</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Arial" w:cs="Arial" w:eastAsia="Arial" w:hAnsi="Arial"/>
                <w:sz w:val="16"/>
                <w:szCs w:val="16"/>
                <w:color w:val="auto"/>
              </w:rPr>
              <w:t>GMI restructuring(d)</w:t>
            </w:r>
          </w:p>
        </w:tc>
        <w:tc>
          <w:tcPr>
            <w:tcW w:w="1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Venezuela-related matters(e)</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Ignition switch recall and related legal matters(f)</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special items</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60"/>
        </w:trPr>
        <w:tc>
          <w:tcPr>
            <w:tcW w:w="5600" w:type="dxa"/>
            <w:vAlign w:val="bottom"/>
          </w:tcPr>
          <w:p>
            <w:pPr>
              <w:ind w:left="40"/>
              <w:spacing w:after="0"/>
              <w:rPr>
                <w:sz w:val="20"/>
                <w:szCs w:val="20"/>
                <w:color w:val="auto"/>
              </w:rPr>
            </w:pPr>
            <w:r>
              <w:rPr>
                <w:rFonts w:ascii="Arial" w:cs="Arial" w:eastAsia="Arial" w:hAnsi="Arial"/>
                <w:sz w:val="16"/>
                <w:szCs w:val="16"/>
                <w:color w:val="auto"/>
              </w:rPr>
              <w:t>Automotive interest income</w:t>
            </w:r>
          </w:p>
        </w:tc>
        <w:tc>
          <w:tcPr>
            <w:tcW w:w="120" w:type="dxa"/>
            <w:vAlign w:val="bottom"/>
          </w:tcPr>
          <w:p>
            <w:pPr>
              <w:spacing w:after="0"/>
              <w:rPr>
                <w:sz w:val="22"/>
                <w:szCs w:val="22"/>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8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Automotive interest expense</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expense(g)</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(7,896)</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w:t>
            </w: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operations(h)</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(4,874)</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9,428</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(Loss) from discontinued operations, net of tax(i)</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9,427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During the three months ended December 31, 2017, we changed our automotive segments as a result of changes in our organizational structure and the evolution of our business resulting from the sale of the Opel and Vauxhall businesses and certain other assets in Europe (the Opel/Vauxhall Business) and the various strategic actions taken in the GM International Operations (GMIO) region. As a result, our GM South America (GMSA) and GMIO operating segments are now reported as one, combined reportable international segment, GMI. Our GMNA and GM Financial segments were not impacted. All periods presented have been recast to reflect the changes. Refer to the reconciliation of key financial information of our GMIO and GMSA operating segments under U.S. GAAP to key financial information of GMI within a following section for details.</w:t>
      </w:r>
    </w:p>
    <w:p>
      <w:pPr>
        <w:spacing w:after="0" w:line="164"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 Financial amounts represent earnings before income taxes-adjusted.</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GM's automotive operations' interest income and interest expense, Maven, legacy costs from the Opel/Vauxhall Business, which are primarily pension costs, corporate expenditures including autonomous vehicle-related engineering and other costs and certain nonsegment specific revenues and expenses are recorded centrally in Corporate.</w:t>
      </w:r>
    </w:p>
    <w:p>
      <w:pPr>
        <w:jc w:val="both"/>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adjustment was excluded because of a strategic decision to rationalize our core operations by exiting or significantly reducing our presence in various international markets to focus resources on opportunities expected to deliver higher returns. The adjustment primarily consists of asset impairments, sales incentives, inventory provisions, dealer restructuring, employee separations and other contract cancellation costs in India and South Africa.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adjustment was excluded because we ceased operations and terminated employment relationships in Venezuela.</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adjustments were excluded because of the unique events associated with the ignition switch recall. These events included the creation of the Ignition Switch Recall Compensation Program, as well as various investigations, inquiries and complaints from constituents.</w:t>
      </w:r>
    </w:p>
    <w:p>
      <w:pPr>
        <w:jc w:val="both"/>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Income tax expense includes a special item of $9.1 billion in the year ended December 31, 2017 which represents the tax expense of $7.3 billion related to U.S. tax reform legislation recorded in the three months ended December 31, 2017 and the establishment of a valuation allowance against deferred tax assets of $2.3 billion that will no longer be realizable as a result of the sale of the Opel/Vauxhall Business, partially offset by tax benefits related to tax settlements.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of Net loss attributable to noncontrolling interests.</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results of the Opel/Vauxhall Business and our European financing subsidiaries and branches (the Fincos, and together with the Opel/Vauxhall Business, the European Business).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5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diluted earnings (loss) per common share under U.S. GAAP to EPS-diluted-adjusted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Years Ended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283"/>
              <w:spacing w:after="0"/>
              <w:rPr>
                <w:sz w:val="20"/>
                <w:szCs w:val="20"/>
                <w:color w:val="auto"/>
              </w:rPr>
            </w:pPr>
            <w:r>
              <w:rPr>
                <w:rFonts w:ascii="Arial" w:cs="Arial" w:eastAsia="Arial" w:hAnsi="Arial"/>
                <w:sz w:val="13"/>
                <w:szCs w:val="13"/>
                <w:b w:val="1"/>
                <w:bCs w:val="1"/>
                <w:color w:val="auto"/>
              </w:rPr>
              <w:t>December 31, 2017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3"/>
                <w:szCs w:val="13"/>
                <w:b w:val="1"/>
                <w:bCs w:val="1"/>
                <w:color w:val="auto"/>
              </w:rPr>
              <w:t>December 31, 2016</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3"/>
                <w:szCs w:val="13"/>
                <w:b w:val="1"/>
                <w:bCs w:val="1"/>
                <w:color w:val="auto"/>
              </w:rPr>
              <w:t>December 31, 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3"/>
                <w:szCs w:val="13"/>
                <w:b w:val="1"/>
                <w:bCs w:val="1"/>
                <w:color w:val="auto"/>
              </w:rPr>
              <w:t>December 31, 2016</w:t>
            </w: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Per Share</w:t>
            </w:r>
          </w:p>
        </w:tc>
        <w:tc>
          <w:tcPr>
            <w:tcW w:w="1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Per Share</w:t>
            </w:r>
          </w:p>
        </w:tc>
        <w:tc>
          <w:tcPr>
            <w:tcW w:w="1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22"/>
                <w:szCs w:val="22"/>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760" w:type="dxa"/>
            <w:vAlign w:val="bottom"/>
          </w:tcPr>
          <w:p>
            <w:pPr>
              <w:jc w:val="right"/>
              <w:ind w:right="81"/>
              <w:spacing w:after="0"/>
              <w:rPr>
                <w:sz w:val="20"/>
                <w:szCs w:val="20"/>
                <w:color w:val="auto"/>
              </w:rPr>
            </w:pPr>
            <w:r>
              <w:rPr>
                <w:rFonts w:ascii="Arial" w:cs="Arial" w:eastAsia="Arial" w:hAnsi="Arial"/>
                <w:sz w:val="13"/>
                <w:szCs w:val="13"/>
                <w:b w:val="1"/>
                <w:bCs w:val="1"/>
                <w:color w:val="auto"/>
                <w:w w:val="95"/>
              </w:rPr>
              <w:t>Per Share</w:t>
            </w:r>
          </w:p>
        </w:tc>
        <w:tc>
          <w:tcPr>
            <w:tcW w:w="0" w:type="dxa"/>
            <w:vAlign w:val="bottom"/>
          </w:tcPr>
          <w:p>
            <w:pPr>
              <w:spacing w:after="0"/>
              <w:rPr>
                <w:sz w:val="1"/>
                <w:szCs w:val="1"/>
                <w:color w:val="auto"/>
              </w:rPr>
            </w:pPr>
          </w:p>
        </w:tc>
      </w:tr>
      <w:tr>
        <w:trPr>
          <w:trHeight w:val="257"/>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(loss)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(5,165)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1,835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9,427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Impact of including dilutive securities(a)</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loss per common share – discontinued</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operations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0.19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4,212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Adjustments(b)</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3"/>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effect on adjustments(c)</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6"/>
                <w:szCs w:val="16"/>
                <w:color w:val="auto"/>
              </w:rPr>
              <w:t>Tax adjustments(d)</w:t>
            </w:r>
          </w:p>
        </w:tc>
        <w:tc>
          <w:tcPr>
            <w:tcW w:w="140" w:type="dxa"/>
            <w:vAlign w:val="bottom"/>
          </w:tcPr>
          <w:p>
            <w:pPr>
              <w:spacing w:after="0"/>
              <w:rPr>
                <w:sz w:val="22"/>
                <w:szCs w:val="22"/>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7,271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640" w:type="dxa"/>
            <w:vAlign w:val="bottom"/>
          </w:tcPr>
          <w:p>
            <w:pPr>
              <w:jc w:val="right"/>
              <w:ind w:right="23"/>
              <w:spacing w:after="0"/>
              <w:rPr>
                <w:sz w:val="20"/>
                <w:szCs w:val="20"/>
                <w:color w:val="auto"/>
              </w:rPr>
            </w:pPr>
            <w:r>
              <w:rPr>
                <w:rFonts w:ascii="Arial" w:cs="Arial" w:eastAsia="Arial" w:hAnsi="Arial"/>
                <w:sz w:val="16"/>
                <w:szCs w:val="16"/>
                <w:color w:val="auto"/>
              </w:rPr>
              <w:t>9,099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EPS-diluted-adjusted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2,383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9,877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9,614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4"/>
                <w:szCs w:val="14"/>
                <w:color w:val="auto"/>
              </w:rPr>
              <w:t>________</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20" w:hanging="332"/>
        <w:spacing w:after="0" w:line="24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dilutive effect of warrants and awards under stock incentive plans. Refer to the table below for the effect on weighted-average common shares outstanding – diluted-adjusted.</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Refer to the reconciliation of segment profit to Net income (loss) attributable to stockholders under U.S. GAAP for adjustment details.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1"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the year ended December 31, 2017 these adjustments consist of the tax expense of $7.3 billion related to U.S. tax reform legislation recorded in the three months ended December 31, 2017 and the establishment of a valuation allowance against deferred tax assets of $2.3 billion that will no longer be realizable as a result of the sale of the Opel/Vauxhall Business, partially offset by tax benefits related to tax settlements.</w:t>
      </w:r>
    </w:p>
    <w:p>
      <w:pPr>
        <w:spacing w:after="0" w:line="169" w:lineRule="exact"/>
        <w:rPr>
          <w:sz w:val="20"/>
          <w:szCs w:val="20"/>
          <w:color w:val="auto"/>
        </w:rPr>
      </w:pPr>
    </w:p>
    <w:p>
      <w:pPr>
        <w:ind w:firstLine="162"/>
        <w:spacing w:after="0" w:line="260" w:lineRule="auto"/>
        <w:rPr>
          <w:sz w:val="20"/>
          <w:szCs w:val="20"/>
          <w:color w:val="auto"/>
        </w:rPr>
      </w:pPr>
      <w:r>
        <w:rPr>
          <w:rFonts w:ascii="Arial" w:cs="Arial" w:eastAsia="Arial" w:hAnsi="Arial"/>
          <w:sz w:val="16"/>
          <w:szCs w:val="16"/>
          <w:color w:val="auto"/>
        </w:rPr>
        <w:t>The following table reconciles weighted-average common shares outstanding – diluted under U.S. GAAP to weighted-average common shares outstanding – diluted-adjusted used in the calculation of EPS-diluted-adjusted (shares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2860" w:type="dxa"/>
            <w:vAlign w:val="bottom"/>
            <w:tcBorders>
              <w:bottom w:val="single" w:sz="8" w:color="auto"/>
            </w:tcBorders>
            <w:gridSpan w:val="3"/>
          </w:tcPr>
          <w:p>
            <w:pPr>
              <w:jc w:val="right"/>
              <w:ind w:right="726"/>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5"/>
                <w:szCs w:val="15"/>
                <w:color w:val="auto"/>
              </w:rPr>
            </w:pPr>
          </w:p>
        </w:tc>
        <w:tc>
          <w:tcPr>
            <w:tcW w:w="2800" w:type="dxa"/>
            <w:vAlign w:val="bottom"/>
            <w:tcBorders>
              <w:bottom w:val="single" w:sz="8" w:color="auto"/>
            </w:tcBorders>
            <w:gridSpan w:val="3"/>
          </w:tcPr>
          <w:p>
            <w:pPr>
              <w:jc w:val="right"/>
              <w:ind w:right="946"/>
              <w:spacing w:after="0"/>
              <w:rPr>
                <w:sz w:val="20"/>
                <w:szCs w:val="20"/>
                <w:color w:val="auto"/>
              </w:rPr>
            </w:pPr>
            <w:r>
              <w:rPr>
                <w:rFonts w:ascii="Arial" w:cs="Arial" w:eastAsia="Arial" w:hAnsi="Arial"/>
                <w:sz w:val="13"/>
                <w:szCs w:val="13"/>
                <w:b w:val="1"/>
                <w:bCs w:val="1"/>
                <w:color w:val="auto"/>
              </w:rPr>
              <w:t>Years Ended</w:t>
            </w:r>
          </w:p>
        </w:tc>
      </w:tr>
      <w:tr>
        <w:trPr>
          <w:trHeight w:val="248"/>
        </w:trPr>
        <w:tc>
          <w:tcPr>
            <w:tcW w:w="5620" w:type="dxa"/>
            <w:vAlign w:val="bottom"/>
          </w:tcPr>
          <w:p>
            <w:pPr>
              <w:spacing w:after="0"/>
              <w:rPr>
                <w:sz w:val="21"/>
                <w:szCs w:val="21"/>
                <w:color w:val="auto"/>
              </w:rPr>
            </w:pPr>
          </w:p>
        </w:tc>
        <w:tc>
          <w:tcPr>
            <w:tcW w:w="1500" w:type="dxa"/>
            <w:vAlign w:val="bottom"/>
            <w:gridSpan w:val="2"/>
          </w:tcPr>
          <w:p>
            <w:pPr>
              <w:ind w:left="200"/>
              <w:spacing w:after="0"/>
              <w:rPr>
                <w:sz w:val="20"/>
                <w:szCs w:val="20"/>
                <w:color w:val="auto"/>
              </w:rPr>
            </w:pPr>
            <w:r>
              <w:rPr>
                <w:rFonts w:ascii="Arial" w:cs="Arial" w:eastAsia="Arial" w:hAnsi="Arial"/>
                <w:sz w:val="11"/>
                <w:szCs w:val="11"/>
                <w:b w:val="1"/>
                <w:bCs w:val="1"/>
                <w:color w:val="auto"/>
              </w:rPr>
              <w:t>December 31, 2017</w:t>
            </w:r>
          </w:p>
        </w:tc>
        <w:tc>
          <w:tcPr>
            <w:tcW w:w="1500" w:type="dxa"/>
            <w:vAlign w:val="bottom"/>
            <w:gridSpan w:val="2"/>
          </w:tcPr>
          <w:p>
            <w:pPr>
              <w:ind w:left="200"/>
              <w:spacing w:after="0"/>
              <w:rPr>
                <w:sz w:val="20"/>
                <w:szCs w:val="20"/>
                <w:color w:val="auto"/>
              </w:rPr>
            </w:pPr>
            <w:r>
              <w:rPr>
                <w:rFonts w:ascii="Arial" w:cs="Arial" w:eastAsia="Arial" w:hAnsi="Arial"/>
                <w:sz w:val="11"/>
                <w:szCs w:val="11"/>
                <w:b w:val="1"/>
                <w:bCs w:val="1"/>
                <w:color w:val="auto"/>
              </w:rPr>
              <w:t>December 31, 2016</w:t>
            </w:r>
          </w:p>
        </w:tc>
        <w:tc>
          <w:tcPr>
            <w:tcW w:w="1440" w:type="dxa"/>
            <w:vAlign w:val="bottom"/>
            <w:gridSpan w:val="2"/>
          </w:tcPr>
          <w:p>
            <w:pPr>
              <w:ind w:left="180"/>
              <w:spacing w:after="0"/>
              <w:rPr>
                <w:sz w:val="20"/>
                <w:szCs w:val="20"/>
                <w:color w:val="auto"/>
              </w:rPr>
            </w:pPr>
            <w:r>
              <w:rPr>
                <w:rFonts w:ascii="Arial" w:cs="Arial" w:eastAsia="Arial" w:hAnsi="Arial"/>
                <w:sz w:val="11"/>
                <w:szCs w:val="11"/>
                <w:b w:val="1"/>
                <w:bCs w:val="1"/>
                <w:color w:val="auto"/>
              </w:rPr>
              <w:t>December 31, 2017</w:t>
            </w:r>
          </w:p>
        </w:tc>
        <w:tc>
          <w:tcPr>
            <w:tcW w:w="1360" w:type="dxa"/>
            <w:vAlign w:val="bottom"/>
          </w:tcPr>
          <w:p>
            <w:pPr>
              <w:jc w:val="right"/>
              <w:ind w:right="106"/>
              <w:spacing w:after="0"/>
              <w:rPr>
                <w:sz w:val="20"/>
                <w:szCs w:val="20"/>
                <w:color w:val="auto"/>
              </w:rPr>
            </w:pPr>
            <w:r>
              <w:rPr>
                <w:rFonts w:ascii="Arial" w:cs="Arial" w:eastAsia="Arial" w:hAnsi="Arial"/>
                <w:sz w:val="11"/>
                <w:szCs w:val="11"/>
                <w:b w:val="1"/>
                <w:bCs w:val="1"/>
                <w:color w:val="auto"/>
              </w:rPr>
              <w:t>December 31, 2016</w:t>
            </w: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 – diluted</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6"/>
                <w:szCs w:val="16"/>
                <w:color w:val="auto"/>
              </w:rPr>
              <w:t>1,414</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1,546</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1,492</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1,570</w:t>
            </w: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Dilutive effect of warrants and awards under stock incentive plans</w:t>
            </w:r>
          </w:p>
        </w:tc>
        <w:tc>
          <w:tcPr>
            <w:tcW w:w="1380" w:type="dxa"/>
            <w:vAlign w:val="bottom"/>
          </w:tcPr>
          <w:p>
            <w:pPr>
              <w:jc w:val="right"/>
              <w:ind w:right="68"/>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6"/>
              <w:spacing w:after="0"/>
              <w:rPr>
                <w:sz w:val="20"/>
                <w:szCs w:val="20"/>
                <w:color w:val="auto"/>
              </w:rPr>
            </w:pPr>
            <w:r>
              <w:rPr>
                <w:rFonts w:ascii="Arial" w:cs="Arial" w:eastAsia="Arial" w:hAnsi="Arial"/>
                <w:sz w:val="16"/>
                <w:szCs w:val="16"/>
                <w:color w:val="auto"/>
              </w:rPr>
              <w:t>—</w:t>
            </w:r>
          </w:p>
        </w:tc>
      </w:tr>
      <w:tr>
        <w:trPr>
          <w:trHeight w:val="24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 – diluted-adjusted</w:t>
            </w:r>
          </w:p>
        </w:tc>
        <w:tc>
          <w:tcPr>
            <w:tcW w:w="13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6"/>
                <w:szCs w:val="16"/>
                <w:color w:val="auto"/>
              </w:rPr>
              <w:t>1,444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1,546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1,492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1,570</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under U.S. GAAP to ETR-adjusted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Years Ended December 31,</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8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40"/>
              <w:spacing w:after="0" w:line="140" w:lineRule="exact"/>
              <w:rPr>
                <w:sz w:val="20"/>
                <w:szCs w:val="20"/>
                <w:color w:val="auto"/>
              </w:rPr>
            </w:pPr>
            <w:r>
              <w:rPr>
                <w:rFonts w:ascii="Arial" w:cs="Arial" w:eastAsia="Arial" w:hAnsi="Arial"/>
                <w:sz w:val="13"/>
                <w:szCs w:val="13"/>
                <w:b w:val="1"/>
                <w:bCs w:val="1"/>
                <w:color w:val="auto"/>
              </w:rPr>
              <w:t>Income before</w:t>
            </w:r>
          </w:p>
        </w:tc>
        <w:tc>
          <w:tcPr>
            <w:tcW w:w="120" w:type="dxa"/>
            <w:vAlign w:val="bottom"/>
          </w:tcPr>
          <w:p>
            <w:pPr>
              <w:spacing w:after="0"/>
              <w:rPr>
                <w:sz w:val="12"/>
                <w:szCs w:val="12"/>
                <w:color w:val="auto"/>
              </w:rPr>
            </w:pPr>
          </w:p>
        </w:tc>
        <w:tc>
          <w:tcPr>
            <w:tcW w:w="780" w:type="dxa"/>
            <w:vAlign w:val="bottom"/>
          </w:tcPr>
          <w:p>
            <w:pPr>
              <w:spacing w:after="0" w:line="140" w:lineRule="exact"/>
              <w:rPr>
                <w:sz w:val="20"/>
                <w:szCs w:val="20"/>
                <w:color w:val="auto"/>
              </w:rPr>
            </w:pPr>
            <w:r>
              <w:rPr>
                <w:rFonts w:ascii="Arial" w:cs="Arial" w:eastAsia="Arial" w:hAnsi="Arial"/>
                <w:sz w:val="13"/>
                <w:szCs w:val="13"/>
                <w:b w:val="1"/>
                <w:bCs w:val="1"/>
                <w:color w:val="auto"/>
              </w:rPr>
              <w:t>Income tax</w:t>
            </w:r>
          </w:p>
        </w:tc>
        <w:tc>
          <w:tcPr>
            <w:tcW w:w="120" w:type="dxa"/>
            <w:vAlign w:val="bottom"/>
          </w:tcPr>
          <w:p>
            <w:pPr>
              <w:spacing w:after="0"/>
              <w:rPr>
                <w:sz w:val="12"/>
                <w:szCs w:val="12"/>
                <w:color w:val="auto"/>
              </w:rPr>
            </w:pPr>
          </w:p>
        </w:tc>
        <w:tc>
          <w:tcPr>
            <w:tcW w:w="960" w:type="dxa"/>
            <w:vAlign w:val="bottom"/>
            <w:gridSpan w:val="2"/>
          </w:tcPr>
          <w:p>
            <w:pPr>
              <w:ind w:left="40"/>
              <w:spacing w:after="0" w:line="140" w:lineRule="exact"/>
              <w:rPr>
                <w:sz w:val="20"/>
                <w:szCs w:val="20"/>
                <w:color w:val="auto"/>
              </w:rPr>
            </w:pPr>
            <w:r>
              <w:rPr>
                <w:rFonts w:ascii="Arial" w:cs="Arial" w:eastAsia="Arial" w:hAnsi="Arial"/>
                <w:sz w:val="13"/>
                <w:szCs w:val="13"/>
                <w:b w:val="1"/>
                <w:bCs w:val="1"/>
                <w:color w:val="auto"/>
              </w:rPr>
              <w:t>Effective tax</w:t>
            </w:r>
          </w:p>
        </w:tc>
        <w:tc>
          <w:tcPr>
            <w:tcW w:w="140" w:type="dxa"/>
            <w:vAlign w:val="bottom"/>
          </w:tcPr>
          <w:p>
            <w:pPr>
              <w:spacing w:after="0"/>
              <w:rPr>
                <w:sz w:val="12"/>
                <w:szCs w:val="12"/>
                <w:color w:val="auto"/>
              </w:rPr>
            </w:pPr>
          </w:p>
        </w:tc>
        <w:tc>
          <w:tcPr>
            <w:tcW w:w="1220" w:type="dxa"/>
            <w:vAlign w:val="bottom"/>
            <w:gridSpan w:val="2"/>
          </w:tcPr>
          <w:p>
            <w:pPr>
              <w:ind w:left="40"/>
              <w:spacing w:after="0" w:line="140" w:lineRule="exact"/>
              <w:rPr>
                <w:sz w:val="20"/>
                <w:szCs w:val="20"/>
                <w:color w:val="auto"/>
              </w:rPr>
            </w:pPr>
            <w:r>
              <w:rPr>
                <w:rFonts w:ascii="Arial" w:cs="Arial" w:eastAsia="Arial" w:hAnsi="Arial"/>
                <w:sz w:val="13"/>
                <w:szCs w:val="13"/>
                <w:b w:val="1"/>
                <w:bCs w:val="1"/>
                <w:color w:val="auto"/>
              </w:rPr>
              <w:t>Income before</w:t>
            </w:r>
          </w:p>
        </w:tc>
        <w:tc>
          <w:tcPr>
            <w:tcW w:w="120" w:type="dxa"/>
            <w:vAlign w:val="bottom"/>
          </w:tcPr>
          <w:p>
            <w:pPr>
              <w:spacing w:after="0"/>
              <w:rPr>
                <w:sz w:val="12"/>
                <w:szCs w:val="12"/>
                <w:color w:val="auto"/>
              </w:rPr>
            </w:pPr>
          </w:p>
        </w:tc>
        <w:tc>
          <w:tcPr>
            <w:tcW w:w="780" w:type="dxa"/>
            <w:vAlign w:val="bottom"/>
          </w:tcPr>
          <w:p>
            <w:pPr>
              <w:spacing w:after="0" w:line="140" w:lineRule="exact"/>
              <w:rPr>
                <w:sz w:val="20"/>
                <w:szCs w:val="20"/>
                <w:color w:val="auto"/>
              </w:rPr>
            </w:pPr>
            <w:r>
              <w:rPr>
                <w:rFonts w:ascii="Arial" w:cs="Arial" w:eastAsia="Arial" w:hAnsi="Arial"/>
                <w:sz w:val="13"/>
                <w:szCs w:val="13"/>
                <w:b w:val="1"/>
                <w:bCs w:val="1"/>
                <w:color w:val="auto"/>
              </w:rPr>
              <w:t>Income tax</w:t>
            </w:r>
          </w:p>
        </w:tc>
        <w:tc>
          <w:tcPr>
            <w:tcW w:w="100" w:type="dxa"/>
            <w:vAlign w:val="bottom"/>
          </w:tcPr>
          <w:p>
            <w:pPr>
              <w:spacing w:after="0"/>
              <w:rPr>
                <w:sz w:val="12"/>
                <w:szCs w:val="12"/>
                <w:color w:val="auto"/>
              </w:rPr>
            </w:pPr>
          </w:p>
        </w:tc>
        <w:tc>
          <w:tcPr>
            <w:tcW w:w="860" w:type="dxa"/>
            <w:vAlign w:val="bottom"/>
          </w:tcPr>
          <w:p>
            <w:pPr>
              <w:jc w:val="right"/>
              <w:spacing w:after="0" w:line="140" w:lineRule="exact"/>
              <w:rPr>
                <w:sz w:val="20"/>
                <w:szCs w:val="20"/>
                <w:color w:val="auto"/>
              </w:rPr>
            </w:pPr>
            <w:r>
              <w:rPr>
                <w:rFonts w:ascii="Arial" w:cs="Arial" w:eastAsia="Arial" w:hAnsi="Arial"/>
                <w:sz w:val="13"/>
                <w:szCs w:val="13"/>
                <w:b w:val="1"/>
                <w:bCs w:val="1"/>
                <w:color w:val="auto"/>
              </w:rPr>
              <w:t>Effective tax</w:t>
            </w:r>
          </w:p>
        </w:tc>
        <w:tc>
          <w:tcPr>
            <w:tcW w:w="0" w:type="dxa"/>
            <w:vAlign w:val="bottom"/>
          </w:tcPr>
          <w:p>
            <w:pPr>
              <w:spacing w:after="0"/>
              <w:rPr>
                <w:sz w:val="1"/>
                <w:szCs w:val="1"/>
                <w:color w:val="auto"/>
              </w:rPr>
            </w:pPr>
          </w:p>
        </w:tc>
      </w:tr>
      <w:tr>
        <w:trPr>
          <w:trHeight w:val="178"/>
        </w:trPr>
        <w:tc>
          <w:tcPr>
            <w:tcW w:w="48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66"/>
              <w:spacing w:after="0"/>
              <w:rPr>
                <w:sz w:val="20"/>
                <w:szCs w:val="20"/>
                <w:color w:val="auto"/>
              </w:rPr>
            </w:pPr>
            <w:r>
              <w:rPr>
                <w:rFonts w:ascii="Arial" w:cs="Arial" w:eastAsia="Arial" w:hAnsi="Arial"/>
                <w:sz w:val="13"/>
                <w:szCs w:val="13"/>
                <w:b w:val="1"/>
                <w:bCs w:val="1"/>
                <w:color w:val="auto"/>
              </w:rPr>
              <w:t>income taxes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6"/>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11,863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11,533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12,008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2,739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color w:val="auto"/>
              </w:rPr>
              <w:t>Adjustments(a)</w:t>
            </w:r>
          </w:p>
        </w:tc>
        <w:tc>
          <w:tcPr>
            <w:tcW w:w="160" w:type="dxa"/>
            <w:vAlign w:val="bottom"/>
          </w:tcPr>
          <w:p>
            <w:pPr>
              <w:spacing w:after="0"/>
              <w:rPr>
                <w:sz w:val="22"/>
                <w:szCs w:val="22"/>
                <w:color w:val="auto"/>
              </w:rPr>
            </w:pP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7"/>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6"/>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7"/>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adjustments(b)</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(9,099)</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ETR-adjusted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12,517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2,642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12,308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2,853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8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 to the reconciliation of segment profit to Net income (loss) attributable to stockholders under U.S. GAAP for adjustment details.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 to the reconciliation of diluted earnings (loss) per common share under U.S. GAAP to EPS-diluted-adjusted within a previous section for adjustment details.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5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jc w:val="both"/>
        <w:ind w:right="20" w:firstLine="162"/>
        <w:spacing w:after="0" w:line="253" w:lineRule="auto"/>
        <w:rPr>
          <w:sz w:val="20"/>
          <w:szCs w:val="20"/>
          <w:color w:val="auto"/>
        </w:rPr>
      </w:pPr>
      <w:r>
        <w:rPr>
          <w:rFonts w:ascii="Arial" w:cs="Arial" w:eastAsia="Arial" w:hAnsi="Arial"/>
          <w:sz w:val="16"/>
          <w:szCs w:val="16"/>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3"/>
                <w:szCs w:val="13"/>
                <w:b w:val="1"/>
                <w:bCs w:val="1"/>
                <w:color w:val="auto"/>
              </w:rPr>
              <w:t>Years Ended December 31,</w:t>
            </w:r>
          </w:p>
        </w:tc>
      </w:tr>
      <w:tr>
        <w:trPr>
          <w:trHeight w:val="264"/>
        </w:trPr>
        <w:tc>
          <w:tcPr>
            <w:tcW w:w="86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2016</w:t>
            </w:r>
          </w:p>
        </w:tc>
      </w:tr>
      <w:tr>
        <w:trPr>
          <w:trHeight w:val="257"/>
        </w:trPr>
        <w:tc>
          <w:tcPr>
            <w:tcW w:w="8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stockholders</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9.4</w:t>
            </w:r>
          </w:p>
        </w:tc>
      </w:tr>
      <w:tr>
        <w:trPr>
          <w:trHeight w:val="260"/>
        </w:trPr>
        <w:tc>
          <w:tcPr>
            <w:tcW w:w="8620" w:type="dxa"/>
            <w:vAlign w:val="bottom"/>
          </w:tcPr>
          <w:p>
            <w:pPr>
              <w:ind w:left="40"/>
              <w:spacing w:after="0"/>
              <w:rPr>
                <w:sz w:val="20"/>
                <w:szCs w:val="20"/>
                <w:color w:val="auto"/>
              </w:rPr>
            </w:pPr>
            <w:r>
              <w:rPr>
                <w:rFonts w:ascii="Arial" w:cs="Arial" w:eastAsia="Arial" w:hAnsi="Arial"/>
                <w:sz w:val="16"/>
                <w:szCs w:val="16"/>
                <w:color w:val="auto"/>
              </w:rPr>
              <w:t>Average equity</w:t>
            </w:r>
          </w:p>
        </w:tc>
        <w:tc>
          <w:tcPr>
            <w:tcW w:w="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4"/>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43.6</w:t>
            </w:r>
          </w:p>
        </w:tc>
      </w:tr>
      <w:tr>
        <w:trPr>
          <w:trHeight w:val="280"/>
        </w:trPr>
        <w:tc>
          <w:tcPr>
            <w:tcW w:w="8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ROE</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386"/>
        </w:trPr>
        <w:tc>
          <w:tcPr>
            <w:tcW w:w="8620" w:type="dxa"/>
            <w:vAlign w:val="bottom"/>
          </w:tcPr>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1"/>
        </w:trPr>
        <w:tc>
          <w:tcPr>
            <w:tcW w:w="8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3"/>
                <w:szCs w:val="13"/>
                <w:b w:val="1"/>
                <w:bCs w:val="1"/>
                <w:color w:val="auto"/>
              </w:rPr>
              <w:t>Years Ended December 31,</w:t>
            </w:r>
          </w:p>
        </w:tc>
      </w:tr>
      <w:tr>
        <w:trPr>
          <w:trHeight w:val="264"/>
        </w:trPr>
        <w:tc>
          <w:tcPr>
            <w:tcW w:w="86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2016</w:t>
            </w:r>
          </w:p>
        </w:tc>
      </w:tr>
      <w:tr>
        <w:trPr>
          <w:trHeight w:val="257"/>
        </w:trPr>
        <w:tc>
          <w:tcPr>
            <w:tcW w:w="8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EBIT-adjusted(a)</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12.8</w:t>
            </w:r>
          </w:p>
        </w:tc>
      </w:tr>
      <w:tr>
        <w:trPr>
          <w:trHeight w:val="260"/>
        </w:trPr>
        <w:tc>
          <w:tcPr>
            <w:tcW w:w="8620" w:type="dxa"/>
            <w:vAlign w:val="bottom"/>
          </w:tcPr>
          <w:p>
            <w:pPr>
              <w:ind w:left="40"/>
              <w:spacing w:after="0"/>
              <w:rPr>
                <w:sz w:val="20"/>
                <w:szCs w:val="20"/>
                <w:color w:val="auto"/>
              </w:rPr>
            </w:pPr>
            <w:r>
              <w:rPr>
                <w:rFonts w:ascii="Arial" w:cs="Arial" w:eastAsia="Arial" w:hAnsi="Arial"/>
                <w:sz w:val="16"/>
                <w:szCs w:val="16"/>
                <w:color w:val="auto"/>
              </w:rPr>
              <w:t>Average equity</w:t>
            </w: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4"/>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43.6</w:t>
            </w:r>
          </w:p>
        </w:tc>
      </w:tr>
      <w:tr>
        <w:trPr>
          <w:trHeight w:val="280"/>
        </w:trPr>
        <w:tc>
          <w:tcPr>
            <w:tcW w:w="8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Average automotive debt and interest liabilities (excluding capital leases)</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9.9</w:t>
            </w:r>
          </w:p>
        </w:tc>
      </w:tr>
      <w:tr>
        <w:trPr>
          <w:trHeight w:val="260"/>
        </w:trPr>
        <w:tc>
          <w:tcPr>
            <w:tcW w:w="8620" w:type="dxa"/>
            <w:vAlign w:val="bottom"/>
          </w:tcPr>
          <w:p>
            <w:pPr>
              <w:ind w:left="40"/>
              <w:spacing w:after="0"/>
              <w:rPr>
                <w:sz w:val="20"/>
                <w:szCs w:val="20"/>
                <w:color w:val="auto"/>
              </w:rPr>
            </w:pPr>
            <w:r>
              <w:rPr>
                <w:rFonts w:ascii="Arial" w:cs="Arial" w:eastAsia="Arial" w:hAnsi="Arial"/>
                <w:sz w:val="16"/>
                <w:szCs w:val="16"/>
                <w:color w:val="auto"/>
              </w:rPr>
              <w:t>Add: Average automotive net pension &amp; OPEB liability</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84"/>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22.0</w:t>
            </w:r>
          </w:p>
        </w:tc>
      </w:tr>
      <w:tr>
        <w:trPr>
          <w:trHeight w:val="273"/>
        </w:trPr>
        <w:tc>
          <w:tcPr>
            <w:tcW w:w="8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Average automotive net income tax asset</w:t>
            </w:r>
          </w:p>
        </w:tc>
        <w:tc>
          <w:tcPr>
            <w:tcW w:w="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(32.8)</w:t>
            </w:r>
          </w:p>
        </w:tc>
      </w:tr>
      <w:tr>
        <w:trPr>
          <w:trHeight w:val="280"/>
        </w:trPr>
        <w:tc>
          <w:tcPr>
            <w:tcW w:w="8620" w:type="dxa"/>
            <w:vAlign w:val="bottom"/>
          </w:tcPr>
          <w:p>
            <w:pPr>
              <w:ind w:left="40"/>
              <w:spacing w:after="0"/>
              <w:rPr>
                <w:sz w:val="20"/>
                <w:szCs w:val="20"/>
                <w:color w:val="auto"/>
              </w:rPr>
            </w:pPr>
            <w:r>
              <w:rPr>
                <w:rFonts w:ascii="Arial" w:cs="Arial" w:eastAsia="Arial" w:hAnsi="Arial"/>
                <w:sz w:val="16"/>
                <w:szCs w:val="16"/>
                <w:color w:val="auto"/>
              </w:rPr>
              <w:t>ROIC-adjusted average net assets</w:t>
            </w: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4"/>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42.7</w:t>
            </w:r>
          </w:p>
        </w:tc>
      </w:tr>
      <w:tr>
        <w:trPr>
          <w:trHeight w:val="227"/>
        </w:trPr>
        <w:tc>
          <w:tcPr>
            <w:tcW w:w="8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ROIC-adjusted</w:t>
            </w: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167"/>
        </w:trPr>
        <w:tc>
          <w:tcPr>
            <w:tcW w:w="8620" w:type="dxa"/>
            <w:vAlign w:val="bottom"/>
          </w:tcPr>
          <w:p>
            <w:pPr>
              <w:spacing w:after="0"/>
              <w:rPr>
                <w:sz w:val="20"/>
                <w:szCs w:val="20"/>
                <w:color w:val="auto"/>
              </w:rPr>
            </w:pPr>
            <w:r>
              <w:rPr>
                <w:rFonts w:ascii="Arial" w:cs="Arial" w:eastAsia="Arial" w:hAnsi="Arial"/>
                <w:sz w:val="14"/>
                <w:szCs w:val="14"/>
                <w:color w:val="auto"/>
              </w:rPr>
              <w:t>________</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the reconciliation of segment profit to Net income (loss) attributable to stockholders under U.S. GAAP for adjustment details.</w:t>
      </w:r>
    </w:p>
    <w:p>
      <w:pPr>
        <w:spacing w:after="0" w:line="160" w:lineRule="exact"/>
        <w:rPr>
          <w:sz w:val="20"/>
          <w:szCs w:val="20"/>
          <w:color w:val="auto"/>
        </w:rPr>
      </w:pPr>
    </w:p>
    <w:p>
      <w:pPr>
        <w:ind w:right="60" w:firstLine="162"/>
        <w:spacing w:after="0" w:line="260" w:lineRule="auto"/>
        <w:rPr>
          <w:sz w:val="20"/>
          <w:szCs w:val="20"/>
          <w:color w:val="auto"/>
        </w:rPr>
      </w:pPr>
      <w:r>
        <w:rPr>
          <w:rFonts w:ascii="Arial" w:cs="Arial" w:eastAsia="Arial" w:hAnsi="Arial"/>
          <w:sz w:val="16"/>
          <w:szCs w:val="16"/>
          <w:color w:val="auto"/>
        </w:rPr>
        <w:t>The following table reconciles Net automotive cash provided by operating activities from continuing operations under U.S. GAAP to adjusted automotive free cash flow (dollars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3"/>
                <w:szCs w:val="13"/>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400" w:type="dxa"/>
            <w:vAlign w:val="bottom"/>
            <w:gridSpan w:val="3"/>
          </w:tcPr>
          <w:p>
            <w:pPr>
              <w:ind w:left="80"/>
              <w:spacing w:after="0"/>
              <w:rPr>
                <w:sz w:val="20"/>
                <w:szCs w:val="20"/>
                <w:color w:val="auto"/>
              </w:rPr>
            </w:pPr>
            <w:r>
              <w:rPr>
                <w:rFonts w:ascii="Arial" w:cs="Arial" w:eastAsia="Arial" w:hAnsi="Arial"/>
                <w:sz w:val="13"/>
                <w:szCs w:val="13"/>
                <w:b w:val="1"/>
                <w:bCs w:val="1"/>
                <w:color w:val="auto"/>
              </w:rPr>
              <w:t>December 31, 2017</w:t>
            </w:r>
          </w:p>
        </w:tc>
        <w:tc>
          <w:tcPr>
            <w:tcW w:w="1360" w:type="dxa"/>
            <w:vAlign w:val="bottom"/>
            <w:gridSpan w:val="3"/>
          </w:tcPr>
          <w:p>
            <w:pPr>
              <w:ind w:left="60"/>
              <w:spacing w:after="0"/>
              <w:rPr>
                <w:sz w:val="20"/>
                <w:szCs w:val="20"/>
                <w:color w:val="auto"/>
              </w:rPr>
            </w:pPr>
            <w:r>
              <w:rPr>
                <w:rFonts w:ascii="Arial" w:cs="Arial" w:eastAsia="Arial" w:hAnsi="Arial"/>
                <w:sz w:val="13"/>
                <w:szCs w:val="13"/>
                <w:b w:val="1"/>
                <w:bCs w:val="1"/>
                <w:color w:val="auto"/>
              </w:rPr>
              <w:t>December 31, 2016</w:t>
            </w:r>
          </w:p>
        </w:tc>
        <w:tc>
          <w:tcPr>
            <w:tcW w:w="1340" w:type="dxa"/>
            <w:vAlign w:val="bottom"/>
            <w:gridSpan w:val="3"/>
          </w:tcPr>
          <w:p>
            <w:pPr>
              <w:ind w:left="40"/>
              <w:spacing w:after="0"/>
              <w:rPr>
                <w:sz w:val="20"/>
                <w:szCs w:val="20"/>
                <w:color w:val="auto"/>
              </w:rPr>
            </w:pPr>
            <w:r>
              <w:rPr>
                <w:rFonts w:ascii="Arial" w:cs="Arial" w:eastAsia="Arial" w:hAnsi="Arial"/>
                <w:sz w:val="13"/>
                <w:szCs w:val="13"/>
                <w:b w:val="1"/>
                <w:bCs w:val="1"/>
                <w:color w:val="auto"/>
              </w:rPr>
              <w:t>December 31, 2017</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 2016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automotive cash provided by operating activities – continuing operations</w:t>
            </w:r>
          </w:p>
        </w:tc>
        <w:tc>
          <w:tcPr>
            <w:tcW w:w="40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6,607</w:t>
            </w:r>
          </w:p>
        </w:tc>
        <w:tc>
          <w:tcPr>
            <w:tcW w:w="1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4,707</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13,872</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14,494</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040" w:type="dxa"/>
            <w:vAlign w:val="bottom"/>
          </w:tcPr>
          <w:p>
            <w:pPr>
              <w:ind w:left="20"/>
              <w:spacing w:after="0"/>
              <w:rPr>
                <w:sz w:val="20"/>
                <w:szCs w:val="20"/>
                <w:color w:val="auto"/>
              </w:rPr>
            </w:pPr>
            <w:r>
              <w:rPr>
                <w:rFonts w:ascii="Arial" w:cs="Arial" w:eastAsia="Arial" w:hAnsi="Arial"/>
                <w:sz w:val="16"/>
                <w:szCs w:val="16"/>
                <w:color w:val="auto"/>
              </w:rPr>
              <w:t>Less: capital expenditures – continuing operations</w:t>
            </w: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(2,247)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(8,359)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(8,291)</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040" w:type="dxa"/>
            <w:vAlign w:val="bottom"/>
          </w:tcPr>
          <w:p>
            <w:pPr>
              <w:ind w:left="200"/>
              <w:spacing w:after="0"/>
              <w:rPr>
                <w:sz w:val="20"/>
                <w:szCs w:val="20"/>
                <w:color w:val="auto"/>
              </w:rPr>
            </w:pPr>
            <w:r>
              <w:rPr>
                <w:rFonts w:ascii="Arial" w:cs="Arial" w:eastAsia="Arial" w:hAnsi="Arial"/>
                <w:sz w:val="16"/>
                <w:szCs w:val="16"/>
                <w:color w:val="auto"/>
              </w:rPr>
              <w:t>Discretionary U.S. pension plan contributions</w:t>
            </w:r>
          </w:p>
        </w:tc>
        <w:tc>
          <w:tcPr>
            <w:tcW w:w="40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U.K. pension plan contribution(a)</w:t>
            </w: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GM Financial dividend(a)</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adjustments</w:t>
            </w: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6"/>
                <w:szCs w:val="16"/>
                <w:color w:val="auto"/>
              </w:rPr>
              <w:t>Adjusted automotive free cash flow – continuing operations</w:t>
            </w: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4,183</w:t>
            </w:r>
          </w:p>
        </w:tc>
        <w:tc>
          <w:tcPr>
            <w:tcW w:w="1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2,460</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5,161</w:t>
            </w: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8,185</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automotive cash used in operating activities – discontinued operations</w:t>
            </w: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40" w:type="dxa"/>
            <w:vAlign w:val="bottom"/>
          </w:tcPr>
          <w:p>
            <w:pPr>
              <w:ind w:left="20"/>
              <w:spacing w:after="0"/>
              <w:rPr>
                <w:sz w:val="20"/>
                <w:szCs w:val="20"/>
                <w:color w:val="auto"/>
              </w:rPr>
            </w:pPr>
            <w:r>
              <w:rPr>
                <w:rFonts w:ascii="Arial" w:cs="Arial" w:eastAsia="Arial" w:hAnsi="Arial"/>
                <w:sz w:val="16"/>
                <w:szCs w:val="16"/>
                <w:color w:val="auto"/>
              </w:rPr>
              <w:t>Less: capital expenditures – discontinued operations</w:t>
            </w:r>
          </w:p>
        </w:tc>
        <w:tc>
          <w:tcPr>
            <w:tcW w:w="40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automotive free cash flow</w:t>
            </w:r>
          </w:p>
        </w:tc>
        <w:tc>
          <w:tcPr>
            <w:tcW w:w="40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4,132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4,472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6,931</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jc w:val="right"/>
              <w:ind w:right="5339"/>
              <w:spacing w:after="0"/>
              <w:rPr>
                <w:sz w:val="20"/>
                <w:szCs w:val="20"/>
                <w:color w:val="auto"/>
              </w:rPr>
            </w:pPr>
            <w:r>
              <w:rPr>
                <w:rFonts w:ascii="Arial" w:cs="Arial" w:eastAsia="Arial" w:hAnsi="Arial"/>
                <w:sz w:val="14"/>
                <w:szCs w:val="14"/>
                <w:color w:val="auto"/>
                <w:w w:val="99"/>
              </w:rPr>
              <w:t>________</w:t>
            </w: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cash flows were excluded because they resulted from the sale of the European Business.</w:t>
      </w:r>
    </w:p>
    <w:p>
      <w:pPr>
        <w:spacing w:after="0" w:line="241" w:lineRule="exact"/>
        <w:rPr>
          <w:rFonts w:ascii="Arial" w:cs="Arial" w:eastAsia="Arial" w:hAnsi="Arial"/>
          <w:sz w:val="14"/>
          <w:szCs w:val="14"/>
          <w:color w:val="auto"/>
        </w:rPr>
      </w:pPr>
    </w:p>
    <w:p>
      <w:pPr>
        <w:ind w:left="5660"/>
        <w:spacing w:after="0"/>
        <w:rPr>
          <w:rFonts w:ascii="Arial" w:cs="Arial" w:eastAsia="Arial" w:hAnsi="Arial"/>
          <w:sz w:val="14"/>
          <w:szCs w:val="14"/>
          <w:color w:val="auto"/>
        </w:rPr>
      </w:pPr>
      <w:r>
        <w:rPr>
          <w:rFonts w:ascii="Arial" w:cs="Arial" w:eastAsia="Arial" w:hAnsi="Arial"/>
          <w:sz w:val="16"/>
          <w:szCs w:val="16"/>
          <w:color w:val="auto"/>
        </w:rPr>
        <w:t>4</w:t>
      </w:r>
    </w:p>
    <w:p>
      <w:pPr>
        <w:sectPr>
          <w:pgSz w:w="11900" w:h="16838" w:orient="portrait"/>
          <w:cols w:equalWidth="0" w:num="1">
            <w:col w:w="11420"/>
          </w:cols>
          <w:pgMar w:left="240" w:top="55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GM</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8"/>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GMI(a)</w:t>
            </w:r>
          </w:p>
        </w:tc>
        <w:tc>
          <w:tcPr>
            <w:tcW w:w="14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Automotive</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Financial</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200" w:type="dxa"/>
            <w:vAlign w:val="bottom"/>
          </w:tcPr>
          <w:p>
            <w:pPr>
              <w:spacing w:after="0"/>
              <w:rPr>
                <w:sz w:val="15"/>
                <w:szCs w:val="15"/>
                <w:color w:val="auto"/>
              </w:rPr>
            </w:pPr>
          </w:p>
        </w:tc>
        <w:tc>
          <w:tcPr>
            <w:tcW w:w="700" w:type="dxa"/>
            <w:vAlign w:val="bottom"/>
          </w:tcPr>
          <w:p>
            <w:pPr>
              <w:jc w:val="right"/>
              <w:ind w:right="230"/>
              <w:spacing w:after="0"/>
              <w:rPr>
                <w:sz w:val="20"/>
                <w:szCs w:val="20"/>
                <w:color w:val="auto"/>
              </w:rPr>
            </w:pPr>
            <w:r>
              <w:rPr>
                <w:rFonts w:ascii="Arial" w:cs="Arial" w:eastAsia="Arial" w:hAnsi="Arial"/>
                <w:sz w:val="13"/>
                <w:szCs w:val="13"/>
                <w:b w:val="1"/>
                <w:bCs w:val="1"/>
                <w:color w:val="auto"/>
              </w:rPr>
              <w:t>Total</w:t>
            </w:r>
          </w:p>
        </w:tc>
      </w:tr>
      <w:tr>
        <w:trPr>
          <w:trHeight w:val="262"/>
        </w:trPr>
        <w:tc>
          <w:tcPr>
            <w:tcW w:w="3200" w:type="dxa"/>
            <w:vAlign w:val="bottom"/>
          </w:tcPr>
          <w:p>
            <w:pPr>
              <w:ind w:left="40"/>
              <w:spacing w:after="0"/>
              <w:rPr>
                <w:sz w:val="20"/>
                <w:szCs w:val="20"/>
                <w:color w:val="auto"/>
              </w:rPr>
            </w:pPr>
            <w:r>
              <w:rPr>
                <w:rFonts w:ascii="Arial" w:cs="Arial" w:eastAsia="Arial" w:hAnsi="Arial"/>
                <w:sz w:val="13"/>
                <w:szCs w:val="13"/>
                <w:b w:val="1"/>
                <w:bCs w:val="1"/>
                <w:color w:val="auto"/>
              </w:rPr>
              <w:t>Three Months Ended December 31, 2017</w:t>
            </w: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r>
      <w:tr>
        <w:trPr>
          <w:trHeight w:val="278"/>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 and revenue</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28,751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5,694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34,481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3,252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37,715</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Expenditures for property</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1,846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2,072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2,100</w:t>
            </w: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3,154</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Impairment charges</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23</w:t>
            </w: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income(b)</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503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547</w:t>
            </w:r>
          </w:p>
        </w:tc>
      </w:tr>
      <w:tr>
        <w:trPr>
          <w:trHeight w:val="324"/>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0"/>
        </w:trPr>
        <w:tc>
          <w:tcPr>
            <w:tcW w:w="3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40"/>
              <w:spacing w:after="0" w:line="140"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220"/>
              <w:spacing w:after="0" w:line="140" w:lineRule="exact"/>
              <w:rPr>
                <w:sz w:val="20"/>
                <w:szCs w:val="20"/>
                <w:color w:val="auto"/>
              </w:rPr>
            </w:pPr>
            <w:r>
              <w:rPr>
                <w:rFonts w:ascii="Arial" w:cs="Arial" w:eastAsia="Arial" w:hAnsi="Arial"/>
                <w:sz w:val="13"/>
                <w:szCs w:val="13"/>
                <w:b w:val="1"/>
                <w:bCs w:val="1"/>
                <w:color w:val="auto"/>
                <w:w w:val="95"/>
              </w:rPr>
              <w:t>GM</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84"/>
        </w:trPr>
        <w:tc>
          <w:tcPr>
            <w:tcW w:w="3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GMNA</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GMI(a)</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Corporate</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5"/>
              </w:rPr>
              <w:t>Automotive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95"/>
              </w:rPr>
              <w:t>Financial</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Eliminations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30"/>
              <w:spacing w:after="0"/>
              <w:rPr>
                <w:sz w:val="20"/>
                <w:szCs w:val="20"/>
                <w:color w:val="auto"/>
              </w:rPr>
            </w:pPr>
            <w:r>
              <w:rPr>
                <w:rFonts w:ascii="Arial" w:cs="Arial" w:eastAsia="Arial" w:hAnsi="Arial"/>
                <w:sz w:val="13"/>
                <w:szCs w:val="13"/>
                <w:b w:val="1"/>
                <w:bCs w:val="1"/>
                <w:color w:val="auto"/>
              </w:rPr>
              <w:t>Total</w:t>
            </w:r>
          </w:p>
        </w:tc>
      </w:tr>
      <w:tr>
        <w:trPr>
          <w:trHeight w:val="256"/>
        </w:trPr>
        <w:tc>
          <w:tcPr>
            <w:tcW w:w="3200" w:type="dxa"/>
            <w:vAlign w:val="bottom"/>
          </w:tcPr>
          <w:p>
            <w:pPr>
              <w:ind w:left="40"/>
              <w:spacing w:after="0"/>
              <w:rPr>
                <w:sz w:val="20"/>
                <w:szCs w:val="20"/>
                <w:color w:val="auto"/>
              </w:rPr>
            </w:pPr>
            <w:r>
              <w:rPr>
                <w:rFonts w:ascii="Arial" w:cs="Arial" w:eastAsia="Arial" w:hAnsi="Arial"/>
                <w:sz w:val="13"/>
                <w:szCs w:val="13"/>
                <w:b w:val="1"/>
                <w:bCs w:val="1"/>
                <w:color w:val="auto"/>
              </w:rPr>
              <w:t>Three Months Ended December 31, 2016</w:t>
            </w: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r>
      <w:tr>
        <w:trPr>
          <w:trHeight w:val="278"/>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 and revenue</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31,298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37,343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39,896</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Expenditures for property</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1,985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2,282</w:t>
            </w: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1,282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2,670</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Impairment charges</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24</w:t>
            </w: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income (loss)(b)</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565</w:t>
            </w:r>
          </w:p>
        </w:tc>
      </w:tr>
      <w:tr>
        <w:trPr>
          <w:trHeight w:val="324"/>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0"/>
        </w:trPr>
        <w:tc>
          <w:tcPr>
            <w:tcW w:w="3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40"/>
              <w:spacing w:after="0" w:line="140"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220"/>
              <w:spacing w:after="0" w:line="140" w:lineRule="exact"/>
              <w:rPr>
                <w:sz w:val="20"/>
                <w:szCs w:val="20"/>
                <w:color w:val="auto"/>
              </w:rPr>
            </w:pPr>
            <w:r>
              <w:rPr>
                <w:rFonts w:ascii="Arial" w:cs="Arial" w:eastAsia="Arial" w:hAnsi="Arial"/>
                <w:sz w:val="13"/>
                <w:szCs w:val="13"/>
                <w:b w:val="1"/>
                <w:bCs w:val="1"/>
                <w:color w:val="auto"/>
                <w:w w:val="95"/>
              </w:rPr>
              <w:t>GM</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84"/>
        </w:trPr>
        <w:tc>
          <w:tcPr>
            <w:tcW w:w="3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GMNA</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GMI(a)</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Corporate</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5"/>
              </w:rPr>
              <w:t>Automotive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95"/>
              </w:rPr>
              <w:t>Financial</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Eliminations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30"/>
              <w:spacing w:after="0"/>
              <w:rPr>
                <w:sz w:val="20"/>
                <w:szCs w:val="20"/>
                <w:color w:val="auto"/>
              </w:rPr>
            </w:pPr>
            <w:r>
              <w:rPr>
                <w:rFonts w:ascii="Arial" w:cs="Arial" w:eastAsia="Arial" w:hAnsi="Arial"/>
                <w:sz w:val="13"/>
                <w:szCs w:val="13"/>
                <w:b w:val="1"/>
                <w:bCs w:val="1"/>
                <w:color w:val="auto"/>
              </w:rPr>
              <w:t>Total</w:t>
            </w:r>
          </w:p>
        </w:tc>
      </w:tr>
      <w:tr>
        <w:trPr>
          <w:trHeight w:val="256"/>
        </w:trPr>
        <w:tc>
          <w:tcPr>
            <w:tcW w:w="3200" w:type="dxa"/>
            <w:vAlign w:val="bottom"/>
          </w:tcPr>
          <w:p>
            <w:pPr>
              <w:ind w:left="40"/>
              <w:spacing w:after="0"/>
              <w:rPr>
                <w:sz w:val="20"/>
                <w:szCs w:val="20"/>
                <w:color w:val="auto"/>
              </w:rPr>
            </w:pPr>
            <w:r>
              <w:rPr>
                <w:rFonts w:ascii="Arial" w:cs="Arial" w:eastAsia="Arial" w:hAnsi="Arial"/>
                <w:sz w:val="13"/>
                <w:szCs w:val="13"/>
                <w:b w:val="1"/>
                <w:bCs w:val="1"/>
                <w:color w:val="auto"/>
              </w:rPr>
              <w:t>Year Ended December 31, 2017</w:t>
            </w: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r>
      <w:tr>
        <w:trPr>
          <w:trHeight w:val="278"/>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 and revenue</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111,345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21,920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133,607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12,151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145,588</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Expenditures for property</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7,704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8,359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8,453</w:t>
            </w: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5,394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6,573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11,967</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Impairment charges</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294</w:t>
            </w: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income(b)</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1,959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2,132</w:t>
            </w:r>
          </w:p>
        </w:tc>
      </w:tr>
      <w:tr>
        <w:trPr>
          <w:trHeight w:val="324"/>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0"/>
        </w:trPr>
        <w:tc>
          <w:tcPr>
            <w:tcW w:w="3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40"/>
              <w:spacing w:after="0" w:line="140"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220"/>
              <w:spacing w:after="0" w:line="140" w:lineRule="exact"/>
              <w:rPr>
                <w:sz w:val="20"/>
                <w:szCs w:val="20"/>
                <w:color w:val="auto"/>
              </w:rPr>
            </w:pPr>
            <w:r>
              <w:rPr>
                <w:rFonts w:ascii="Arial" w:cs="Arial" w:eastAsia="Arial" w:hAnsi="Arial"/>
                <w:sz w:val="13"/>
                <w:szCs w:val="13"/>
                <w:b w:val="1"/>
                <w:bCs w:val="1"/>
                <w:color w:val="auto"/>
                <w:w w:val="95"/>
              </w:rPr>
              <w:t>GM</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84"/>
        </w:trPr>
        <w:tc>
          <w:tcPr>
            <w:tcW w:w="3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GMNA</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GMI(a)</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Corporate</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5"/>
              </w:rPr>
              <w:t>Automotive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95"/>
              </w:rPr>
              <w:t>Financial</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Eliminations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30"/>
              <w:spacing w:after="0"/>
              <w:rPr>
                <w:sz w:val="20"/>
                <w:szCs w:val="20"/>
                <w:color w:val="auto"/>
              </w:rPr>
            </w:pPr>
            <w:r>
              <w:rPr>
                <w:rFonts w:ascii="Arial" w:cs="Arial" w:eastAsia="Arial" w:hAnsi="Arial"/>
                <w:sz w:val="13"/>
                <w:szCs w:val="13"/>
                <w:b w:val="1"/>
                <w:bCs w:val="1"/>
                <w:color w:val="auto"/>
              </w:rPr>
              <w:t>Total</w:t>
            </w:r>
          </w:p>
        </w:tc>
      </w:tr>
      <w:tr>
        <w:trPr>
          <w:trHeight w:val="256"/>
        </w:trPr>
        <w:tc>
          <w:tcPr>
            <w:tcW w:w="3200" w:type="dxa"/>
            <w:vAlign w:val="bottom"/>
          </w:tcPr>
          <w:p>
            <w:pPr>
              <w:ind w:left="40"/>
              <w:spacing w:after="0"/>
              <w:rPr>
                <w:sz w:val="20"/>
                <w:szCs w:val="20"/>
                <w:color w:val="auto"/>
              </w:rPr>
            </w:pPr>
            <w:r>
              <w:rPr>
                <w:rFonts w:ascii="Arial" w:cs="Arial" w:eastAsia="Arial" w:hAnsi="Arial"/>
                <w:sz w:val="13"/>
                <w:szCs w:val="13"/>
                <w:b w:val="1"/>
                <w:bCs w:val="1"/>
                <w:color w:val="auto"/>
              </w:rPr>
              <w:t>Year Ended December 31, 2016</w:t>
            </w: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r>
      <w:tr>
        <w:trPr>
          <w:trHeight w:val="278"/>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 and revenue</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119,113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20,943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140,205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8,983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149,184</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Expenditures for property</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7,338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943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8,291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8,384</w:t>
            </w: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4,292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5,008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4,678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9,686</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Impairment charges</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133</w:t>
            </w: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income(b)</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2,282</w:t>
            </w:r>
          </w:p>
        </w:tc>
      </w:tr>
      <w:tr>
        <w:trPr>
          <w:trHeight w:val="156"/>
        </w:trPr>
        <w:tc>
          <w:tcPr>
            <w:tcW w:w="3200" w:type="dxa"/>
            <w:vAlign w:val="bottom"/>
          </w:tcPr>
          <w:p>
            <w:pPr>
              <w:spacing w:after="0" w:line="156" w:lineRule="exact"/>
              <w:rPr>
                <w:sz w:val="20"/>
                <w:szCs w:val="20"/>
                <w:color w:val="auto"/>
              </w:rPr>
            </w:pPr>
            <w:r>
              <w:rPr>
                <w:rFonts w:ascii="Arial" w:cs="Arial" w:eastAsia="Arial" w:hAnsi="Arial"/>
                <w:sz w:val="14"/>
                <w:szCs w:val="14"/>
                <w:color w:val="auto"/>
              </w:rPr>
              <w:t>________</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jc w:val="both"/>
        <w:ind w:left="340" w:hanging="332"/>
        <w:spacing w:after="0" w:line="238"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During the three months ended December 31, 2017, we changed our automotive segments as a result of changes in our organizational structure and the evolution of our business resulting from the sale of the Opel/Vauxhall Business and the various strategic actions taken in the GMIO region. As a result, our GMSA and GMIO operating segments are now reported as one, combined reportable international segment, GMI. Our GMNA and GM Financial segments were not impacted. All periods presented have been recast to reflect the changes. Refer to the reconciliation of key financial information of our GMIO and GMSA operating segments under U.S. GAAP to key financial information of GMI within the following section for details.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Automotive China equity income of $504 million and $525 million in the three months ended December 31, 2017 and 2016 and $2.0 billion in the years ended December 31, 2017 and 2016.</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5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right="280" w:firstLine="162"/>
        <w:spacing w:after="0" w:line="260" w:lineRule="auto"/>
        <w:rPr>
          <w:sz w:val="20"/>
          <w:szCs w:val="20"/>
          <w:color w:val="auto"/>
        </w:rPr>
      </w:pPr>
      <w:r>
        <w:rPr>
          <w:rFonts w:ascii="Arial" w:cs="Arial" w:eastAsia="Arial" w:hAnsi="Arial"/>
          <w:sz w:val="16"/>
          <w:szCs w:val="16"/>
          <w:color w:val="auto"/>
        </w:rPr>
        <w:t>The following tables reconcile key financial information of our GMIO and GMSA operating segments under U.S. GAAP to key financial information of GMI (dollars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GMIO</w:t>
            </w: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GMSA</w:t>
            </w:r>
          </w:p>
        </w:tc>
        <w:tc>
          <w:tcPr>
            <w:tcW w:w="280" w:type="dxa"/>
            <w:vAlign w:val="bottom"/>
          </w:tcPr>
          <w:p>
            <w:pPr>
              <w:spacing w:after="0"/>
              <w:rPr>
                <w:sz w:val="15"/>
                <w:szCs w:val="15"/>
                <w:color w:val="auto"/>
              </w:rPr>
            </w:pPr>
          </w:p>
        </w:tc>
        <w:tc>
          <w:tcPr>
            <w:tcW w:w="840" w:type="dxa"/>
            <w:vAlign w:val="bottom"/>
          </w:tcPr>
          <w:p>
            <w:pPr>
              <w:jc w:val="right"/>
              <w:ind w:right="369"/>
              <w:spacing w:after="0"/>
              <w:rPr>
                <w:sz w:val="20"/>
                <w:szCs w:val="20"/>
                <w:color w:val="auto"/>
              </w:rPr>
            </w:pPr>
            <w:r>
              <w:rPr>
                <w:rFonts w:ascii="Arial" w:cs="Arial" w:eastAsia="Arial" w:hAnsi="Arial"/>
                <w:sz w:val="13"/>
                <w:szCs w:val="13"/>
                <w:b w:val="1"/>
                <w:bCs w:val="1"/>
                <w:color w:val="auto"/>
              </w:rPr>
              <w:t>GMI</w:t>
            </w:r>
          </w:p>
        </w:tc>
      </w:tr>
      <w:tr>
        <w:trPr>
          <w:trHeight w:val="262"/>
        </w:trPr>
        <w:tc>
          <w:tcPr>
            <w:tcW w:w="7780" w:type="dxa"/>
            <w:vAlign w:val="bottom"/>
          </w:tcPr>
          <w:p>
            <w:pPr>
              <w:ind w:left="40"/>
              <w:spacing w:after="0"/>
              <w:rPr>
                <w:sz w:val="20"/>
                <w:szCs w:val="20"/>
                <w:color w:val="auto"/>
              </w:rPr>
            </w:pPr>
            <w:r>
              <w:rPr>
                <w:rFonts w:ascii="Arial" w:cs="Arial" w:eastAsia="Arial" w:hAnsi="Arial"/>
                <w:sz w:val="13"/>
                <w:szCs w:val="13"/>
                <w:b w:val="1"/>
                <w:bCs w:val="1"/>
                <w:color w:val="auto"/>
              </w:rPr>
              <w:t>Three Months Ended December 31, 2017</w:t>
            </w: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78"/>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 and 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2,786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5,694</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Earnings before interest and taxes-adjusted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416</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Expenditures for property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195</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173</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charges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Equity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503</w:t>
            </w:r>
          </w:p>
        </w:tc>
      </w:tr>
      <w:tr>
        <w:trPr>
          <w:trHeight w:val="330"/>
        </w:trPr>
        <w:tc>
          <w:tcPr>
            <w:tcW w:w="7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4"/>
        </w:trPr>
        <w:tc>
          <w:tcPr>
            <w:tcW w:w="7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GMIO</w:t>
            </w:r>
          </w:p>
        </w:tc>
        <w:tc>
          <w:tcPr>
            <w:tcW w:w="24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GMSA</w:t>
            </w:r>
          </w:p>
        </w:tc>
        <w:tc>
          <w:tcPr>
            <w:tcW w:w="280" w:type="dxa"/>
            <w:vAlign w:val="bottom"/>
          </w:tcPr>
          <w:p>
            <w:pPr>
              <w:spacing w:after="0"/>
              <w:rPr>
                <w:sz w:val="22"/>
                <w:szCs w:val="22"/>
                <w:color w:val="auto"/>
              </w:rPr>
            </w:pPr>
          </w:p>
        </w:tc>
        <w:tc>
          <w:tcPr>
            <w:tcW w:w="840" w:type="dxa"/>
            <w:vAlign w:val="bottom"/>
          </w:tcPr>
          <w:p>
            <w:pPr>
              <w:jc w:val="right"/>
              <w:ind w:right="369"/>
              <w:spacing w:after="0"/>
              <w:rPr>
                <w:sz w:val="20"/>
                <w:szCs w:val="20"/>
                <w:color w:val="auto"/>
              </w:rPr>
            </w:pPr>
            <w:r>
              <w:rPr>
                <w:rFonts w:ascii="Arial" w:cs="Arial" w:eastAsia="Arial" w:hAnsi="Arial"/>
                <w:sz w:val="13"/>
                <w:szCs w:val="13"/>
                <w:b w:val="1"/>
                <w:bCs w:val="1"/>
                <w:color w:val="auto"/>
              </w:rPr>
              <w:t>GMI</w:t>
            </w:r>
          </w:p>
        </w:tc>
      </w:tr>
      <w:tr>
        <w:trPr>
          <w:trHeight w:val="270"/>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Three Months Ended December 31, 2016</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Net sales and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3,796</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2,213</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6,009</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before interest and taxes-adjusted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223</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Expenditures for property</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257</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Impairment charges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income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525</w:t>
            </w:r>
          </w:p>
        </w:tc>
      </w:tr>
      <w:tr>
        <w:trPr>
          <w:trHeight w:val="324"/>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7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GMIO</w:t>
            </w: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GMSA</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69"/>
              <w:spacing w:after="0"/>
              <w:rPr>
                <w:sz w:val="20"/>
                <w:szCs w:val="20"/>
                <w:color w:val="auto"/>
              </w:rPr>
            </w:pPr>
            <w:r>
              <w:rPr>
                <w:rFonts w:ascii="Arial" w:cs="Arial" w:eastAsia="Arial" w:hAnsi="Arial"/>
                <w:sz w:val="13"/>
                <w:szCs w:val="13"/>
                <w:b w:val="1"/>
                <w:bCs w:val="1"/>
                <w:color w:val="auto"/>
              </w:rPr>
              <w:t>GMI</w:t>
            </w:r>
          </w:p>
        </w:tc>
      </w:tr>
      <w:tr>
        <w:trPr>
          <w:trHeight w:val="256"/>
        </w:trPr>
        <w:tc>
          <w:tcPr>
            <w:tcW w:w="7780" w:type="dxa"/>
            <w:vAlign w:val="bottom"/>
          </w:tcPr>
          <w:p>
            <w:pPr>
              <w:ind w:left="40"/>
              <w:spacing w:after="0"/>
              <w:rPr>
                <w:sz w:val="20"/>
                <w:szCs w:val="20"/>
                <w:color w:val="auto"/>
              </w:rPr>
            </w:pPr>
            <w:r>
              <w:rPr>
                <w:rFonts w:ascii="Arial" w:cs="Arial" w:eastAsia="Arial" w:hAnsi="Arial"/>
                <w:sz w:val="13"/>
                <w:szCs w:val="13"/>
                <w:b w:val="1"/>
                <w:bCs w:val="1"/>
                <w:color w:val="auto"/>
              </w:rPr>
              <w:t>Year Ended December 31, 2017</w:t>
            </w: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78"/>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 and 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12,308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9,612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21,920</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Earnings (loss) before interest and taxes-adjusted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1,313</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1,300</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Expenditures for property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607</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708</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charges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211</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Equity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1,951</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1,951</w:t>
            </w:r>
          </w:p>
        </w:tc>
      </w:tr>
      <w:tr>
        <w:trPr>
          <w:trHeight w:val="330"/>
        </w:trPr>
        <w:tc>
          <w:tcPr>
            <w:tcW w:w="7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4"/>
        </w:trPr>
        <w:tc>
          <w:tcPr>
            <w:tcW w:w="7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GMIO</w:t>
            </w:r>
          </w:p>
        </w:tc>
        <w:tc>
          <w:tcPr>
            <w:tcW w:w="24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GMSA</w:t>
            </w:r>
          </w:p>
        </w:tc>
        <w:tc>
          <w:tcPr>
            <w:tcW w:w="280" w:type="dxa"/>
            <w:vAlign w:val="bottom"/>
          </w:tcPr>
          <w:p>
            <w:pPr>
              <w:spacing w:after="0"/>
              <w:rPr>
                <w:sz w:val="22"/>
                <w:szCs w:val="22"/>
                <w:color w:val="auto"/>
              </w:rPr>
            </w:pPr>
          </w:p>
        </w:tc>
        <w:tc>
          <w:tcPr>
            <w:tcW w:w="840" w:type="dxa"/>
            <w:vAlign w:val="bottom"/>
          </w:tcPr>
          <w:p>
            <w:pPr>
              <w:jc w:val="right"/>
              <w:ind w:right="369"/>
              <w:spacing w:after="0"/>
              <w:rPr>
                <w:sz w:val="20"/>
                <w:szCs w:val="20"/>
                <w:color w:val="auto"/>
              </w:rPr>
            </w:pPr>
            <w:r>
              <w:rPr>
                <w:rFonts w:ascii="Arial" w:cs="Arial" w:eastAsia="Arial" w:hAnsi="Arial"/>
                <w:sz w:val="13"/>
                <w:szCs w:val="13"/>
                <w:b w:val="1"/>
                <w:bCs w:val="1"/>
                <w:color w:val="auto"/>
              </w:rPr>
              <w:t>GMI</w:t>
            </w:r>
          </w:p>
        </w:tc>
      </w:tr>
      <w:tr>
        <w:trPr>
          <w:trHeight w:val="270"/>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Year Ended December 31, 2016</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Net sales and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13,719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7,224</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20,943</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before interest and taxes-adjusted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767</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Expenditures for property</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943</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702</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Impairment charges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68</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income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1,971</w:t>
            </w:r>
          </w:p>
        </w:tc>
      </w:tr>
    </w:tbl>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5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14"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6"/>
          <w:szCs w:val="16"/>
          <w:color w:val="auto"/>
        </w:rPr>
        <w:t>GM presents both wholesale and retail vehicle sales data to assist in the analysis of our revenue and our market share. GM does not currently export vehicles to Cuba, Iran, North Korea, Sudan or Syria. Accordingly these countries are excluded from industry sales data and corresponding calculation of GM's market share.</w:t>
      </w:r>
    </w:p>
    <w:p>
      <w:pPr>
        <w:spacing w:after="0" w:line="174"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color w:val="auto"/>
        </w:rPr>
        <w:t>Wholesale vehicle sales data, which represents sales directly to dealers and others, including sales to fleet customers, is the measure that correlates to GM's revenue from the sale of vehicles, which is the largest component of Automotive net sales and revenue. Wholesale vehicle sales exclude vehicles sold by joint ventures. In the year ended December 31, 2017 39% of our wholesale vehicle sales volume was generated outside the U.S. The following table summarizes total wholesale vehicle sales of new vehicles by automotive segment (vehicles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340" w:type="dxa"/>
            <w:vAlign w:val="bottom"/>
            <w:tcBorders>
              <w:bottom w:val="single" w:sz="8" w:color="auto"/>
            </w:tcBorders>
            <w:gridSpan w:val="3"/>
          </w:tcPr>
          <w:p>
            <w:pPr>
              <w:jc w:val="right"/>
              <w:ind w:right="963"/>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3260" w:type="dxa"/>
            <w:vAlign w:val="bottom"/>
            <w:tcBorders>
              <w:bottom w:val="single" w:sz="8" w:color="auto"/>
            </w:tcBorders>
            <w:gridSpan w:val="3"/>
          </w:tcPr>
          <w:p>
            <w:pPr>
              <w:jc w:val="right"/>
              <w:ind w:right="1163"/>
              <w:spacing w:after="0"/>
              <w:rPr>
                <w:sz w:val="20"/>
                <w:szCs w:val="20"/>
                <w:color w:val="auto"/>
              </w:rPr>
            </w:pPr>
            <w:r>
              <w:rPr>
                <w:rFonts w:ascii="Arial" w:cs="Arial" w:eastAsia="Arial" w:hAnsi="Arial"/>
                <w:sz w:val="13"/>
                <w:szCs w:val="13"/>
                <w:b w:val="1"/>
                <w:bCs w:val="1"/>
                <w:color w:val="auto"/>
              </w:rPr>
              <w:t>Years Ended</w:t>
            </w: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72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31, 2017</w:t>
            </w:r>
          </w:p>
        </w:tc>
        <w:tc>
          <w:tcPr>
            <w:tcW w:w="172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31, 2016</w:t>
            </w:r>
          </w:p>
        </w:tc>
        <w:tc>
          <w:tcPr>
            <w:tcW w:w="1680" w:type="dxa"/>
            <w:vAlign w:val="bottom"/>
            <w:gridSpan w:val="2"/>
          </w:tcPr>
          <w:p>
            <w:pPr>
              <w:ind w:left="220"/>
              <w:spacing w:after="0"/>
              <w:rPr>
                <w:sz w:val="20"/>
                <w:szCs w:val="20"/>
                <w:color w:val="auto"/>
              </w:rPr>
            </w:pPr>
            <w:r>
              <w:rPr>
                <w:rFonts w:ascii="Arial" w:cs="Arial" w:eastAsia="Arial" w:hAnsi="Arial"/>
                <w:sz w:val="13"/>
                <w:szCs w:val="13"/>
                <w:b w:val="1"/>
                <w:bCs w:val="1"/>
                <w:color w:val="auto"/>
              </w:rPr>
              <w:t>December 31, 2017</w:t>
            </w:r>
          </w:p>
        </w:tc>
        <w:tc>
          <w:tcPr>
            <w:tcW w:w="1580" w:type="dxa"/>
            <w:vAlign w:val="bottom"/>
          </w:tcPr>
          <w:p>
            <w:pPr>
              <w:jc w:val="right"/>
              <w:ind w:right="143"/>
              <w:spacing w:after="0"/>
              <w:rPr>
                <w:sz w:val="20"/>
                <w:szCs w:val="20"/>
                <w:color w:val="auto"/>
              </w:rPr>
            </w:pPr>
            <w:r>
              <w:rPr>
                <w:rFonts w:ascii="Arial" w:cs="Arial" w:eastAsia="Arial" w:hAnsi="Arial"/>
                <w:sz w:val="13"/>
                <w:szCs w:val="13"/>
                <w:b w:val="1"/>
                <w:bCs w:val="1"/>
                <w:color w:val="auto"/>
              </w:rPr>
              <w:t>December 31, 2016</w:t>
            </w:r>
          </w:p>
        </w:tc>
      </w:tr>
      <w:tr>
        <w:trPr>
          <w:trHeight w:val="257"/>
        </w:trPr>
        <w:tc>
          <w:tcPr>
            <w:tcW w:w="20" w:type="dxa"/>
            <w:vAlign w:val="bottom"/>
          </w:tcPr>
          <w:p>
            <w:pPr>
              <w:spacing w:after="0"/>
              <w:rPr>
                <w:sz w:val="22"/>
                <w:szCs w:val="22"/>
                <w:color w:val="auto"/>
              </w:rPr>
            </w:pPr>
          </w:p>
        </w:tc>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GMNA(a)</w:t>
            </w:r>
          </w:p>
        </w:tc>
        <w:tc>
          <w:tcPr>
            <w:tcW w:w="16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915</w:t>
            </w:r>
          </w:p>
        </w:tc>
        <w:tc>
          <w:tcPr>
            <w:tcW w:w="120" w:type="dxa"/>
            <w:vAlign w:val="bottom"/>
            <w:tcBorders>
              <w:top w:val="single" w:sz="8" w:color="CCEEFF"/>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1,050</w:t>
            </w:r>
          </w:p>
        </w:tc>
        <w:tc>
          <w:tcPr>
            <w:tcW w:w="10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3,511</w:t>
            </w:r>
          </w:p>
        </w:tc>
        <w:tc>
          <w:tcPr>
            <w:tcW w:w="10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3,958</w:t>
            </w: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GMI(b)</w:t>
            </w:r>
          </w:p>
        </w:tc>
        <w:tc>
          <w:tcPr>
            <w:tcW w:w="16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1,267</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1,255</w:t>
            </w:r>
          </w:p>
        </w:tc>
      </w:tr>
      <w:tr>
        <w:trPr>
          <w:trHeight w:val="240"/>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1,243</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1,405</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4,778</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5,213</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270"/>
        </w:trPr>
        <w:tc>
          <w:tcPr>
            <w:tcW w:w="20" w:type="dxa"/>
            <w:vAlign w:val="bottom"/>
          </w:tcPr>
          <w:p>
            <w:pPr>
              <w:spacing w:after="0"/>
              <w:rPr>
                <w:sz w:val="23"/>
                <w:szCs w:val="23"/>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Discontinued operations</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1,199</w:t>
            </w:r>
          </w:p>
        </w:tc>
      </w:tr>
      <w:tr>
        <w:trPr>
          <w:trHeight w:val="167"/>
        </w:trPr>
        <w:tc>
          <w:tcPr>
            <w:tcW w:w="4700" w:type="dxa"/>
            <w:vAlign w:val="bottom"/>
            <w:gridSpan w:val="2"/>
          </w:tcPr>
          <w:p>
            <w:pPr>
              <w:jc w:val="right"/>
              <w:ind w:right="3819"/>
              <w:spacing w:after="0"/>
              <w:rPr>
                <w:sz w:val="20"/>
                <w:szCs w:val="20"/>
                <w:color w:val="auto"/>
              </w:rPr>
            </w:pPr>
            <w:r>
              <w:rPr>
                <w:rFonts w:ascii="Arial" w:cs="Arial" w:eastAsia="Arial" w:hAnsi="Arial"/>
                <w:sz w:val="14"/>
                <w:szCs w:val="14"/>
                <w:color w:val="auto"/>
              </w:rPr>
              <w:t>__________</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Wholesale vehicle sales related to transactions with the European Business were insignificant for the three months and years ended December 31, 2017 and 2016.</w:t>
      </w:r>
    </w:p>
    <w:p>
      <w:pPr>
        <w:spacing w:after="0" w:line="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Wholesale vehicle sales include 34 vehicles related to transactions with the European Business for the three months ended December 31, 2016 and 131 and 128 vehicles for the years ended December 31, 2017 and 2016.</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5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color w:val="auto"/>
        </w:rPr>
        <w:t>Retail vehicle sales data, which represents sales to end customers based upon the good faith estimates of management, including sales to fleet customers, does not correlate directly to the revenue GM recognizes during the period. However retail vehicle sales data is indicative of the underlying demand for GM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76"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6"/>
          <w:szCs w:val="16"/>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and vehicles sold through the dealer registration channel, primarily in Europe.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industry retail sales, or estimated sales where retail sales volume is not available, by geographic region (vehicles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Pr>
          <w:p>
            <w:pPr>
              <w:spacing w:after="0"/>
              <w:rPr>
                <w:sz w:val="15"/>
                <w:szCs w:val="15"/>
                <w:color w:val="auto"/>
              </w:rPr>
            </w:pPr>
          </w:p>
        </w:tc>
        <w:tc>
          <w:tcPr>
            <w:tcW w:w="33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3280" w:type="dxa"/>
            <w:vAlign w:val="bottom"/>
            <w:tcBorders>
              <w:bottom w:val="single" w:sz="8" w:color="auto"/>
            </w:tcBorders>
            <w:gridSpan w:val="3"/>
          </w:tcPr>
          <w:p>
            <w:pPr>
              <w:jc w:val="right"/>
              <w:ind w:right="1160"/>
              <w:spacing w:after="0"/>
              <w:rPr>
                <w:sz w:val="20"/>
                <w:szCs w:val="20"/>
                <w:color w:val="auto"/>
              </w:rPr>
            </w:pPr>
            <w:r>
              <w:rPr>
                <w:rFonts w:ascii="Arial" w:cs="Arial" w:eastAsia="Arial" w:hAnsi="Arial"/>
                <w:sz w:val="13"/>
                <w:szCs w:val="13"/>
                <w:b w:val="1"/>
                <w:bCs w:val="1"/>
                <w:color w:val="auto"/>
              </w:rPr>
              <w:t>Years Ended</w:t>
            </w: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2"/>
                <w:szCs w:val="22"/>
                <w:color w:val="auto"/>
              </w:rPr>
            </w:pPr>
          </w:p>
        </w:tc>
        <w:tc>
          <w:tcPr>
            <w:tcW w:w="172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31, 2017</w:t>
            </w:r>
          </w:p>
        </w:tc>
        <w:tc>
          <w:tcPr>
            <w:tcW w:w="172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31, 2016</w:t>
            </w:r>
          </w:p>
        </w:tc>
        <w:tc>
          <w:tcPr>
            <w:tcW w:w="1700" w:type="dxa"/>
            <w:vAlign w:val="bottom"/>
            <w:gridSpan w:val="2"/>
          </w:tcPr>
          <w:p>
            <w:pPr>
              <w:ind w:left="220"/>
              <w:spacing w:after="0"/>
              <w:rPr>
                <w:sz w:val="20"/>
                <w:szCs w:val="20"/>
                <w:color w:val="auto"/>
              </w:rPr>
            </w:pPr>
            <w:r>
              <w:rPr>
                <w:rFonts w:ascii="Arial" w:cs="Arial" w:eastAsia="Arial" w:hAnsi="Arial"/>
                <w:sz w:val="13"/>
                <w:szCs w:val="13"/>
                <w:b w:val="1"/>
                <w:bCs w:val="1"/>
                <w:color w:val="auto"/>
              </w:rPr>
              <w:t>December 31, 2017</w:t>
            </w:r>
          </w:p>
        </w:tc>
        <w:tc>
          <w:tcPr>
            <w:tcW w:w="1580" w:type="dxa"/>
            <w:vAlign w:val="bottom"/>
          </w:tcPr>
          <w:p>
            <w:pPr>
              <w:jc w:val="right"/>
              <w:ind w:right="140"/>
              <w:spacing w:after="0"/>
              <w:rPr>
                <w:sz w:val="20"/>
                <w:szCs w:val="20"/>
                <w:color w:val="auto"/>
              </w:rPr>
            </w:pPr>
            <w:r>
              <w:rPr>
                <w:rFonts w:ascii="Arial" w:cs="Arial" w:eastAsia="Arial" w:hAnsi="Arial"/>
                <w:sz w:val="13"/>
                <w:szCs w:val="13"/>
                <w:b w:val="1"/>
                <w:bCs w:val="1"/>
                <w:color w:val="auto"/>
              </w:rPr>
              <w:t>December 31, 2016</w:t>
            </w:r>
          </w:p>
        </w:tc>
        <w:tc>
          <w:tcPr>
            <w:tcW w:w="0" w:type="dxa"/>
            <w:vAlign w:val="bottom"/>
          </w:tcPr>
          <w:p>
            <w:pPr>
              <w:spacing w:after="0"/>
              <w:rPr>
                <w:sz w:val="1"/>
                <w:szCs w:val="1"/>
                <w:color w:val="auto"/>
              </w:rPr>
            </w:pPr>
          </w:p>
        </w:tc>
      </w:tr>
      <w:tr>
        <w:trPr>
          <w:trHeight w:val="260"/>
        </w:trPr>
        <w:tc>
          <w:tcPr>
            <w:tcW w:w="468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Cars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617</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60"/>
        </w:trPr>
        <w:tc>
          <w:tcPr>
            <w:tcW w:w="4680" w:type="dxa"/>
            <w:vAlign w:val="bottom"/>
          </w:tcPr>
          <w:p>
            <w:pPr>
              <w:ind w:left="280"/>
              <w:spacing w:after="0"/>
              <w:rPr>
                <w:sz w:val="20"/>
                <w:szCs w:val="20"/>
                <w:color w:val="auto"/>
              </w:rPr>
            </w:pPr>
            <w:r>
              <w:rPr>
                <w:rFonts w:ascii="Arial" w:cs="Arial" w:eastAsia="Arial" w:hAnsi="Arial"/>
                <w:sz w:val="16"/>
                <w:szCs w:val="16"/>
                <w:color w:val="auto"/>
              </w:rPr>
              <w:t>Chevrolet – Trucks</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2"/>
                <w:szCs w:val="22"/>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2"/>
                <w:szCs w:val="22"/>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926</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Crossovers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60"/>
        </w:trPr>
        <w:tc>
          <w:tcPr>
            <w:tcW w:w="4680" w:type="dxa"/>
            <w:vAlign w:val="bottom"/>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GMC</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United States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807</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3,002</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Canada, Mexico and Other</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North America(a)</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957</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1,001</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3,576</w:t>
            </w:r>
          </w:p>
        </w:tc>
        <w:tc>
          <w:tcPr>
            <w:tcW w:w="12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3,630</w:t>
            </w:r>
          </w:p>
        </w:tc>
        <w:tc>
          <w:tcPr>
            <w:tcW w:w="0" w:type="dxa"/>
            <w:vAlign w:val="bottom"/>
          </w:tcPr>
          <w:p>
            <w:pPr>
              <w:spacing w:after="0"/>
              <w:rPr>
                <w:sz w:val="1"/>
                <w:szCs w:val="1"/>
                <w:color w:val="auto"/>
              </w:rPr>
            </w:pPr>
          </w:p>
        </w:tc>
      </w:tr>
      <w:tr>
        <w:trPr>
          <w:trHeight w:val="254"/>
        </w:trPr>
        <w:tc>
          <w:tcPr>
            <w:tcW w:w="4680" w:type="dxa"/>
            <w:vAlign w:val="bottom"/>
          </w:tcPr>
          <w:p>
            <w:pPr>
              <w:ind w:left="40"/>
              <w:spacing w:after="0"/>
              <w:rPr>
                <w:sz w:val="20"/>
                <w:szCs w:val="20"/>
                <w:color w:val="auto"/>
              </w:rPr>
            </w:pPr>
            <w:r>
              <w:rPr>
                <w:rFonts w:ascii="Arial" w:cs="Arial" w:eastAsia="Arial" w:hAnsi="Arial"/>
                <w:sz w:val="16"/>
                <w:szCs w:val="16"/>
                <w:color w:val="auto"/>
              </w:rPr>
              <w:t>Asia/Pacific, Middle East and Africa</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981</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60"/>
        </w:trPr>
        <w:tc>
          <w:tcPr>
            <w:tcW w:w="4680" w:type="dxa"/>
            <w:vAlign w:val="bottom"/>
          </w:tcPr>
          <w:p>
            <w:pPr>
              <w:ind w:left="280"/>
              <w:spacing w:after="0"/>
              <w:rPr>
                <w:sz w:val="20"/>
                <w:szCs w:val="20"/>
                <w:color w:val="auto"/>
              </w:rPr>
            </w:pPr>
            <w:r>
              <w:rPr>
                <w:rFonts w:ascii="Arial" w:cs="Arial" w:eastAsia="Arial" w:hAnsi="Arial"/>
                <w:sz w:val="16"/>
                <w:szCs w:val="16"/>
                <w:color w:val="auto"/>
              </w:rPr>
              <w:t>Wuling</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22"/>
                <w:szCs w:val="22"/>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2"/>
                <w:szCs w:val="22"/>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1,141</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1,183</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60"/>
        </w:trPr>
        <w:tc>
          <w:tcPr>
            <w:tcW w:w="4680" w:type="dxa"/>
            <w:vAlign w:val="bottom"/>
          </w:tcPr>
          <w:p>
            <w:pPr>
              <w:ind w:left="280"/>
              <w:spacing w:after="0"/>
              <w:rPr>
                <w:sz w:val="20"/>
                <w:szCs w:val="20"/>
                <w:color w:val="auto"/>
              </w:rPr>
            </w:pPr>
            <w:r>
              <w:rPr>
                <w:rFonts w:ascii="Arial" w:cs="Arial" w:eastAsia="Arial" w:hAnsi="Arial"/>
                <w:sz w:val="16"/>
                <w:szCs w:val="16"/>
                <w:color w:val="auto"/>
              </w:rPr>
              <w:t>Baojun</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2"/>
                <w:szCs w:val="22"/>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2"/>
                <w:szCs w:val="22"/>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997</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Asia/Pacific, Middle East and Africa(a)(b)(c)</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1,455</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1,421</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4,670</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4,634</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South America(a)(d)</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in GM markets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2,593</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2,583</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8,915</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8,847</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Europe</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4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Worldwide</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2,594</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2,847</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9,600</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10,008</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rPr>
              <w:t>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8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Sales of Opel/Vauxhall outside of Europe were insignificant in the three months and years ended December 31, 2017 and 2016.</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three months ended March 31, 2017 we began using estimated vehicle registrations data as the basis for calculating industry volume and market share in China. In the three months and year ended December 31, 2016, wholesale volumes were used for Industry, GM and Market Share. Our retail sales in China were 1,152 and 3,871 in the three months and year ended December 31, 2016.</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sales in India and South Africa. As of December 31, 2017 we have ceased sales of Chevrolet for the domestic markets in India and South Africa.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Primarily Chevrolet.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5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right="20" w:firstLine="162"/>
        <w:spacing w:after="0" w:line="260" w:lineRule="auto"/>
        <w:rPr>
          <w:sz w:val="20"/>
          <w:szCs w:val="20"/>
          <w:color w:val="auto"/>
        </w:rPr>
      </w:pPr>
      <w:r>
        <w:rPr>
          <w:rFonts w:ascii="Arial" w:cs="Arial" w:eastAsia="Arial" w:hAnsi="Arial"/>
          <w:sz w:val="16"/>
          <w:szCs w:val="16"/>
          <w:color w:val="auto"/>
        </w:rPr>
        <w:t>The vehicle sales at GM's China joint ventures presented in the following table are included in GM's retail vehicle sales on the preceding page (vehicles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40" w:type="dxa"/>
            <w:vAlign w:val="bottom"/>
            <w:tcBorders>
              <w:bottom w:val="single" w:sz="8" w:color="auto"/>
            </w:tcBorders>
            <w:gridSpan w:val="5"/>
          </w:tcPr>
          <w:p>
            <w:pPr>
              <w:ind w:left="10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3260" w:type="dxa"/>
            <w:vAlign w:val="bottom"/>
            <w:tcBorders>
              <w:bottom w:val="single" w:sz="8" w:color="auto"/>
            </w:tcBorders>
            <w:gridSpan w:val="5"/>
          </w:tcPr>
          <w:p>
            <w:pPr>
              <w:jc w:val="right"/>
              <w:ind w:right="1161"/>
              <w:spacing w:after="0"/>
              <w:rPr>
                <w:sz w:val="20"/>
                <w:szCs w:val="20"/>
                <w:color w:val="auto"/>
              </w:rPr>
            </w:pPr>
            <w:r>
              <w:rPr>
                <w:rFonts w:ascii="Arial" w:cs="Arial" w:eastAsia="Arial" w:hAnsi="Arial"/>
                <w:sz w:val="13"/>
                <w:szCs w:val="13"/>
                <w:b w:val="1"/>
                <w:bCs w:val="1"/>
                <w:color w:val="auto"/>
              </w:rPr>
              <w:t>Years Ended</w:t>
            </w:r>
          </w:p>
        </w:tc>
      </w:tr>
      <w:tr>
        <w:trPr>
          <w:trHeight w:val="264"/>
        </w:trPr>
        <w:tc>
          <w:tcPr>
            <w:tcW w:w="4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3"/>
          </w:tcPr>
          <w:p>
            <w:pPr>
              <w:ind w:left="240"/>
              <w:spacing w:after="0"/>
              <w:rPr>
                <w:sz w:val="20"/>
                <w:szCs w:val="20"/>
                <w:color w:val="auto"/>
              </w:rPr>
            </w:pPr>
            <w:r>
              <w:rPr>
                <w:rFonts w:ascii="Arial" w:cs="Arial" w:eastAsia="Arial" w:hAnsi="Arial"/>
                <w:sz w:val="13"/>
                <w:szCs w:val="13"/>
                <w:b w:val="1"/>
                <w:bCs w:val="1"/>
                <w:color w:val="auto"/>
              </w:rPr>
              <w:t>December 31, 2017</w:t>
            </w:r>
          </w:p>
        </w:tc>
        <w:tc>
          <w:tcPr>
            <w:tcW w:w="1740" w:type="dxa"/>
            <w:vAlign w:val="bottom"/>
            <w:gridSpan w:val="3"/>
          </w:tcPr>
          <w:p>
            <w:pPr>
              <w:ind w:left="240"/>
              <w:spacing w:after="0"/>
              <w:rPr>
                <w:sz w:val="20"/>
                <w:szCs w:val="20"/>
                <w:color w:val="auto"/>
              </w:rPr>
            </w:pPr>
            <w:r>
              <w:rPr>
                <w:rFonts w:ascii="Arial" w:cs="Arial" w:eastAsia="Arial" w:hAnsi="Arial"/>
                <w:sz w:val="13"/>
                <w:szCs w:val="13"/>
                <w:b w:val="1"/>
                <w:bCs w:val="1"/>
                <w:color w:val="auto"/>
              </w:rPr>
              <w:t>December 31, 2016</w:t>
            </w:r>
          </w:p>
        </w:tc>
        <w:tc>
          <w:tcPr>
            <w:tcW w:w="1680" w:type="dxa"/>
            <w:vAlign w:val="bottom"/>
            <w:gridSpan w:val="4"/>
          </w:tcPr>
          <w:p>
            <w:pPr>
              <w:ind w:left="220"/>
              <w:spacing w:after="0"/>
              <w:rPr>
                <w:sz w:val="20"/>
                <w:szCs w:val="20"/>
                <w:color w:val="auto"/>
              </w:rPr>
            </w:pPr>
            <w:r>
              <w:rPr>
                <w:rFonts w:ascii="Arial" w:cs="Arial" w:eastAsia="Arial" w:hAnsi="Arial"/>
                <w:sz w:val="13"/>
                <w:szCs w:val="13"/>
                <w:b w:val="1"/>
                <w:bCs w:val="1"/>
                <w:color w:val="auto"/>
              </w:rPr>
              <w:t>December 31, 2017</w:t>
            </w:r>
          </w:p>
        </w:tc>
        <w:tc>
          <w:tcPr>
            <w:tcW w:w="1580" w:type="dxa"/>
            <w:vAlign w:val="bottom"/>
          </w:tcPr>
          <w:p>
            <w:pPr>
              <w:jc w:val="right"/>
              <w:ind w:right="141"/>
              <w:spacing w:after="0"/>
              <w:rPr>
                <w:sz w:val="20"/>
                <w:szCs w:val="20"/>
                <w:color w:val="auto"/>
              </w:rPr>
            </w:pPr>
            <w:r>
              <w:rPr>
                <w:rFonts w:ascii="Arial" w:cs="Arial" w:eastAsia="Arial" w:hAnsi="Arial"/>
                <w:sz w:val="13"/>
                <w:szCs w:val="13"/>
                <w:b w:val="1"/>
                <w:bCs w:val="1"/>
                <w:color w:val="auto"/>
              </w:rPr>
              <w:t>December 31, 2016</w:t>
            </w:r>
          </w:p>
        </w:tc>
      </w:tr>
      <w:tr>
        <w:trPr>
          <w:trHeight w:val="257"/>
        </w:trPr>
        <w:tc>
          <w:tcPr>
            <w:tcW w:w="47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SAIC General Motors Sales Co., Ltd.(a)</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6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1,806</w:t>
            </w:r>
          </w:p>
        </w:tc>
      </w:tr>
      <w:tr>
        <w:trPr>
          <w:trHeight w:val="218"/>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SAIC GM Wuling Automobile Co., Ltd. and FAW-GM Light Duty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95"/>
        </w:trPr>
        <w:tc>
          <w:tcPr>
            <w:tcW w:w="4700" w:type="dxa"/>
            <w:vAlign w:val="bottom"/>
            <w:gridSpan w:val="2"/>
          </w:tcPr>
          <w:p>
            <w:pPr>
              <w:ind w:left="200"/>
              <w:spacing w:after="0"/>
              <w:rPr>
                <w:sz w:val="20"/>
                <w:szCs w:val="20"/>
                <w:color w:val="auto"/>
              </w:rPr>
            </w:pPr>
            <w:r>
              <w:rPr>
                <w:rFonts w:ascii="Arial" w:cs="Arial" w:eastAsia="Arial" w:hAnsi="Arial"/>
                <w:sz w:val="16"/>
                <w:szCs w:val="16"/>
                <w:color w:val="auto"/>
              </w:rPr>
              <w:t>Commercial Vehicle Co., Ltd.(a)</w:t>
            </w:r>
          </w:p>
        </w:tc>
        <w:tc>
          <w:tcPr>
            <w:tcW w:w="1500" w:type="dxa"/>
            <w:vAlign w:val="bottom"/>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2,135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2,108</w:t>
            </w:r>
          </w:p>
        </w:tc>
      </w:tr>
      <w:tr>
        <w:trPr>
          <w:trHeight w:val="634"/>
        </w:trPr>
        <w:tc>
          <w:tcPr>
            <w:tcW w:w="4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981"/>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right"/>
              <w:ind w:right="1221"/>
              <w:spacing w:after="0"/>
              <w:rPr>
                <w:sz w:val="20"/>
                <w:szCs w:val="20"/>
                <w:color w:val="auto"/>
              </w:rPr>
            </w:pPr>
            <w:r>
              <w:rPr>
                <w:rFonts w:ascii="Arial" w:cs="Arial" w:eastAsia="Arial" w:hAnsi="Arial"/>
                <w:sz w:val="13"/>
                <w:szCs w:val="13"/>
                <w:b w:val="1"/>
                <w:bCs w:val="1"/>
                <w:color w:val="auto"/>
              </w:rPr>
              <w:t>Years Ended</w:t>
            </w:r>
          </w:p>
        </w:tc>
      </w:tr>
      <w:tr>
        <w:trPr>
          <w:trHeight w:val="264"/>
        </w:trPr>
        <w:tc>
          <w:tcPr>
            <w:tcW w:w="45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December 31, 2017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December 31, 2016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December 31, 2017</w:t>
            </w:r>
          </w:p>
        </w:tc>
        <w:tc>
          <w:tcPr>
            <w:tcW w:w="100" w:type="dxa"/>
            <w:vAlign w:val="bottom"/>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December 31, 2016</w:t>
            </w: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Market Share</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United States – Cars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60"/>
        </w:trPr>
        <w:tc>
          <w:tcPr>
            <w:tcW w:w="4700" w:type="dxa"/>
            <w:vAlign w:val="bottom"/>
            <w:gridSpan w:val="2"/>
          </w:tcPr>
          <w:p>
            <w:pPr>
              <w:ind w:left="200"/>
              <w:spacing w:after="0"/>
              <w:rPr>
                <w:sz w:val="20"/>
                <w:szCs w:val="20"/>
                <w:color w:val="auto"/>
              </w:rPr>
            </w:pPr>
            <w:r>
              <w:rPr>
                <w:rFonts w:ascii="Arial" w:cs="Arial" w:eastAsia="Arial" w:hAnsi="Arial"/>
                <w:sz w:val="16"/>
                <w:szCs w:val="16"/>
                <w:color w:val="auto"/>
              </w:rPr>
              <w:t>United States – Trucks</w:t>
            </w:r>
          </w:p>
        </w:tc>
        <w:tc>
          <w:tcPr>
            <w:tcW w:w="150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80"/>
        </w:trPr>
        <w:tc>
          <w:tcPr>
            <w:tcW w:w="4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United States – Crossovers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60"/>
        </w:trPr>
        <w:tc>
          <w:tcPr>
            <w:tcW w:w="4700" w:type="dxa"/>
            <w:vAlign w:val="bottom"/>
            <w:gridSpan w:val="2"/>
          </w:tcPr>
          <w:p>
            <w:pPr>
              <w:ind w:left="200"/>
              <w:spacing w:after="0"/>
              <w:rPr>
                <w:sz w:val="20"/>
                <w:szCs w:val="20"/>
                <w:color w:val="auto"/>
              </w:rPr>
            </w:pPr>
            <w:r>
              <w:rPr>
                <w:rFonts w:ascii="Arial" w:cs="Arial" w:eastAsia="Arial" w:hAnsi="Arial"/>
                <w:sz w:val="16"/>
                <w:szCs w:val="16"/>
                <w:color w:val="auto"/>
              </w:rPr>
              <w:t>Total United States</w:t>
            </w:r>
          </w:p>
        </w:tc>
        <w:tc>
          <w:tcPr>
            <w:tcW w:w="150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80"/>
        </w:trPr>
        <w:tc>
          <w:tcPr>
            <w:tcW w:w="4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North America</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60"/>
        </w:trPr>
        <w:tc>
          <w:tcPr>
            <w:tcW w:w="4700" w:type="dxa"/>
            <w:vAlign w:val="bottom"/>
            <w:gridSpan w:val="2"/>
          </w:tcPr>
          <w:p>
            <w:pPr>
              <w:ind w:left="200"/>
              <w:spacing w:after="0"/>
              <w:rPr>
                <w:sz w:val="20"/>
                <w:szCs w:val="20"/>
                <w:color w:val="auto"/>
              </w:rPr>
            </w:pPr>
            <w:r>
              <w:rPr>
                <w:rFonts w:ascii="Arial" w:cs="Arial" w:eastAsia="Arial" w:hAnsi="Arial"/>
                <w:sz w:val="16"/>
                <w:szCs w:val="16"/>
                <w:color w:val="auto"/>
              </w:rPr>
              <w:t>Total Asia/Pacific, Middle East and Africa(a)</w:t>
            </w:r>
          </w:p>
        </w:tc>
        <w:tc>
          <w:tcPr>
            <w:tcW w:w="15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80"/>
        </w:trPr>
        <w:tc>
          <w:tcPr>
            <w:tcW w:w="4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South America</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Total GM Market</w:t>
            </w:r>
          </w:p>
        </w:tc>
        <w:tc>
          <w:tcPr>
            <w:tcW w:w="150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80"/>
        </w:trPr>
        <w:tc>
          <w:tcPr>
            <w:tcW w:w="4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Europe</w:t>
            </w:r>
          </w:p>
        </w:tc>
        <w:tc>
          <w:tcPr>
            <w:tcW w:w="17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Total Worldwide</w:t>
            </w:r>
          </w:p>
        </w:tc>
        <w:tc>
          <w:tcPr>
            <w:tcW w:w="15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172"/>
        </w:trPr>
        <w:tc>
          <w:tcPr>
            <w:tcW w:w="4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18"/>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United States fleet sales as a percentage of retail vehicle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4"/>
        </w:trPr>
        <w:tc>
          <w:tcPr>
            <w:tcW w:w="4700" w:type="dxa"/>
            <w:vAlign w:val="bottom"/>
            <w:gridSpan w:val="2"/>
          </w:tcPr>
          <w:p>
            <w:pPr>
              <w:ind w:left="200"/>
              <w:spacing w:after="0"/>
              <w:rPr>
                <w:sz w:val="20"/>
                <w:szCs w:val="20"/>
                <w:color w:val="auto"/>
              </w:rPr>
            </w:pPr>
            <w:r>
              <w:rPr>
                <w:rFonts w:ascii="Arial" w:cs="Arial" w:eastAsia="Arial" w:hAnsi="Arial"/>
                <w:sz w:val="16"/>
                <w:szCs w:val="16"/>
                <w:color w:val="auto"/>
              </w:rPr>
              <w:t>sales</w:t>
            </w:r>
          </w:p>
        </w:tc>
        <w:tc>
          <w:tcPr>
            <w:tcW w:w="150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172"/>
        </w:trPr>
        <w:tc>
          <w:tcPr>
            <w:tcW w:w="4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51"/>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North America capacity two shift utilization</w:t>
            </w:r>
          </w:p>
        </w:tc>
        <w:tc>
          <w:tcPr>
            <w:tcW w:w="1500" w:type="dxa"/>
            <w:vAlign w:val="bottom"/>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98.4%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108.3%</w:t>
            </w:r>
          </w:p>
        </w:tc>
      </w:tr>
      <w:tr>
        <w:trPr>
          <w:trHeight w:val="186"/>
        </w:trPr>
        <w:tc>
          <w:tcPr>
            <w:tcW w:w="4560" w:type="dxa"/>
            <w:vAlign w:val="bottom"/>
          </w:tcPr>
          <w:p>
            <w:pPr>
              <w:spacing w:after="0"/>
              <w:rPr>
                <w:sz w:val="20"/>
                <w:szCs w:val="20"/>
                <w:color w:val="auto"/>
              </w:rPr>
            </w:pPr>
            <w:r>
              <w:rPr>
                <w:rFonts w:ascii="Arial" w:cs="Arial" w:eastAsia="Arial" w:hAnsi="Arial"/>
                <w:sz w:val="14"/>
                <w:szCs w:val="14"/>
                <w:color w:val="auto"/>
              </w:rPr>
              <w:t>_______</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ind w:left="340" w:hanging="332"/>
        <w:spacing w:after="0" w:line="258"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the three months ended March 31, 2017 we began using estimated vehicle registrations data as the basis for calculating industry volume and market share in China. In the three months and year ended December 31, 2016, wholesale volumes were used for Industry, GM and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5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5"/>
          </w:tcPr>
          <w:p>
            <w:pPr>
              <w:ind w:left="120"/>
              <w:spacing w:after="0"/>
              <w:rPr>
                <w:sz w:val="20"/>
                <w:szCs w:val="20"/>
                <w:color w:val="auto"/>
              </w:rPr>
            </w:pPr>
            <w:r>
              <w:rPr>
                <w:rFonts w:ascii="Arial" w:cs="Arial" w:eastAsia="Arial" w:hAnsi="Arial"/>
                <w:sz w:val="11"/>
                <w:szCs w:val="11"/>
                <w:b w:val="1"/>
                <w:bCs w:val="1"/>
                <w:color w:val="auto"/>
              </w:rPr>
              <w:t>Year Ended December 31, 2017</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5"/>
          </w:tcPr>
          <w:p>
            <w:pPr>
              <w:ind w:left="100"/>
              <w:spacing w:after="0"/>
              <w:rPr>
                <w:sz w:val="20"/>
                <w:szCs w:val="20"/>
                <w:color w:val="auto"/>
              </w:rPr>
            </w:pPr>
            <w:r>
              <w:rPr>
                <w:rFonts w:ascii="Arial" w:cs="Arial" w:eastAsia="Arial" w:hAnsi="Arial"/>
                <w:sz w:val="11"/>
                <w:szCs w:val="11"/>
                <w:b w:val="1"/>
                <w:bCs w:val="1"/>
                <w:color w:val="auto"/>
              </w:rPr>
              <w:t>Year Ended December 31, 2016</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Combined</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21"/>
                <w:szCs w:val="21"/>
                <w:color w:val="auto"/>
              </w:rPr>
            </w:pPr>
          </w:p>
        </w:tc>
        <w:tc>
          <w:tcPr>
            <w:tcW w:w="740" w:type="dxa"/>
            <w:vAlign w:val="bottom"/>
          </w:tcPr>
          <w:p>
            <w:pPr>
              <w:jc w:val="right"/>
              <w:ind w:right="109"/>
              <w:spacing w:after="0"/>
              <w:rPr>
                <w:sz w:val="20"/>
                <w:szCs w:val="20"/>
                <w:color w:val="auto"/>
              </w:rPr>
            </w:pPr>
            <w:r>
              <w:rPr>
                <w:rFonts w:ascii="Arial" w:cs="Arial" w:eastAsia="Arial" w:hAnsi="Arial"/>
                <w:sz w:val="11"/>
                <w:szCs w:val="11"/>
                <w:b w:val="1"/>
                <w:bCs w:val="1"/>
                <w:color w:val="auto"/>
              </w:rPr>
              <w:t>Combined</w:t>
            </w:r>
          </w:p>
        </w:tc>
        <w:tc>
          <w:tcPr>
            <w:tcW w:w="0" w:type="dxa"/>
            <w:vAlign w:val="bottom"/>
          </w:tcPr>
          <w:p>
            <w:pPr>
              <w:spacing w:after="0"/>
              <w:rPr>
                <w:sz w:val="1"/>
                <w:szCs w:val="1"/>
                <w:color w:val="auto"/>
              </w:rPr>
            </w:pPr>
          </w:p>
        </w:tc>
      </w:tr>
      <w:tr>
        <w:trPr>
          <w:trHeight w:val="2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sales and revenue</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Automotive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133,607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133,449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140,205</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140,205</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180"/>
              <w:spacing w:after="0"/>
              <w:rPr>
                <w:sz w:val="20"/>
                <w:szCs w:val="20"/>
                <w:color w:val="auto"/>
              </w:rPr>
            </w:pPr>
            <w:r>
              <w:rPr>
                <w:rFonts w:ascii="Arial" w:cs="Arial" w:eastAsia="Arial" w:hAnsi="Arial"/>
                <w:sz w:val="14"/>
                <w:szCs w:val="14"/>
                <w:color w:val="auto"/>
              </w:rPr>
              <w:t>GM Financial</w:t>
            </w:r>
          </w:p>
        </w:tc>
        <w:tc>
          <w:tcPr>
            <w:tcW w:w="14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12,151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12,139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4"/>
                <w:szCs w:val="14"/>
                <w:color w:val="auto"/>
              </w:rPr>
              <w:t>8,983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8,979</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net sales and revenue</w:t>
            </w: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133,607</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12,151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(170)</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145,588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140,205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8,983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149,184</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Automotive cost of sales</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115,032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114,869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120,503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120,499</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100" w:type="dxa"/>
            <w:vAlign w:val="bottom"/>
          </w:tcPr>
          <w:p>
            <w:pPr>
              <w:ind w:left="180"/>
              <w:spacing w:after="0"/>
              <w:rPr>
                <w:sz w:val="20"/>
                <w:szCs w:val="20"/>
                <w:color w:val="auto"/>
              </w:rPr>
            </w:pPr>
            <w:r>
              <w:rPr>
                <w:rFonts w:ascii="Arial" w:cs="Arial" w:eastAsia="Arial" w:hAnsi="Arial"/>
                <w:sz w:val="14"/>
                <w:szCs w:val="14"/>
                <w:color w:val="auto"/>
              </w:rPr>
              <w:t>GM Financial interest, operating and other</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00" w:type="dxa"/>
            <w:vAlign w:val="bottom"/>
          </w:tcPr>
          <w:p>
            <w:pPr>
              <w:ind w:left="340"/>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11,128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11,128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8,372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8,369</w:t>
            </w: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Automotive selling, general and</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administrative expense</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9,575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9,575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10,354</w:t>
            </w:r>
          </w:p>
        </w:tc>
        <w:tc>
          <w:tcPr>
            <w:tcW w:w="0" w:type="dxa"/>
            <w:vAlign w:val="bottom"/>
          </w:tcPr>
          <w:p>
            <w:pPr>
              <w:spacing w:after="0"/>
              <w:rPr>
                <w:sz w:val="1"/>
                <w:szCs w:val="1"/>
                <w:color w:val="auto"/>
              </w:rPr>
            </w:pPr>
          </w:p>
        </w:tc>
      </w:tr>
      <w:tr>
        <w:trPr>
          <w:trHeight w:val="184"/>
        </w:trPr>
        <w:tc>
          <w:tcPr>
            <w:tcW w:w="3100" w:type="dxa"/>
            <w:vAlign w:val="bottom"/>
          </w:tcPr>
          <w:p>
            <w:pPr>
              <w:ind w:left="180"/>
              <w:spacing w:after="0"/>
              <w:rPr>
                <w:sz w:val="20"/>
                <w:szCs w:val="20"/>
                <w:color w:val="auto"/>
              </w:rPr>
            </w:pPr>
            <w:r>
              <w:rPr>
                <w:rFonts w:ascii="Arial" w:cs="Arial" w:eastAsia="Arial" w:hAnsi="Arial"/>
                <w:sz w:val="14"/>
                <w:szCs w:val="14"/>
                <w:color w:val="auto"/>
              </w:rPr>
              <w:t>Total costs and expenses</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124,607</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11,128</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135,572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130,857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8,372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139,222</w:t>
            </w:r>
          </w:p>
        </w:tc>
        <w:tc>
          <w:tcPr>
            <w:tcW w:w="0" w:type="dxa"/>
            <w:vAlign w:val="bottom"/>
          </w:tcPr>
          <w:p>
            <w:pPr>
              <w:spacing w:after="0"/>
              <w:rPr>
                <w:sz w:val="1"/>
                <w:szCs w:val="1"/>
                <w:color w:val="auto"/>
              </w:rPr>
            </w:pPr>
          </w:p>
        </w:tc>
      </w:tr>
      <w:tr>
        <w:trPr>
          <w:trHeight w:val="60"/>
        </w:trPr>
        <w:tc>
          <w:tcPr>
            <w:tcW w:w="3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income</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10,016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9,348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9,962</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Automotive interest expense</w:t>
            </w: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 and other non-operating</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net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Equity income</w:t>
            </w: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1,959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2,132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2,130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2,282</w:t>
            </w:r>
          </w:p>
        </w:tc>
        <w:tc>
          <w:tcPr>
            <w:tcW w:w="0" w:type="dxa"/>
            <w:vAlign w:val="bottom"/>
          </w:tcPr>
          <w:p>
            <w:pPr>
              <w:spacing w:after="0"/>
              <w:rPr>
                <w:sz w:val="1"/>
                <w:szCs w:val="1"/>
                <w:color w:val="auto"/>
              </w:rPr>
            </w:pPr>
          </w:p>
        </w:tc>
      </w:tr>
      <w:tr>
        <w:trPr>
          <w:trHeight w:val="60"/>
        </w:trPr>
        <w:tc>
          <w:tcPr>
            <w:tcW w:w="3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10,667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11,863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11,245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12,008</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11,500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11,533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2,686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2,739</w:t>
            </w:r>
          </w:p>
        </w:tc>
        <w:tc>
          <w:tcPr>
            <w:tcW w:w="0" w:type="dxa"/>
            <w:vAlign w:val="bottom"/>
          </w:tcPr>
          <w:p>
            <w:pPr>
              <w:spacing w:after="0"/>
              <w:rPr>
                <w:sz w:val="1"/>
                <w:szCs w:val="1"/>
                <w:color w:val="auto"/>
              </w:rPr>
            </w:pPr>
          </w:p>
        </w:tc>
      </w:tr>
      <w:tr>
        <w:trPr>
          <w:trHeight w:val="60"/>
        </w:trPr>
        <w:tc>
          <w:tcPr>
            <w:tcW w:w="3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continuing operations</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1,163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8,559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9,269</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100" w:type="dxa"/>
            <w:vAlign w:val="bottom"/>
          </w:tcPr>
          <w:p>
            <w:pPr>
              <w:ind w:left="40"/>
              <w:spacing w:after="0"/>
              <w:rPr>
                <w:sz w:val="20"/>
                <w:szCs w:val="20"/>
                <w:color w:val="auto"/>
              </w:rPr>
            </w:pPr>
            <w:r>
              <w:rPr>
                <w:rFonts w:ascii="Arial" w:cs="Arial" w:eastAsia="Arial" w:hAnsi="Arial"/>
                <w:sz w:val="14"/>
                <w:szCs w:val="14"/>
                <w:color w:val="auto"/>
              </w:rPr>
              <w:t>Income (loss) from discontinued operations,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net of tax</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(3,797)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(4,630)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748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8,440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9,268</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100" w:type="dxa"/>
            <w:vAlign w:val="bottom"/>
          </w:tcPr>
          <w:p>
            <w:pPr>
              <w:ind w:left="40"/>
              <w:spacing w:after="0"/>
              <w:rPr>
                <w:sz w:val="20"/>
                <w:szCs w:val="20"/>
                <w:color w:val="auto"/>
              </w:rPr>
            </w:pPr>
            <w:r>
              <w:rPr>
                <w:rFonts w:ascii="Arial" w:cs="Arial" w:eastAsia="Arial" w:hAnsi="Arial"/>
                <w:sz w:val="14"/>
                <w:szCs w:val="14"/>
                <w:color w:val="auto"/>
              </w:rPr>
              <w:t>Net loss attributable to noncontrolling</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00" w:type="dxa"/>
            <w:vAlign w:val="bottom"/>
          </w:tcPr>
          <w:p>
            <w:pPr>
              <w:ind w:left="20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62"/>
        </w:trPr>
        <w:tc>
          <w:tcPr>
            <w:tcW w:w="3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w:t>
            </w: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748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8,599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9,427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common</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8,599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3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basic and diluted earnings (loss) per share (in millions,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941"/>
              <w:spacing w:after="0"/>
              <w:rPr>
                <w:sz w:val="20"/>
                <w:szCs w:val="20"/>
                <w:color w:val="auto"/>
              </w:rPr>
            </w:pPr>
            <w:r>
              <w:rPr>
                <w:rFonts w:ascii="Arial" w:cs="Arial" w:eastAsia="Arial" w:hAnsi="Arial"/>
                <w:sz w:val="13"/>
                <w:szCs w:val="13"/>
                <w:b w:val="1"/>
                <w:bCs w:val="1"/>
                <w:color w:val="auto"/>
              </w:rPr>
              <w:t>Years Ended</w:t>
            </w:r>
          </w:p>
        </w:tc>
        <w:tc>
          <w:tcPr>
            <w:tcW w:w="0" w:type="dxa"/>
            <w:vAlign w:val="bottom"/>
          </w:tcPr>
          <w:p>
            <w:pPr>
              <w:spacing w:after="0"/>
              <w:rPr>
                <w:sz w:val="1"/>
                <w:szCs w:val="1"/>
                <w:color w:val="auto"/>
              </w:rPr>
            </w:pPr>
          </w:p>
        </w:tc>
      </w:tr>
      <w:tr>
        <w:trPr>
          <w:trHeight w:val="248"/>
        </w:trPr>
        <w:tc>
          <w:tcPr>
            <w:tcW w:w="5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2017</w:t>
            </w:r>
          </w:p>
        </w:tc>
        <w:tc>
          <w:tcPr>
            <w:tcW w:w="140" w:type="dxa"/>
            <w:vAlign w:val="bottom"/>
          </w:tcPr>
          <w:p>
            <w:pPr>
              <w:spacing w:after="0"/>
              <w:rPr>
                <w:sz w:val="21"/>
                <w:szCs w:val="21"/>
                <w:color w:val="auto"/>
              </w:rPr>
            </w:pPr>
          </w:p>
        </w:tc>
        <w:tc>
          <w:tcPr>
            <w:tcW w:w="132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2016</w:t>
            </w:r>
          </w:p>
        </w:tc>
        <w:tc>
          <w:tcPr>
            <w:tcW w:w="160" w:type="dxa"/>
            <w:vAlign w:val="bottom"/>
          </w:tcPr>
          <w:p>
            <w:pPr>
              <w:spacing w:after="0"/>
              <w:rPr>
                <w:sz w:val="21"/>
                <w:szCs w:val="21"/>
                <w:color w:val="auto"/>
              </w:rPr>
            </w:pPr>
          </w:p>
        </w:tc>
        <w:tc>
          <w:tcPr>
            <w:tcW w:w="132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2017</w:t>
            </w:r>
          </w:p>
        </w:tc>
        <w:tc>
          <w:tcPr>
            <w:tcW w:w="160" w:type="dxa"/>
            <w:vAlign w:val="bottom"/>
          </w:tcPr>
          <w:p>
            <w:pPr>
              <w:spacing w:after="0"/>
              <w:rPr>
                <w:sz w:val="21"/>
                <w:szCs w:val="21"/>
                <w:color w:val="auto"/>
              </w:rPr>
            </w:pPr>
          </w:p>
        </w:tc>
        <w:tc>
          <w:tcPr>
            <w:tcW w:w="1200" w:type="dxa"/>
            <w:vAlign w:val="bottom"/>
          </w:tcPr>
          <w:p>
            <w:pPr>
              <w:jc w:val="right"/>
              <w:ind w:right="121"/>
              <w:spacing w:after="0"/>
              <w:rPr>
                <w:sz w:val="20"/>
                <w:szCs w:val="20"/>
                <w:color w:val="auto"/>
              </w:rPr>
            </w:pPr>
            <w:r>
              <w:rPr>
                <w:rFonts w:ascii="Arial" w:cs="Arial" w:eastAsia="Arial" w:hAnsi="Arial"/>
                <w:sz w:val="11"/>
                <w:szCs w:val="11"/>
                <w:b w:val="1"/>
                <w:bCs w:val="1"/>
                <w:color w:val="auto"/>
                <w:w w:val="98"/>
              </w:rPr>
              <w:t>December 31, 2016</w:t>
            </w:r>
          </w:p>
        </w:tc>
        <w:tc>
          <w:tcPr>
            <w:tcW w:w="0" w:type="dxa"/>
            <w:vAlign w:val="bottom"/>
          </w:tcPr>
          <w:p>
            <w:pPr>
              <w:spacing w:after="0"/>
              <w:rPr>
                <w:sz w:val="1"/>
                <w:szCs w:val="1"/>
                <w:color w:val="auto"/>
              </w:rPr>
            </w:pPr>
          </w:p>
        </w:tc>
      </w:tr>
      <w:tr>
        <w:trPr>
          <w:trHeight w:val="22"/>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Basic earnings per share</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56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(loss) from continuing operations(a)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9,428</w:t>
            </w:r>
          </w:p>
        </w:tc>
        <w:tc>
          <w:tcPr>
            <w:tcW w:w="0" w:type="dxa"/>
            <w:vAlign w:val="bottom"/>
          </w:tcPr>
          <w:p>
            <w:pPr>
              <w:spacing w:after="0"/>
              <w:rPr>
                <w:sz w:val="1"/>
                <w:szCs w:val="1"/>
                <w:color w:val="auto"/>
              </w:rPr>
            </w:pPr>
          </w:p>
        </w:tc>
      </w:tr>
      <w:tr>
        <w:trPr>
          <w:trHeight w:val="264"/>
        </w:trPr>
        <w:tc>
          <w:tcPr>
            <w:tcW w:w="5620" w:type="dxa"/>
            <w:vAlign w:val="bottom"/>
          </w:tcPr>
          <w:p>
            <w:pPr>
              <w:ind w:left="180"/>
              <w:spacing w:after="0"/>
              <w:rPr>
                <w:sz w:val="20"/>
                <w:szCs w:val="20"/>
                <w:color w:val="auto"/>
              </w:rPr>
            </w:pPr>
            <w:r>
              <w:rPr>
                <w:rFonts w:ascii="Arial" w:cs="Arial" w:eastAsia="Arial" w:hAnsi="Arial"/>
                <w:sz w:val="14"/>
                <w:szCs w:val="14"/>
                <w:color w:val="auto"/>
              </w:rPr>
              <w:t>Less: cumulative dividends on GM Financial preferred stock</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Income (loss) from continuing operations attributable to common stockholders</w:t>
            </w:r>
          </w:p>
        </w:tc>
        <w:tc>
          <w:tcPr>
            <w:tcW w:w="1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1,955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9,428</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(Loss) from discontinued operations, net of tax</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9,427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1,540</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 earnings (loss) per common share –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64"/>
        </w:trPr>
        <w:tc>
          <w:tcPr>
            <w:tcW w:w="5620" w:type="dxa"/>
            <w:vAlign w:val="bottom"/>
          </w:tcPr>
          <w:p>
            <w:pPr>
              <w:ind w:left="180"/>
              <w:spacing w:after="0"/>
              <w:rPr>
                <w:sz w:val="20"/>
                <w:szCs w:val="20"/>
                <w:color w:val="auto"/>
              </w:rPr>
            </w:pPr>
            <w:r>
              <w:rPr>
                <w:rFonts w:ascii="Arial" w:cs="Arial" w:eastAsia="Arial" w:hAnsi="Arial"/>
                <w:sz w:val="14"/>
                <w:szCs w:val="14"/>
                <w:color w:val="auto"/>
              </w:rPr>
              <w:t>Basic (loss) per common share – discontinued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 earnings (loss)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Diluted earnings per share</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(loss) from continuing operations attributable to common stockholders –</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(4,888)</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1,955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9,428</w:t>
            </w:r>
          </w:p>
        </w:tc>
        <w:tc>
          <w:tcPr>
            <w:tcW w:w="0" w:type="dxa"/>
            <w:vAlign w:val="bottom"/>
          </w:tcPr>
          <w:p>
            <w:pPr>
              <w:spacing w:after="0"/>
              <w:rPr>
                <w:sz w:val="1"/>
                <w:szCs w:val="1"/>
                <w:color w:val="auto"/>
              </w:rPr>
            </w:pPr>
          </w:p>
        </w:tc>
      </w:tr>
      <w:tr>
        <w:trPr>
          <w:trHeight w:val="184"/>
        </w:trPr>
        <w:tc>
          <w:tcPr>
            <w:tcW w:w="5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diluted(a)</w:t>
            </w:r>
          </w:p>
        </w:tc>
        <w:tc>
          <w:tcPr>
            <w:tcW w:w="16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180"/>
              <w:spacing w:after="0"/>
              <w:rPr>
                <w:sz w:val="20"/>
                <w:szCs w:val="20"/>
                <w:color w:val="auto"/>
              </w:rPr>
            </w:pPr>
            <w:r>
              <w:rPr>
                <w:rFonts w:ascii="Arial" w:cs="Arial" w:eastAsia="Arial" w:hAnsi="Arial"/>
                <w:sz w:val="14"/>
                <w:szCs w:val="14"/>
                <w:color w:val="auto"/>
              </w:rPr>
              <w:t>(Loss) from discontinued operations, net of tax – 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(4,212)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common stockholders –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9,427</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 – diluted</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1,492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 earnings (loss) per common share –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64"/>
        </w:trPr>
        <w:tc>
          <w:tcPr>
            <w:tcW w:w="5620" w:type="dxa"/>
            <w:vAlign w:val="bottom"/>
          </w:tcPr>
          <w:p>
            <w:pPr>
              <w:ind w:left="180"/>
              <w:spacing w:after="0"/>
              <w:rPr>
                <w:sz w:val="20"/>
                <w:szCs w:val="20"/>
                <w:color w:val="auto"/>
              </w:rPr>
            </w:pPr>
            <w:r>
              <w:rPr>
                <w:rFonts w:ascii="Arial" w:cs="Arial" w:eastAsia="Arial" w:hAnsi="Arial"/>
                <w:sz w:val="14"/>
                <w:szCs w:val="14"/>
                <w:color w:val="auto"/>
              </w:rPr>
              <w:t>Diluted (loss) per common share – discontinued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 earnings (loss)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67"/>
        </w:trPr>
        <w:tc>
          <w:tcPr>
            <w:tcW w:w="5620" w:type="dxa"/>
            <w:vAlign w:val="bottom"/>
          </w:tcPr>
          <w:p>
            <w:pPr>
              <w:spacing w:after="0"/>
              <w:rPr>
                <w:sz w:val="20"/>
                <w:szCs w:val="20"/>
                <w:color w:val="auto"/>
              </w:rPr>
            </w:pPr>
            <w:r>
              <w:rPr>
                <w:rFonts w:ascii="Arial" w:cs="Arial" w:eastAsia="Arial" w:hAnsi="Arial"/>
                <w:sz w:val="14"/>
                <w:szCs w:val="14"/>
                <w:color w:val="auto"/>
              </w:rPr>
              <w:t>__________</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20" w:type="dxa"/>
            <w:vAlign w:val="bottom"/>
          </w:tcPr>
          <w:p>
            <w:pPr>
              <w:spacing w:after="0"/>
              <w:rPr>
                <w:sz w:val="20"/>
                <w:szCs w:val="20"/>
                <w:color w:val="auto"/>
              </w:rPr>
            </w:pPr>
            <w:r>
              <w:rPr>
                <w:rFonts w:ascii="Arial" w:cs="Arial" w:eastAsia="Arial" w:hAnsi="Arial"/>
                <w:sz w:val="14"/>
                <w:szCs w:val="14"/>
                <w:color w:val="auto"/>
              </w:rPr>
              <w:t>(a)  Net of Net (income) loss attributable to noncontrolling interests.</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37" w:right="239" w:bottom="1440" w:gutter="0" w:footer="0" w:header="0"/>
        </w:sectPr>
      </w:pPr>
    </w:p>
    <w:bookmarkStart w:id="19" w:name="page20"/>
    <w:bookmarkEnd w:id="19"/>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Combining Balance Sheet Information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except per share amounts) (Unaudited)</w:t>
      </w:r>
    </w:p>
    <w:p>
      <w:pPr>
        <w:sectPr>
          <w:pgSz w:w="11900" w:h="16902"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70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and notes receivable, net(a)</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receivables, net(b)</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Inventories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Current assets held for sale(c)</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assets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receivables, net(b)</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Equity in net assets of nonconsolidated affiliates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Goodwill and intangible assets,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Non-current assets held for sale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assets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Assets</w:t>
      </w:r>
    </w:p>
    <w:p>
      <w:pPr>
        <w:spacing w:after="0" w:line="121" w:lineRule="exact"/>
        <w:rPr>
          <w:sz w:val="20"/>
          <w:szCs w:val="20"/>
          <w:color w:val="auto"/>
        </w:rPr>
      </w:pPr>
    </w:p>
    <w:p>
      <w:pPr>
        <w:jc w:val="center"/>
        <w:ind w:left="700"/>
        <w:spacing w:after="0"/>
        <w:rPr>
          <w:sz w:val="20"/>
          <w:szCs w:val="20"/>
          <w:color w:val="auto"/>
        </w:rPr>
      </w:pPr>
      <w:r>
        <w:rPr>
          <w:rFonts w:ascii="Arial" w:cs="Arial" w:eastAsia="Arial" w:hAnsi="Arial"/>
          <w:sz w:val="13"/>
          <w:szCs w:val="13"/>
          <w:b w:val="1"/>
          <w:bCs w:val="1"/>
          <w:color w:val="auto"/>
        </w:rPr>
        <w:t>LIABILITIES AND EQUITY</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ind w:left="460"/>
              <w:spacing w:after="0"/>
              <w:rPr>
                <w:sz w:val="20"/>
                <w:szCs w:val="20"/>
                <w:color w:val="auto"/>
              </w:rPr>
            </w:pPr>
            <w:r>
              <w:rPr>
                <w:rFonts w:ascii="Arial" w:cs="Arial" w:eastAsia="Arial" w:hAnsi="Arial"/>
                <w:sz w:val="11"/>
                <w:szCs w:val="11"/>
                <w:b w:val="1"/>
                <w:bCs w:val="1"/>
                <w:color w:val="auto"/>
              </w:rPr>
              <w:t>December 31, 2017</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ind w:left="420"/>
              <w:spacing w:after="0"/>
              <w:rPr>
                <w:sz w:val="20"/>
                <w:szCs w:val="20"/>
                <w:color w:val="auto"/>
              </w:rPr>
            </w:pPr>
            <w:r>
              <w:rPr>
                <w:rFonts w:ascii="Arial" w:cs="Arial" w:eastAsia="Arial" w:hAnsi="Arial"/>
                <w:sz w:val="11"/>
                <w:szCs w:val="11"/>
                <w:b w:val="1"/>
                <w:bCs w:val="1"/>
                <w:color w:val="auto"/>
              </w:rPr>
              <w:t>December 31, 2016</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32"/>
        </w:trPr>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20"/>
              <w:spacing w:after="0"/>
              <w:rPr>
                <w:sz w:val="20"/>
                <w:szCs w:val="20"/>
                <w:color w:val="auto"/>
              </w:rPr>
            </w:pPr>
            <w:r>
              <w:rPr>
                <w:rFonts w:ascii="Arial" w:cs="Arial" w:eastAsia="Arial" w:hAnsi="Arial"/>
                <w:sz w:val="9"/>
                <w:szCs w:val="9"/>
                <w:b w:val="1"/>
                <w:bCs w:val="1"/>
                <w:color w:val="auto"/>
              </w:rPr>
              <w:t>Reclassifications /</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9"/>
                <w:szCs w:val="9"/>
                <w:b w:val="1"/>
                <w:bCs w:val="1"/>
                <w:color w:val="auto"/>
              </w:rPr>
              <w:t>Reclassifications /</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5"/>
        </w:trPr>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18"/>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b w:val="1"/>
                <w:bCs w:val="1"/>
                <w:color w:val="auto"/>
                <w:w w:val="99"/>
              </w:rPr>
              <w:t>GM Financial</w:t>
            </w: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9"/>
                <w:szCs w:val="9"/>
                <w:b w:val="1"/>
                <w:bCs w:val="1"/>
                <w:color w:val="auto"/>
              </w:rPr>
              <w:t>Eliminations</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9"/>
                <w:szCs w:val="9"/>
                <w:b w:val="1"/>
                <w:bCs w:val="1"/>
                <w:color w:val="auto"/>
              </w:rPr>
              <w:t>Combined</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9"/>
                <w:szCs w:val="9"/>
                <w:b w:val="1"/>
                <w:bCs w:val="1"/>
                <w:color w:val="auto"/>
                <w:w w:val="96"/>
              </w:rPr>
              <w:t>GM Financial</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9"/>
                <w:szCs w:val="9"/>
                <w:b w:val="1"/>
                <w:bCs w:val="1"/>
                <w:color w:val="auto"/>
              </w:rPr>
              <w:t>Eliminations</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58"/>
              <w:spacing w:after="0"/>
              <w:rPr>
                <w:sz w:val="20"/>
                <w:szCs w:val="20"/>
                <w:color w:val="auto"/>
              </w:rPr>
            </w:pPr>
            <w:r>
              <w:rPr>
                <w:rFonts w:ascii="Arial" w:cs="Arial" w:eastAsia="Arial" w:hAnsi="Arial"/>
                <w:sz w:val="9"/>
                <w:szCs w:val="9"/>
                <w:b w:val="1"/>
                <w:bCs w:val="1"/>
                <w:color w:val="auto"/>
              </w:rPr>
              <w:t>Combined</w:t>
            </w:r>
          </w:p>
        </w:tc>
      </w:tr>
      <w:tr>
        <w:trPr>
          <w:trHeight w:val="794"/>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11,247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4,265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15,512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9,759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2,815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12,574</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8,313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8,313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11,841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11,841</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7,759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806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3"/>
                <w:szCs w:val="13"/>
                <w:color w:val="auto"/>
              </w:rPr>
              <w:t>(401)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8,164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8,568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801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8,700</w:t>
            </w:r>
          </w:p>
        </w:tc>
      </w:tr>
      <w:tr>
        <w:trPr>
          <w:trHeight w:val="270"/>
        </w:trPr>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20,901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20,521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16,474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16,127</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10,663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10,663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11,040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11,040</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1,106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1,106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1,110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1,110</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1,396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3,069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4,465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1,658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1,975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3,633</w:t>
            </w:r>
          </w:p>
        </w:tc>
      </w:tr>
      <w:tr>
        <w:trPr>
          <w:trHeight w:val="280"/>
        </w:trPr>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4,591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6,883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11,178</w:t>
            </w:r>
          </w:p>
        </w:tc>
      </w:tr>
      <w:tr>
        <w:trPr>
          <w:trHeight w:val="241"/>
        </w:trPr>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40,484</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29,041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3"/>
                <w:szCs w:val="13"/>
                <w:color w:val="auto"/>
              </w:rPr>
              <w:t>(781)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68,744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48,567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28,948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76,203</w:t>
            </w:r>
          </w:p>
        </w:tc>
      </w:tr>
      <w:tr>
        <w:trPr>
          <w:trHeight w:val="540"/>
        </w:trPr>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21,271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21,208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17,001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17,001</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7,886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1,187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9,073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8,052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944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8,996</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35,994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36,253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32,389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32,603</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4,482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1,367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5,849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4,783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1,366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6,149</w:t>
            </w:r>
          </w:p>
        </w:tc>
      </w:tr>
      <w:tr>
        <w:trPr>
          <w:trHeight w:val="270"/>
        </w:trPr>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42,882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42,882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34,342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34,342</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23,229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315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23,544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32,931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33,172</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4,000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929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4,929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3,038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811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3,849</w:t>
            </w:r>
          </w:p>
        </w:tc>
      </w:tr>
      <w:tr>
        <w:trPr>
          <w:trHeight w:val="280"/>
        </w:trPr>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5,295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4,080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9,375</w:t>
            </w:r>
          </w:p>
        </w:tc>
      </w:tr>
      <w:tr>
        <w:trPr>
          <w:trHeight w:val="250"/>
        </w:trPr>
        <w:tc>
          <w:tcPr>
            <w:tcW w:w="140" w:type="dxa"/>
            <w:vAlign w:val="bottom"/>
          </w:tcPr>
          <w:p>
            <w:pPr>
              <w:spacing w:after="0"/>
              <w:rPr>
                <w:sz w:val="21"/>
                <w:szCs w:val="21"/>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75,591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68,210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143,738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86,488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58,999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145,487</w:t>
            </w: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116,075</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97,251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3"/>
                <w:szCs w:val="13"/>
                <w:color w:val="auto"/>
              </w:rPr>
              <w:t>(844)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212,482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135,055</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87,947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(1,312)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221,690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-3446780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-3103880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-2760980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-2417445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-2074545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-1731645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-1388745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-1045845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-702310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-16510</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75" w:lineRule="exact"/>
        <w:rPr>
          <w:sz w:val="20"/>
          <w:szCs w:val="20"/>
          <w:color w:val="auto"/>
        </w:rPr>
      </w:pPr>
    </w:p>
    <w:p>
      <w:pPr>
        <w:sectPr>
          <w:pgSz w:w="11900" w:h="16902" w:orient="portrait"/>
          <w:cols w:equalWidth="0" w:num="2">
            <w:col w:w="2860" w:space="680"/>
            <w:col w:w="7880"/>
          </w:cols>
          <w:pgMar w:left="240" w:top="337" w:right="239" w:bottom="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payable (principally trade)(a)</w:t>
      </w:r>
    </w:p>
    <w:p>
      <w:pPr>
        <w:spacing w:after="0" w:line="121" w:lineRule="exact"/>
        <w:rPr>
          <w:sz w:val="20"/>
          <w:szCs w:val="20"/>
          <w:color w:val="auto"/>
        </w:rPr>
      </w:pPr>
    </w:p>
    <w:p>
      <w:pPr>
        <w:ind w:left="340" w:hanging="161"/>
        <w:spacing w:after="0" w:line="433" w:lineRule="auto"/>
        <w:rPr>
          <w:sz w:val="20"/>
          <w:szCs w:val="20"/>
          <w:color w:val="auto"/>
        </w:rPr>
      </w:pPr>
      <w:r>
        <w:rPr>
          <w:rFonts w:ascii="Arial" w:cs="Arial" w:eastAsia="Arial" w:hAnsi="Arial"/>
          <w:sz w:val="13"/>
          <w:szCs w:val="13"/>
          <w:color w:val="auto"/>
        </w:rPr>
        <w:t>Short-term debt and current portion of long-term debt Automotive(b)</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liabilities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Current liabilities held for sale(c)</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liabilities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Automotive(b)</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Postretirement benefits other than 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Non-current liabilities held for sale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liabilities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Commitments and contingencies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Equity</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Common stock, $0.01 par value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Preferred stock, $0.01 par value</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Additional paid-in capital(d)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Accumulated other comprehensive loss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Noncontrolling interests(d)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Equity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 and Equity</w:t>
      </w: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23,696</w:t>
            </w:r>
          </w:p>
        </w:tc>
        <w:tc>
          <w:tcPr>
            <w:tcW w:w="12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634</w:t>
            </w:r>
          </w:p>
        </w:tc>
        <w:tc>
          <w:tcPr>
            <w:tcW w:w="120" w:type="dxa"/>
            <w:vAlign w:val="bottom"/>
          </w:tcPr>
          <w:p>
            <w:pPr>
              <w:spacing w:after="0"/>
              <w:rPr>
                <w:sz w:val="13"/>
                <w:szCs w:val="13"/>
                <w:color w:val="auto"/>
              </w:rPr>
            </w:pPr>
          </w:p>
        </w:tc>
        <w:tc>
          <w:tcPr>
            <w:tcW w:w="3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(401)</w:t>
            </w:r>
          </w:p>
        </w:tc>
        <w:tc>
          <w:tcPr>
            <w:tcW w:w="120" w:type="dxa"/>
            <w:vAlign w:val="bottom"/>
          </w:tcPr>
          <w:p>
            <w:pPr>
              <w:spacing w:after="0"/>
              <w:rPr>
                <w:sz w:val="13"/>
                <w:szCs w:val="13"/>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23,929</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23,305</w:t>
            </w:r>
          </w:p>
        </w:tc>
        <w:tc>
          <w:tcPr>
            <w:tcW w:w="120" w:type="dxa"/>
            <w:vAlign w:val="bottom"/>
          </w:tcPr>
          <w:p>
            <w:pPr>
              <w:spacing w:after="0"/>
              <w:rPr>
                <w:sz w:val="13"/>
                <w:szCs w:val="13"/>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13"/>
                <w:szCs w:val="13"/>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(668)</w:t>
            </w:r>
          </w:p>
        </w:tc>
        <w:tc>
          <w:tcPr>
            <w:tcW w:w="100" w:type="dxa"/>
            <w:vAlign w:val="bottom"/>
          </w:tcPr>
          <w:p>
            <w:pPr>
              <w:spacing w:after="0"/>
              <w:rPr>
                <w:sz w:val="13"/>
                <w:szCs w:val="13"/>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23,333</w:t>
            </w:r>
          </w:p>
        </w:tc>
      </w:tr>
      <w:tr>
        <w:trPr>
          <w:trHeight w:val="540"/>
        </w:trPr>
        <w:tc>
          <w:tcPr>
            <w:tcW w:w="1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2,895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2,515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1,407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1,060</w:t>
            </w:r>
          </w:p>
        </w:tc>
      </w:tr>
      <w:tr>
        <w:trPr>
          <w:trHeight w:val="270"/>
        </w:trPr>
        <w:tc>
          <w:tcPr>
            <w:tcW w:w="18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24,450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24,450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22,737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22,737</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22,544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3,452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25,996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23,219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2,675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25,893</w:t>
            </w:r>
          </w:p>
        </w:tc>
      </w:tr>
      <w:tr>
        <w:trPr>
          <w:trHeight w:val="280"/>
        </w:trPr>
        <w:tc>
          <w:tcPr>
            <w:tcW w:w="18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7,092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5,362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12,158</w:t>
            </w:r>
          </w:p>
        </w:tc>
      </w:tr>
      <w:tr>
        <w:trPr>
          <w:trHeight w:val="241"/>
        </w:trPr>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49,135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28,536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(781)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76,890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55,023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31,470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85,181</w:t>
            </w:r>
          </w:p>
        </w:tc>
      </w:tr>
      <w:tr>
        <w:trPr>
          <w:trHeight w:val="810"/>
        </w:trPr>
        <w:tc>
          <w:tcPr>
            <w:tcW w:w="1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11,050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10,987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9,500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9,500</w:t>
            </w:r>
          </w:p>
        </w:tc>
      </w:tr>
      <w:tr>
        <w:trPr>
          <w:trHeight w:val="270"/>
        </w:trPr>
        <w:tc>
          <w:tcPr>
            <w:tcW w:w="18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56,267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56,267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41,826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41,826</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5,998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5,998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5,803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5,803</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13,743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13,746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15,261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15,264</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10,689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1,705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12,394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11,125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1,290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12,415</w:t>
            </w:r>
          </w:p>
        </w:tc>
      </w:tr>
      <w:tr>
        <w:trPr>
          <w:trHeight w:val="280"/>
        </w:trPr>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3,295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4,331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7,626</w:t>
            </w:r>
          </w:p>
        </w:tc>
      </w:tr>
      <w:tr>
        <w:trPr>
          <w:trHeight w:val="250"/>
        </w:trPr>
        <w:tc>
          <w:tcPr>
            <w:tcW w:w="18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41,480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57,975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99,392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44,984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47,450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92,434</w:t>
            </w:r>
          </w:p>
        </w:tc>
      </w:tr>
      <w:tr>
        <w:trPr>
          <w:trHeight w:val="241"/>
        </w:trPr>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90,615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86,511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(844)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176,282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100,007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78,920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177,615</w:t>
            </w:r>
          </w:p>
        </w:tc>
      </w:tr>
      <w:tr>
        <w:trPr>
          <w:trHeight w:val="810"/>
        </w:trPr>
        <w:tc>
          <w:tcPr>
            <w:tcW w:w="1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w:t>
            </w:r>
          </w:p>
        </w:tc>
      </w:tr>
      <w:tr>
        <w:trPr>
          <w:trHeight w:val="270"/>
        </w:trPr>
        <w:tc>
          <w:tcPr>
            <w:tcW w:w="18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25,371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25,371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26,982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26,983</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7,128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10,499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17,627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15,903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10,265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26,168</w:t>
            </w:r>
          </w:p>
        </w:tc>
      </w:tr>
      <w:tr>
        <w:trPr>
          <w:trHeight w:val="280"/>
        </w:trPr>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(7,267)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(744)</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(8,011)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(8,091)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(9,330)</w:t>
            </w:r>
          </w:p>
        </w:tc>
      </w:tr>
      <w:tr>
        <w:trPr>
          <w:trHeight w:val="241"/>
        </w:trPr>
        <w:tc>
          <w:tcPr>
            <w:tcW w:w="180" w:type="dxa"/>
            <w:vAlign w:val="bottom"/>
          </w:tcPr>
          <w:p>
            <w:pPr>
              <w:spacing w:after="0"/>
              <w:rPr>
                <w:sz w:val="20"/>
                <w:szCs w:val="20"/>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25,246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10,740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35,001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34,809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9,027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43,836</w:t>
            </w:r>
          </w:p>
        </w:tc>
      </w:tr>
      <w:tr>
        <w:trPr>
          <w:trHeight w:val="280"/>
        </w:trPr>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1,199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239</w:t>
            </w:r>
          </w:p>
        </w:tc>
      </w:tr>
      <w:tr>
        <w:trPr>
          <w:trHeight w:val="250"/>
        </w:trPr>
        <w:tc>
          <w:tcPr>
            <w:tcW w:w="18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25,460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10,740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36,200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35,048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9,027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44,075</w:t>
            </w:r>
          </w:p>
        </w:tc>
      </w:tr>
      <w:tr>
        <w:trPr>
          <w:trHeight w:val="237"/>
        </w:trPr>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116,075</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97,251</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(844)</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212,482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135,055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87,947</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(1,312)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221,690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-4819015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-4476115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-4133215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-3789680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-3446780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-3103880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-2760980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-2417445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-2074545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-1731645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-1388745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-1045845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-702310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9" w:lineRule="exact"/>
        <w:rPr>
          <w:sz w:val="20"/>
          <w:szCs w:val="20"/>
          <w:color w:val="auto"/>
        </w:rPr>
      </w:pPr>
    </w:p>
    <w:p>
      <w:pPr>
        <w:sectPr>
          <w:pgSz w:w="11900" w:h="16902" w:orient="portrait"/>
          <w:cols w:equalWidth="0" w:num="2">
            <w:col w:w="3120" w:space="420"/>
            <w:col w:w="7880"/>
          </w:cols>
          <w:pgMar w:left="240" w:top="337" w:right="239" w:bottom="0" w:gutter="0" w:footer="0" w:header="0"/>
          <w:type w:val="continuous"/>
        </w:sectPr>
      </w:pPr>
    </w:p>
    <w:p>
      <w:pPr>
        <w:ind w:left="340" w:hanging="332"/>
        <w:spacing w:after="0" w:line="23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Eliminations primarily include Automotive accounts receivable of $92 million offset by GM Financial accounts payable, GM Financial accounts receivable of $309 million offset by Automotive accounts payable at December 31, 2017 and Automotive accounts receivable of $322 million offset by GM Financial accounts payable, GM Financial accounts receivable of $347 million offset by Automotive accounts payable at December 31, 2016.</w:t>
      </w:r>
    </w:p>
    <w:p>
      <w:pPr>
        <w:ind w:left="340" w:hanging="332"/>
        <w:spacing w:after="0" w:line="23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Eliminations include GM Financial loan receivable of $443 million and $347 million offset by an Automotive loan payable at December 31, 2017 and December 31, 2016.</w:t>
      </w:r>
    </w:p>
    <w:p>
      <w:pPr>
        <w:ind w:left="340" w:hanging="332"/>
        <w:spacing w:after="0" w:line="238"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Eliminations include GM Financial assets held for sale of $217 million primarily related to wholesale and commercial lending receivables offset by Automotive liabilities held for sale and Automotive assets held for sale of $79 million primarily related to trade receivables offset by GM Financial liabilities held for sale at December 31, 2016.</w:t>
      </w:r>
    </w:p>
    <w:p>
      <w:pPr>
        <w:sectPr>
          <w:pgSz w:w="11900" w:h="16902" w:orient="portrait"/>
          <w:cols w:equalWidth="0" w:num="1">
            <w:col w:w="11420"/>
          </w:cols>
          <w:pgMar w:left="240" w:top="337" w:right="239" w:bottom="0" w:gutter="0" w:footer="0" w:header="0"/>
          <w:type w:val="continuous"/>
        </w:sectPr>
      </w:pPr>
    </w:p>
    <w:bookmarkStart w:id="20" w:name="page21"/>
    <w:bookmarkEnd w:id="20"/>
    <w:p>
      <w:pPr>
        <w:ind w:left="332" w:hanging="332"/>
        <w:spacing w:after="0"/>
        <w:tabs>
          <w:tab w:leader="none" w:pos="332" w:val="left"/>
        </w:tabs>
        <w:numPr>
          <w:ilvl w:val="0"/>
          <w:numId w:val="12"/>
        </w:numPr>
        <w:rPr>
          <w:rFonts w:ascii="Arial" w:cs="Arial" w:eastAsia="Arial" w:hAnsi="Arial"/>
          <w:sz w:val="10"/>
          <w:szCs w:val="10"/>
          <w:color w:val="auto"/>
        </w:rPr>
      </w:pPr>
      <w:r>
        <w:rPr>
          <w:rFonts w:ascii="Arial" w:cs="Arial" w:eastAsia="Arial" w:hAnsi="Arial"/>
          <w:sz w:val="10"/>
          <w:szCs w:val="10"/>
          <w:color w:val="auto"/>
        </w:rPr>
        <w:t>Reclassification of GM Financial Cumulative Perpetual Preferred Stock, Series A. The preferred stock is classified as noncontrolling interests in our condensed consolidated balance sheet.</w:t>
      </w:r>
    </w:p>
    <w:p>
      <w:pPr>
        <w:sectPr>
          <w:pgSz w:w="11900" w:h="16838" w:orient="portrait"/>
          <w:cols w:equalWidth="0" w:num="1">
            <w:col w:w="10211"/>
          </w:cols>
          <w:pgMar w:left="248" w:top="138" w:right="1440" w:bottom="1440" w:gutter="0" w:footer="0" w:header="0"/>
        </w:sectPr>
      </w:pPr>
    </w:p>
    <w:p>
      <w:pPr>
        <w:spacing w:after="0" w:line="375" w:lineRule="exact"/>
        <w:rPr>
          <w:sz w:val="20"/>
          <w:szCs w:val="20"/>
          <w:color w:val="auto"/>
        </w:rPr>
      </w:pPr>
    </w:p>
    <w:p>
      <w:pPr>
        <w:ind w:left="5612"/>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11"/>
          </w:cols>
          <w:pgMar w:left="248" w:top="138" w:right="1440"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Combining Cash Flow Information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5"/>
          </w:tcPr>
          <w:p>
            <w:pPr>
              <w:ind w:left="440"/>
              <w:spacing w:after="0"/>
              <w:rPr>
                <w:sz w:val="20"/>
                <w:szCs w:val="20"/>
                <w:color w:val="auto"/>
              </w:rPr>
            </w:pPr>
            <w:r>
              <w:rPr>
                <w:rFonts w:ascii="Arial" w:cs="Arial" w:eastAsia="Arial" w:hAnsi="Arial"/>
                <w:sz w:val="9"/>
                <w:szCs w:val="9"/>
                <w:b w:val="1"/>
                <w:bCs w:val="1"/>
                <w:color w:val="auto"/>
              </w:rPr>
              <w:t>Year Ended December 31, 2017</w:t>
            </w: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9"/>
                <w:szCs w:val="9"/>
                <w:b w:val="1"/>
                <w:bCs w:val="1"/>
                <w:color w:val="auto"/>
              </w:rPr>
              <w:t>Year Ended December 31, 2016</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9"/>
                <w:szCs w:val="9"/>
                <w:b w:val="1"/>
                <w:bCs w:val="1"/>
                <w:color w:val="auto"/>
              </w:rPr>
              <w:t>Automotive</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GM Financial</w:t>
            </w:r>
          </w:p>
        </w:tc>
        <w:tc>
          <w:tcPr>
            <w:tcW w:w="1380" w:type="dxa"/>
            <w:vAlign w:val="bottom"/>
            <w:gridSpan w:val="3"/>
          </w:tcPr>
          <w:p>
            <w:pPr>
              <w:ind w:left="20"/>
              <w:spacing w:after="0"/>
              <w:rPr>
                <w:sz w:val="20"/>
                <w:szCs w:val="20"/>
                <w:color w:val="auto"/>
              </w:rPr>
            </w:pPr>
            <w:r>
              <w:rPr>
                <w:rFonts w:ascii="Arial" w:cs="Arial" w:eastAsia="Arial" w:hAnsi="Arial"/>
                <w:sz w:val="9"/>
                <w:szCs w:val="9"/>
                <w:b w:val="1"/>
                <w:bCs w:val="1"/>
                <w:color w:val="auto"/>
              </w:rPr>
              <w:t>Reclassification/Eliminations</w:t>
            </w:r>
          </w:p>
        </w:tc>
        <w:tc>
          <w:tcPr>
            <w:tcW w:w="16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9"/>
                <w:szCs w:val="9"/>
                <w:b w:val="1"/>
                <w:bCs w:val="1"/>
                <w:color w:val="auto"/>
              </w:rPr>
              <w:t>Combined</w:t>
            </w:r>
          </w:p>
        </w:tc>
        <w:tc>
          <w:tcPr>
            <w:tcW w:w="120" w:type="dxa"/>
            <w:vAlign w:val="bottom"/>
          </w:tcPr>
          <w:p>
            <w:pPr>
              <w:spacing w:after="0"/>
              <w:rPr>
                <w:sz w:val="22"/>
                <w:szCs w:val="22"/>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Automotive</w:t>
            </w:r>
          </w:p>
        </w:tc>
        <w:tc>
          <w:tcPr>
            <w:tcW w:w="760" w:type="dxa"/>
            <w:vAlign w:val="bottom"/>
            <w:gridSpan w:val="3"/>
          </w:tcPr>
          <w:p>
            <w:pPr>
              <w:ind w:left="40"/>
              <w:spacing w:after="0"/>
              <w:rPr>
                <w:sz w:val="20"/>
                <w:szCs w:val="20"/>
                <w:color w:val="auto"/>
              </w:rPr>
            </w:pPr>
            <w:r>
              <w:rPr>
                <w:rFonts w:ascii="Arial" w:cs="Arial" w:eastAsia="Arial" w:hAnsi="Arial"/>
                <w:sz w:val="9"/>
                <w:szCs w:val="9"/>
                <w:b w:val="1"/>
                <w:bCs w:val="1"/>
                <w:color w:val="auto"/>
              </w:rPr>
              <w:t>GM Financial</w:t>
            </w:r>
          </w:p>
        </w:tc>
        <w:tc>
          <w:tcPr>
            <w:tcW w:w="14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rPr>
              <w:t>Reclassification</w:t>
            </w:r>
          </w:p>
        </w:tc>
        <w:tc>
          <w:tcPr>
            <w:tcW w:w="180" w:type="dxa"/>
            <w:vAlign w:val="bottom"/>
          </w:tcPr>
          <w:p>
            <w:pPr>
              <w:spacing w:after="0"/>
              <w:rPr>
                <w:sz w:val="22"/>
                <w:szCs w:val="22"/>
                <w:color w:val="auto"/>
              </w:rPr>
            </w:pPr>
          </w:p>
        </w:tc>
        <w:tc>
          <w:tcPr>
            <w:tcW w:w="720" w:type="dxa"/>
            <w:vAlign w:val="bottom"/>
          </w:tcPr>
          <w:p>
            <w:pPr>
              <w:jc w:val="right"/>
              <w:ind w:right="158"/>
              <w:spacing w:after="0"/>
              <w:rPr>
                <w:sz w:val="20"/>
                <w:szCs w:val="20"/>
                <w:color w:val="auto"/>
              </w:rPr>
            </w:pPr>
            <w:r>
              <w:rPr>
                <w:rFonts w:ascii="Arial" w:cs="Arial" w:eastAsia="Arial" w:hAnsi="Arial"/>
                <w:sz w:val="9"/>
                <w:szCs w:val="9"/>
                <w:b w:val="1"/>
                <w:bCs w:val="1"/>
                <w:color w:val="auto"/>
              </w:rPr>
              <w:t>Combined</w:t>
            </w:r>
          </w:p>
        </w:tc>
        <w:tc>
          <w:tcPr>
            <w:tcW w:w="0" w:type="dxa"/>
            <w:vAlign w:val="bottom"/>
          </w:tcPr>
          <w:p>
            <w:pPr>
              <w:spacing w:after="0"/>
              <w:rPr>
                <w:sz w:val="1"/>
                <w:szCs w:val="1"/>
                <w:color w:val="auto"/>
              </w:rPr>
            </w:pPr>
          </w:p>
        </w:tc>
      </w:tr>
      <w:tr>
        <w:trPr>
          <w:trHeight w:val="160"/>
        </w:trPr>
        <w:tc>
          <w:tcPr>
            <w:tcW w:w="3700" w:type="dxa"/>
            <w:vAlign w:val="bottom"/>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 from continuing operations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(833)</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  1,163</w:t>
            </w:r>
          </w:p>
        </w:tc>
        <w:tc>
          <w:tcPr>
            <w:tcW w:w="1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330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8,559</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ind w:right="6"/>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710</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9,269</w:t>
            </w:r>
          </w:p>
        </w:tc>
        <w:tc>
          <w:tcPr>
            <w:tcW w:w="0" w:type="dxa"/>
            <w:vAlign w:val="bottom"/>
          </w:tcPr>
          <w:p>
            <w:pPr>
              <w:spacing w:after="0"/>
              <w:rPr>
                <w:sz w:val="1"/>
                <w:szCs w:val="1"/>
                <w:color w:val="auto"/>
              </w:rPr>
            </w:pPr>
          </w:p>
        </w:tc>
      </w:tr>
      <w:tr>
        <w:trPr>
          <w:trHeight w:val="97"/>
        </w:trPr>
        <w:tc>
          <w:tcPr>
            <w:tcW w:w="37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700" w:type="dxa"/>
            <w:vAlign w:val="bottom"/>
          </w:tcPr>
          <w:p>
            <w:pPr>
              <w:ind w:left="180"/>
              <w:spacing w:after="0"/>
              <w:rPr>
                <w:sz w:val="20"/>
                <w:szCs w:val="20"/>
                <w:color w:val="auto"/>
              </w:rPr>
            </w:pPr>
            <w:r>
              <w:rPr>
                <w:rFonts w:ascii="Arial" w:cs="Arial" w:eastAsia="Arial" w:hAnsi="Arial"/>
                <w:sz w:val="13"/>
                <w:szCs w:val="13"/>
                <w:color w:val="auto"/>
              </w:rPr>
              <w:t>Depreciation, amortization and impairment charges</w:t>
            </w:r>
          </w:p>
        </w:tc>
        <w:tc>
          <w:tcPr>
            <w:tcW w:w="120" w:type="dxa"/>
            <w:vAlign w:val="bottom"/>
          </w:tcPr>
          <w:p>
            <w:pPr>
              <w:spacing w:after="0"/>
              <w:rPr>
                <w:sz w:val="15"/>
                <w:szCs w:val="15"/>
                <w:color w:val="auto"/>
              </w:rPr>
            </w:pP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auto"/>
              </w:rPr>
              <w:t>5,688</w:t>
            </w:r>
          </w:p>
        </w:tc>
        <w:tc>
          <w:tcPr>
            <w:tcW w:w="100" w:type="dxa"/>
            <w:vAlign w:val="bottom"/>
          </w:tcPr>
          <w:p>
            <w:pPr>
              <w:spacing w:after="0"/>
              <w:rPr>
                <w:sz w:val="15"/>
                <w:szCs w:val="15"/>
                <w:color w:val="auto"/>
              </w:rPr>
            </w:pPr>
          </w:p>
        </w:tc>
        <w:tc>
          <w:tcPr>
            <w:tcW w:w="660" w:type="dxa"/>
            <w:vAlign w:val="bottom"/>
            <w:vMerge w:val="restart"/>
          </w:tcPr>
          <w:p>
            <w:pPr>
              <w:jc w:val="right"/>
              <w:ind w:right="40"/>
              <w:spacing w:after="0"/>
              <w:rPr>
                <w:sz w:val="20"/>
                <w:szCs w:val="20"/>
                <w:color w:val="auto"/>
              </w:rPr>
            </w:pPr>
            <w:r>
              <w:rPr>
                <w:rFonts w:ascii="Arial" w:cs="Arial" w:eastAsia="Arial" w:hAnsi="Arial"/>
                <w:sz w:val="13"/>
                <w:szCs w:val="13"/>
                <w:color w:val="auto"/>
              </w:rPr>
              <w:t>6,573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vMerge w:val="restart"/>
          </w:tcPr>
          <w:p>
            <w:pPr>
              <w:jc w:val="right"/>
              <w:ind w:right="38"/>
              <w:spacing w:after="0"/>
              <w:rPr>
                <w:sz w:val="20"/>
                <w:szCs w:val="20"/>
                <w:color w:val="auto"/>
              </w:rPr>
            </w:pPr>
            <w:r>
              <w:rPr>
                <w:rFonts w:ascii="Arial" w:cs="Arial" w:eastAsia="Arial" w:hAnsi="Arial"/>
                <w:sz w:val="13"/>
                <w:szCs w:val="13"/>
                <w:color w:val="auto"/>
              </w:rPr>
              <w:t>12,261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auto"/>
              </w:rPr>
              <w:t>5,141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restart"/>
          </w:tcPr>
          <w:p>
            <w:pPr>
              <w:jc w:val="right"/>
              <w:ind w:right="38"/>
              <w:spacing w:after="0"/>
              <w:rPr>
                <w:sz w:val="20"/>
                <w:szCs w:val="20"/>
                <w:color w:val="auto"/>
              </w:rPr>
            </w:pPr>
            <w:r>
              <w:rPr>
                <w:rFonts w:ascii="Arial" w:cs="Arial" w:eastAsia="Arial" w:hAnsi="Arial"/>
                <w:sz w:val="13"/>
                <w:szCs w:val="13"/>
                <w:color w:val="auto"/>
              </w:rPr>
              <w:t>4,678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vMerge w:val="restart"/>
          </w:tcPr>
          <w:p>
            <w:pPr>
              <w:jc w:val="right"/>
              <w:ind w:right="38"/>
              <w:spacing w:after="0"/>
              <w:rPr>
                <w:sz w:val="20"/>
                <w:szCs w:val="20"/>
                <w:color w:val="auto"/>
              </w:rPr>
            </w:pPr>
            <w:r>
              <w:rPr>
                <w:rFonts w:ascii="Arial" w:cs="Arial" w:eastAsia="Arial" w:hAnsi="Arial"/>
                <w:sz w:val="13"/>
                <w:szCs w:val="13"/>
                <w:color w:val="auto"/>
              </w:rPr>
              <w:t>9,819</w:t>
            </w:r>
          </w:p>
        </w:tc>
        <w:tc>
          <w:tcPr>
            <w:tcW w:w="0" w:type="dxa"/>
            <w:vAlign w:val="bottom"/>
          </w:tcPr>
          <w:p>
            <w:pPr>
              <w:spacing w:after="0"/>
              <w:rPr>
                <w:sz w:val="1"/>
                <w:szCs w:val="1"/>
                <w:color w:val="auto"/>
              </w:rPr>
            </w:pPr>
          </w:p>
        </w:tc>
      </w:tr>
      <w:tr>
        <w:trPr>
          <w:trHeight w:val="89"/>
        </w:trPr>
        <w:tc>
          <w:tcPr>
            <w:tcW w:w="3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 currency remeasurement and transaction losses</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225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97"/>
        </w:trPr>
        <w:tc>
          <w:tcPr>
            <w:tcW w:w="3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700" w:type="dxa"/>
            <w:vAlign w:val="bottom"/>
          </w:tcPr>
          <w:p>
            <w:pPr>
              <w:ind w:left="180"/>
              <w:spacing w:after="0"/>
              <w:rPr>
                <w:sz w:val="20"/>
                <w:szCs w:val="20"/>
                <w:color w:val="auto"/>
              </w:rPr>
            </w:pPr>
            <w:r>
              <w:rPr>
                <w:rFonts w:ascii="Arial" w:cs="Arial" w:eastAsia="Arial" w:hAnsi="Arial"/>
                <w:sz w:val="13"/>
                <w:szCs w:val="13"/>
                <w:color w:val="auto"/>
              </w:rPr>
              <w:t>Undistributed earnings of nonconsolidated affiliates, net</w:t>
            </w:r>
          </w:p>
        </w:tc>
        <w:tc>
          <w:tcPr>
            <w:tcW w:w="120" w:type="dxa"/>
            <w:vAlign w:val="bottom"/>
          </w:tcPr>
          <w:p>
            <w:pPr>
              <w:spacing w:after="0"/>
              <w:rPr>
                <w:sz w:val="15"/>
                <w:szCs w:val="15"/>
                <w:color w:val="auto"/>
              </w:rPr>
            </w:pP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89"/>
        </w:trPr>
        <w:tc>
          <w:tcPr>
            <w:tcW w:w="3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Pension contributions and OPEB payments</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(1,636)</w:t>
            </w: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(3,453)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(3,454)</w:t>
            </w:r>
          </w:p>
        </w:tc>
        <w:tc>
          <w:tcPr>
            <w:tcW w:w="0" w:type="dxa"/>
            <w:vAlign w:val="bottom"/>
          </w:tcPr>
          <w:p>
            <w:pPr>
              <w:spacing w:after="0"/>
              <w:rPr>
                <w:sz w:val="1"/>
                <w:szCs w:val="1"/>
                <w:color w:val="auto"/>
              </w:rPr>
            </w:pPr>
          </w:p>
        </w:tc>
      </w:tr>
      <w:tr>
        <w:trPr>
          <w:trHeight w:val="97"/>
        </w:trPr>
        <w:tc>
          <w:tcPr>
            <w:tcW w:w="3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700" w:type="dxa"/>
            <w:vAlign w:val="bottom"/>
          </w:tcPr>
          <w:p>
            <w:pPr>
              <w:ind w:left="180"/>
              <w:spacing w:after="0"/>
              <w:rPr>
                <w:sz w:val="20"/>
                <w:szCs w:val="20"/>
                <w:color w:val="auto"/>
              </w:rPr>
            </w:pPr>
            <w:r>
              <w:rPr>
                <w:rFonts w:ascii="Arial" w:cs="Arial" w:eastAsia="Arial" w:hAnsi="Arial"/>
                <w:sz w:val="13"/>
                <w:szCs w:val="13"/>
                <w:color w:val="auto"/>
              </w:rPr>
              <w:t>Pension and OPEB (income) expense, net</w:t>
            </w: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(935)</w:t>
            </w:r>
          </w:p>
        </w:tc>
        <w:tc>
          <w:tcPr>
            <w:tcW w:w="100" w:type="dxa"/>
            <w:vAlign w:val="bottom"/>
          </w:tcPr>
          <w:p>
            <w:pPr>
              <w:spacing w:after="0"/>
              <w:rPr>
                <w:sz w:val="15"/>
                <w:szCs w:val="15"/>
                <w:color w:val="auto"/>
              </w:rPr>
            </w:pPr>
          </w:p>
        </w:tc>
        <w:tc>
          <w:tcPr>
            <w:tcW w:w="660" w:type="dxa"/>
            <w:vAlign w:val="bottom"/>
            <w:vMerge w:val="restart"/>
          </w:tcPr>
          <w:p>
            <w:pPr>
              <w:jc w:val="right"/>
              <w:ind w:right="4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(934)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(769)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(769)</w:t>
            </w:r>
          </w:p>
        </w:tc>
        <w:tc>
          <w:tcPr>
            <w:tcW w:w="0" w:type="dxa"/>
            <w:vAlign w:val="bottom"/>
          </w:tcPr>
          <w:p>
            <w:pPr>
              <w:spacing w:after="0"/>
              <w:rPr>
                <w:sz w:val="1"/>
                <w:szCs w:val="1"/>
                <w:color w:val="auto"/>
              </w:rPr>
            </w:pPr>
          </w:p>
        </w:tc>
      </w:tr>
      <w:tr>
        <w:trPr>
          <w:trHeight w:val="89"/>
        </w:trPr>
        <w:tc>
          <w:tcPr>
            <w:tcW w:w="3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Provision (benefit) for deferred taxes</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10,902</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10,880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2,279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2,228</w:t>
            </w:r>
          </w:p>
        </w:tc>
        <w:tc>
          <w:tcPr>
            <w:tcW w:w="0" w:type="dxa"/>
            <w:vAlign w:val="bottom"/>
          </w:tcPr>
          <w:p>
            <w:pPr>
              <w:spacing w:after="0"/>
              <w:rPr>
                <w:sz w:val="1"/>
                <w:szCs w:val="1"/>
                <w:color w:val="auto"/>
              </w:rPr>
            </w:pPr>
          </w:p>
        </w:tc>
      </w:tr>
      <w:tr>
        <w:trPr>
          <w:trHeight w:val="97"/>
        </w:trPr>
        <w:tc>
          <w:tcPr>
            <w:tcW w:w="3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700" w:type="dxa"/>
            <w:vAlign w:val="bottom"/>
          </w:tcPr>
          <w:p>
            <w:pPr>
              <w:ind w:left="180"/>
              <w:spacing w:after="0"/>
              <w:rPr>
                <w:sz w:val="20"/>
                <w:szCs w:val="20"/>
                <w:color w:val="auto"/>
              </w:rPr>
            </w:pPr>
            <w:r>
              <w:rPr>
                <w:rFonts w:ascii="Arial" w:cs="Arial" w:eastAsia="Arial" w:hAnsi="Arial"/>
                <w:sz w:val="13"/>
                <w:szCs w:val="13"/>
                <w:color w:val="auto"/>
              </w:rPr>
              <w:t>Change in other operating assets and liabilities(a)(b)</w:t>
            </w: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(571)</w:t>
            </w:r>
          </w:p>
        </w:tc>
        <w:tc>
          <w:tcPr>
            <w:tcW w:w="100" w:type="dxa"/>
            <w:vAlign w:val="bottom"/>
          </w:tcPr>
          <w:p>
            <w:pPr>
              <w:spacing w:after="0"/>
              <w:rPr>
                <w:sz w:val="15"/>
                <w:szCs w:val="15"/>
                <w:color w:val="auto"/>
              </w:rPr>
            </w:pPr>
          </w:p>
        </w:tc>
        <w:tc>
          <w:tcPr>
            <w:tcW w:w="660" w:type="dxa"/>
            <w:vAlign w:val="bottom"/>
            <w:vMerge w:val="restart"/>
          </w:tcPr>
          <w:p>
            <w:pPr>
              <w:jc w:val="right"/>
              <w:ind w:right="40"/>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(2,516)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(3,015)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auto"/>
              </w:rPr>
              <w:t>2,883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(2,184)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38"/>
              <w:spacing w:after="0"/>
              <w:rPr>
                <w:sz w:val="20"/>
                <w:szCs w:val="20"/>
                <w:color w:val="auto"/>
              </w:rPr>
            </w:pPr>
            <w:r>
              <w:rPr>
                <w:rFonts w:ascii="Arial" w:cs="Arial" w:eastAsia="Arial" w:hAnsi="Arial"/>
                <w:sz w:val="13"/>
                <w:szCs w:val="13"/>
                <w:color w:val="auto"/>
              </w:rPr>
              <w:t>580</w:t>
            </w:r>
          </w:p>
        </w:tc>
        <w:tc>
          <w:tcPr>
            <w:tcW w:w="0" w:type="dxa"/>
            <w:vAlign w:val="bottom"/>
          </w:tcPr>
          <w:p>
            <w:pPr>
              <w:spacing w:after="0"/>
              <w:rPr>
                <w:sz w:val="1"/>
                <w:szCs w:val="1"/>
                <w:color w:val="auto"/>
              </w:rPr>
            </w:pPr>
          </w:p>
        </w:tc>
      </w:tr>
      <w:tr>
        <w:trPr>
          <w:trHeight w:val="89"/>
        </w:trPr>
        <w:tc>
          <w:tcPr>
            <w:tcW w:w="3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operating activities(c)</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1,173</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(1,089)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0" w:type="dxa"/>
            <w:vAlign w:val="bottom"/>
          </w:tcPr>
          <w:p>
            <w:pPr>
              <w:spacing w:after="0"/>
              <w:rPr>
                <w:sz w:val="1"/>
                <w:szCs w:val="1"/>
                <w:color w:val="auto"/>
              </w:rPr>
            </w:pPr>
          </w:p>
        </w:tc>
      </w:tr>
      <w:tr>
        <w:trPr>
          <w:trHeight w:val="97"/>
        </w:trPr>
        <w:tc>
          <w:tcPr>
            <w:tcW w:w="3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700" w:type="dxa"/>
            <w:vAlign w:val="bottom"/>
          </w:tcPr>
          <w:p>
            <w:pPr>
              <w:ind w:left="180"/>
              <w:spacing w:after="0" w:line="136" w:lineRule="exact"/>
              <w:rPr>
                <w:sz w:val="20"/>
                <w:szCs w:val="20"/>
                <w:color w:val="auto"/>
              </w:rPr>
            </w:pPr>
            <w:r>
              <w:rPr>
                <w:rFonts w:ascii="Arial" w:cs="Arial" w:eastAsia="Arial" w:hAnsi="Arial"/>
                <w:sz w:val="13"/>
                <w:szCs w:val="13"/>
                <w:color w:val="auto"/>
              </w:rPr>
              <w:t>Net cash provided by operating activities – continuing</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700" w:type="dxa"/>
            <w:vAlign w:val="bottom"/>
          </w:tcPr>
          <w:p>
            <w:pPr>
              <w:ind w:left="340"/>
              <w:spacing w:after="0"/>
              <w:rPr>
                <w:sz w:val="20"/>
                <w:szCs w:val="20"/>
                <w:color w:val="auto"/>
              </w:rPr>
            </w:pPr>
            <w:r>
              <w:rPr>
                <w:rFonts w:ascii="Arial" w:cs="Arial" w:eastAsia="Arial" w:hAnsi="Arial"/>
                <w:sz w:val="13"/>
                <w:szCs w:val="13"/>
                <w:color w:val="auto"/>
              </w:rPr>
              <w:t>operations</w:t>
            </w:r>
          </w:p>
        </w:tc>
        <w:tc>
          <w:tcPr>
            <w:tcW w:w="120" w:type="dxa"/>
            <w:vAlign w:val="bottom"/>
          </w:tcPr>
          <w:p>
            <w:pPr>
              <w:spacing w:after="0"/>
              <w:rPr>
                <w:sz w:val="13"/>
                <w:szCs w:val="1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13,872</w:t>
            </w:r>
          </w:p>
        </w:tc>
        <w:tc>
          <w:tcPr>
            <w:tcW w:w="100" w:type="dxa"/>
            <w:vAlign w:val="bottom"/>
          </w:tcPr>
          <w:p>
            <w:pPr>
              <w:spacing w:after="0"/>
              <w:rPr>
                <w:sz w:val="13"/>
                <w:szCs w:val="13"/>
                <w:color w:val="auto"/>
              </w:rPr>
            </w:pPr>
          </w:p>
        </w:tc>
        <w:tc>
          <w:tcPr>
            <w:tcW w:w="660" w:type="dxa"/>
            <w:vAlign w:val="bottom"/>
          </w:tcPr>
          <w:p>
            <w:pPr>
              <w:jc w:val="right"/>
              <w:ind w:right="40"/>
              <w:spacing w:after="0"/>
              <w:rPr>
                <w:sz w:val="20"/>
                <w:szCs w:val="20"/>
                <w:color w:val="auto"/>
              </w:rPr>
            </w:pPr>
            <w:r>
              <w:rPr>
                <w:rFonts w:ascii="Arial" w:cs="Arial" w:eastAsia="Arial" w:hAnsi="Arial"/>
                <w:sz w:val="13"/>
                <w:szCs w:val="13"/>
                <w:color w:val="auto"/>
              </w:rPr>
              <w:t>6,534</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(3,068)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17,338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14,494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38"/>
              <w:spacing w:after="0"/>
              <w:rPr>
                <w:sz w:val="20"/>
                <w:szCs w:val="20"/>
                <w:color w:val="auto"/>
              </w:rPr>
            </w:pPr>
            <w:r>
              <w:rPr>
                <w:rFonts w:ascii="Arial" w:cs="Arial" w:eastAsia="Arial" w:hAnsi="Arial"/>
                <w:sz w:val="13"/>
                <w:szCs w:val="13"/>
                <w:color w:val="auto"/>
              </w:rPr>
              <w:t>4,683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16,993</w:t>
            </w: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cash provided by (used in) operating activities –</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discontinued operations</w:t>
            </w: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264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153"/>
        </w:trPr>
        <w:tc>
          <w:tcPr>
            <w:tcW w:w="3700" w:type="dxa"/>
            <w:vAlign w:val="bottom"/>
          </w:tcPr>
          <w:p>
            <w:pPr>
              <w:ind w:left="40"/>
              <w:spacing w:after="0"/>
              <w:rPr>
                <w:sz w:val="20"/>
                <w:szCs w:val="20"/>
                <w:color w:val="auto"/>
              </w:rPr>
            </w:pPr>
            <w:r>
              <w:rPr>
                <w:rFonts w:ascii="Arial" w:cs="Arial" w:eastAsia="Arial" w:hAnsi="Arial"/>
                <w:sz w:val="13"/>
                <w:szCs w:val="13"/>
                <w:b w:val="1"/>
                <w:bCs w:val="1"/>
                <w:color w:val="auto"/>
              </w:rPr>
              <w:t>Net cash provided by operating activities</w:t>
            </w:r>
          </w:p>
        </w:tc>
        <w:tc>
          <w:tcPr>
            <w:tcW w:w="120" w:type="dxa"/>
            <w:vAlign w:val="bottom"/>
          </w:tcPr>
          <w:p>
            <w:pPr>
              <w:spacing w:after="0"/>
              <w:rPr>
                <w:sz w:val="13"/>
                <w:szCs w:val="13"/>
                <w:color w:val="auto"/>
              </w:rPr>
            </w:pP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auto"/>
              </w:rPr>
              <w:t>13,836</w:t>
            </w:r>
          </w:p>
        </w:tc>
        <w:tc>
          <w:tcPr>
            <w:tcW w:w="100" w:type="dxa"/>
            <w:vAlign w:val="bottom"/>
          </w:tcPr>
          <w:p>
            <w:pPr>
              <w:spacing w:after="0"/>
              <w:rPr>
                <w:sz w:val="13"/>
                <w:szCs w:val="13"/>
                <w:color w:val="auto"/>
              </w:rPr>
            </w:pPr>
          </w:p>
        </w:tc>
        <w:tc>
          <w:tcPr>
            <w:tcW w:w="660" w:type="dxa"/>
            <w:vAlign w:val="bottom"/>
            <w:vMerge w:val="restart"/>
          </w:tcPr>
          <w:p>
            <w:pPr>
              <w:jc w:val="right"/>
              <w:ind w:right="40"/>
              <w:spacing w:after="0"/>
              <w:rPr>
                <w:sz w:val="20"/>
                <w:szCs w:val="20"/>
                <w:color w:val="auto"/>
              </w:rPr>
            </w:pPr>
            <w:r>
              <w:rPr>
                <w:rFonts w:ascii="Arial" w:cs="Arial" w:eastAsia="Arial" w:hAnsi="Arial"/>
                <w:sz w:val="13"/>
                <w:szCs w:val="13"/>
                <w:color w:val="auto"/>
              </w:rPr>
              <w:t>6,754</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(3,262)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38"/>
              <w:spacing w:after="0"/>
              <w:rPr>
                <w:sz w:val="20"/>
                <w:szCs w:val="20"/>
                <w:color w:val="auto"/>
              </w:rPr>
            </w:pPr>
            <w:r>
              <w:rPr>
                <w:rFonts w:ascii="Arial" w:cs="Arial" w:eastAsia="Arial" w:hAnsi="Arial"/>
                <w:sz w:val="13"/>
                <w:szCs w:val="13"/>
                <w:color w:val="auto"/>
              </w:rPr>
              <w:t>17,328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auto"/>
              </w:rPr>
              <w:t>14,383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vMerge w:val="restart"/>
          </w:tcPr>
          <w:p>
            <w:pPr>
              <w:jc w:val="right"/>
              <w:ind w:right="38"/>
              <w:spacing w:after="0"/>
              <w:rPr>
                <w:sz w:val="20"/>
                <w:szCs w:val="20"/>
                <w:color w:val="auto"/>
              </w:rPr>
            </w:pPr>
            <w:r>
              <w:rPr>
                <w:rFonts w:ascii="Arial" w:cs="Arial" w:eastAsia="Arial" w:hAnsi="Arial"/>
                <w:sz w:val="13"/>
                <w:szCs w:val="13"/>
                <w:color w:val="auto"/>
              </w:rPr>
              <w:t>4,947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(2,723)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38"/>
              <w:spacing w:after="0"/>
              <w:rPr>
                <w:sz w:val="20"/>
                <w:szCs w:val="20"/>
                <w:color w:val="auto"/>
              </w:rPr>
            </w:pPr>
            <w:r>
              <w:rPr>
                <w:rFonts w:ascii="Arial" w:cs="Arial" w:eastAsia="Arial" w:hAnsi="Arial"/>
                <w:sz w:val="13"/>
                <w:szCs w:val="13"/>
                <w:color w:val="auto"/>
              </w:rPr>
              <w:t>16,607</w:t>
            </w:r>
          </w:p>
        </w:tc>
        <w:tc>
          <w:tcPr>
            <w:tcW w:w="0" w:type="dxa"/>
            <w:vAlign w:val="bottom"/>
          </w:tcPr>
          <w:p>
            <w:pPr>
              <w:spacing w:after="0"/>
              <w:rPr>
                <w:sz w:val="1"/>
                <w:szCs w:val="1"/>
                <w:color w:val="auto"/>
              </w:rPr>
            </w:pPr>
          </w:p>
        </w:tc>
      </w:tr>
      <w:tr>
        <w:trPr>
          <w:trHeight w:val="81"/>
        </w:trPr>
        <w:tc>
          <w:tcPr>
            <w:tcW w:w="3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investing activities</w:t>
      </w:r>
    </w:p>
    <w:p>
      <w:pPr>
        <w:sectPr>
          <w:pgSz w:w="11900" w:h="16838" w:orient="portrait"/>
          <w:cols w:equalWidth="0" w:num="1">
            <w:col w:w="11420"/>
          </w:cols>
          <w:pgMar w:left="240" w:top="337" w:right="239" w:bottom="147" w:gutter="0" w:footer="0" w:header="0"/>
        </w:sectPr>
      </w:pP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Expenditures for property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Acquisition of companies/investments, net of cash acquired</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of finance receivables, net(a)(b)</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Principal collections and recoveries on finance receivables(b)</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of leased vehicles,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Proceeds from termination of leased vehicles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investing activities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Net cash used in investing activities – continuing operations</w:t>
      </w:r>
    </w:p>
    <w:p>
      <w:pPr>
        <w:spacing w:after="0" w:line="132" w:lineRule="exact"/>
        <w:rPr>
          <w:sz w:val="20"/>
          <w:szCs w:val="20"/>
          <w:color w:val="auto"/>
        </w:rPr>
      </w:pPr>
    </w:p>
    <w:p>
      <w:pPr>
        <w:ind w:left="340" w:right="540" w:hanging="161"/>
        <w:spacing w:after="0" w:line="230" w:lineRule="auto"/>
        <w:rPr>
          <w:sz w:val="20"/>
          <w:szCs w:val="20"/>
          <w:color w:val="auto"/>
        </w:rPr>
      </w:pPr>
      <w:r>
        <w:rPr>
          <w:rFonts w:ascii="Arial" w:cs="Arial" w:eastAsia="Arial" w:hAnsi="Arial"/>
          <w:sz w:val="13"/>
          <w:szCs w:val="13"/>
          <w:color w:val="auto"/>
        </w:rPr>
        <w:t>Net cash provided by (used in) investing activities – discontinued operations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used in investing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780" w:type="dxa"/>
            <w:vAlign w:val="bottom"/>
          </w:tcPr>
          <w:p>
            <w:pPr>
              <w:jc w:val="right"/>
              <w:spacing w:after="0"/>
              <w:rPr>
                <w:sz w:val="20"/>
                <w:szCs w:val="20"/>
                <w:color w:val="auto"/>
              </w:rPr>
            </w:pPr>
            <w:r>
              <w:rPr>
                <w:rFonts w:ascii="Arial" w:cs="Arial" w:eastAsia="Arial" w:hAnsi="Arial"/>
                <w:sz w:val="13"/>
                <w:szCs w:val="13"/>
                <w:color w:val="auto"/>
              </w:rPr>
              <w:t>(8,359)</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(8,453)</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(8,291)</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(8,384)</w:t>
            </w:r>
          </w:p>
        </w:tc>
      </w:tr>
      <w:tr>
        <w:trPr>
          <w:trHeight w:val="270"/>
        </w:trPr>
        <w:tc>
          <w:tcPr>
            <w:tcW w:w="780" w:type="dxa"/>
            <w:vAlign w:val="bottom"/>
          </w:tcPr>
          <w:p>
            <w:pPr>
              <w:jc w:val="right"/>
              <w:spacing w:after="0"/>
              <w:rPr>
                <w:sz w:val="20"/>
                <w:szCs w:val="20"/>
                <w:color w:val="auto"/>
              </w:rPr>
            </w:pPr>
            <w:r>
              <w:rPr>
                <w:rFonts w:ascii="Arial" w:cs="Arial" w:eastAsia="Arial" w:hAnsi="Arial"/>
                <w:sz w:val="13"/>
                <w:szCs w:val="13"/>
                <w:color w:val="auto"/>
              </w:rPr>
              <w:t>(5,503)</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(5,503)</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(15,182)</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(15,182)</w:t>
            </w:r>
          </w:p>
        </w:tc>
      </w:tr>
      <w:tr>
        <w:trPr>
          <w:trHeight w:val="270"/>
        </w:trPr>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(262)</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(262)</w:t>
            </w:r>
          </w:p>
        </w:tc>
      </w:tr>
      <w:tr>
        <w:trPr>
          <w:trHeight w:val="270"/>
        </w:trPr>
        <w:tc>
          <w:tcPr>
            <w:tcW w:w="780" w:type="dxa"/>
            <w:vAlign w:val="bottom"/>
          </w:tcPr>
          <w:p>
            <w:pPr>
              <w:jc w:val="right"/>
              <w:ind w:right="37"/>
              <w:spacing w:after="0"/>
              <w:rPr>
                <w:sz w:val="20"/>
                <w:szCs w:val="20"/>
                <w:color w:val="auto"/>
              </w:rPr>
            </w:pPr>
            <w:r>
              <w:rPr>
                <w:rFonts w:ascii="Arial" w:cs="Arial" w:eastAsia="Arial" w:hAnsi="Arial"/>
                <w:sz w:val="13"/>
                <w:szCs w:val="13"/>
                <w:color w:val="auto"/>
              </w:rPr>
              <w:t>9,007</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9,007</w:t>
            </w:r>
          </w:p>
        </w:tc>
        <w:tc>
          <w:tcPr>
            <w:tcW w:w="10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10,871</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10,871</w:t>
            </w:r>
          </w:p>
        </w:tc>
      </w:tr>
      <w:tr>
        <w:trPr>
          <w:trHeight w:val="270"/>
        </w:trPr>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872</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872</w:t>
            </w:r>
          </w:p>
        </w:tc>
      </w:tr>
      <w:tr>
        <w:trPr>
          <w:trHeight w:val="270"/>
        </w:trPr>
        <w:tc>
          <w:tcPr>
            <w:tcW w:w="78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(804)</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(804)</w:t>
            </w:r>
          </w:p>
        </w:tc>
      </w:tr>
      <w:tr>
        <w:trPr>
          <w:trHeight w:val="270"/>
        </w:trPr>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(22,108)</w:t>
            </w:r>
          </w:p>
        </w:tc>
        <w:tc>
          <w:tcPr>
            <w:tcW w:w="120" w:type="dxa"/>
            <w:vAlign w:val="bottom"/>
          </w:tcPr>
          <w:p>
            <w:pPr>
              <w:spacing w:after="0"/>
              <w:rPr>
                <w:sz w:val="23"/>
                <w:szCs w:val="23"/>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2,783</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(19,325)</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(16,562)</w:t>
            </w:r>
          </w:p>
        </w:tc>
        <w:tc>
          <w:tcPr>
            <w:tcW w:w="10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2,184</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(14,378)</w:t>
            </w:r>
          </w:p>
        </w:tc>
      </w:tr>
      <w:tr>
        <w:trPr>
          <w:trHeight w:val="270"/>
        </w:trPr>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12,854</w:t>
            </w:r>
          </w:p>
        </w:tc>
        <w:tc>
          <w:tcPr>
            <w:tcW w:w="120" w:type="dxa"/>
            <w:vAlign w:val="bottom"/>
          </w:tcPr>
          <w:p>
            <w:pPr>
              <w:spacing w:after="0"/>
              <w:rPr>
                <w:sz w:val="23"/>
                <w:szCs w:val="23"/>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12,578</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9,899</w:t>
            </w:r>
          </w:p>
        </w:tc>
        <w:tc>
          <w:tcPr>
            <w:tcW w:w="1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9,899</w:t>
            </w:r>
          </w:p>
        </w:tc>
      </w:tr>
      <w:tr>
        <w:trPr>
          <w:trHeight w:val="270"/>
        </w:trPr>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(19,180)</w:t>
            </w:r>
          </w:p>
        </w:tc>
        <w:tc>
          <w:tcPr>
            <w:tcW w:w="1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(19,180)</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(19,495)</w:t>
            </w:r>
          </w:p>
        </w:tc>
        <w:tc>
          <w:tcPr>
            <w:tcW w:w="1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(19,495)</w:t>
            </w:r>
          </w:p>
        </w:tc>
      </w:tr>
      <w:tr>
        <w:trPr>
          <w:trHeight w:val="270"/>
        </w:trPr>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6,667</w:t>
            </w:r>
          </w:p>
        </w:tc>
        <w:tc>
          <w:tcPr>
            <w:tcW w:w="1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6,667</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2,554</w:t>
            </w:r>
          </w:p>
        </w:tc>
        <w:tc>
          <w:tcPr>
            <w:tcW w:w="1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2,554</w:t>
            </w:r>
          </w:p>
        </w:tc>
      </w:tr>
      <w:tr>
        <w:trPr>
          <w:trHeight w:val="280"/>
        </w:trPr>
        <w:tc>
          <w:tcPr>
            <w:tcW w:w="780" w:type="dxa"/>
            <w:vAlign w:val="bottom"/>
          </w:tcPr>
          <w:p>
            <w:pPr>
              <w:jc w:val="right"/>
              <w:ind w:right="37"/>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162</w:t>
            </w:r>
          </w:p>
        </w:tc>
      </w:tr>
      <w:tr>
        <w:trPr>
          <w:trHeight w:val="241"/>
        </w:trPr>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(4,717)</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(21,862)</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2,507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(24,072)</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(12,635)</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(23,696)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2,184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(34,147)</w:t>
            </w:r>
          </w:p>
        </w:tc>
      </w:tr>
      <w:tr>
        <w:trPr>
          <w:trHeight w:val="334"/>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(3,613)</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(3,500)</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(1,130)</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(905)</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539</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(1,496)</w:t>
            </w:r>
          </w:p>
        </w:tc>
      </w:tr>
      <w:tr>
        <w:trPr>
          <w:trHeight w:val="241"/>
        </w:trPr>
        <w:tc>
          <w:tcPr>
            <w:tcW w:w="780" w:type="dxa"/>
            <w:vAlign w:val="bottom"/>
          </w:tcPr>
          <w:p>
            <w:pPr>
              <w:jc w:val="right"/>
              <w:spacing w:after="0"/>
              <w:rPr>
                <w:sz w:val="20"/>
                <w:szCs w:val="20"/>
                <w:color w:val="auto"/>
              </w:rPr>
            </w:pPr>
            <w:r>
              <w:rPr>
                <w:rFonts w:ascii="Arial" w:cs="Arial" w:eastAsia="Arial" w:hAnsi="Arial"/>
                <w:sz w:val="13"/>
                <w:szCs w:val="13"/>
                <w:color w:val="auto"/>
              </w:rPr>
              <w:t>(8,330)</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(21,858)</w:t>
            </w:r>
          </w:p>
        </w:tc>
        <w:tc>
          <w:tcPr>
            <w:tcW w:w="120" w:type="dxa"/>
            <w:vAlign w:val="bottom"/>
          </w:tcPr>
          <w:p>
            <w:pPr>
              <w:spacing w:after="0"/>
              <w:rPr>
                <w:sz w:val="20"/>
                <w:szCs w:val="20"/>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2,616</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(27,572)</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(13,765)</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(24,601)</w:t>
            </w:r>
          </w:p>
        </w:tc>
        <w:tc>
          <w:tcPr>
            <w:tcW w:w="100" w:type="dxa"/>
            <w:vAlign w:val="bottom"/>
          </w:tcPr>
          <w:p>
            <w:pPr>
              <w:spacing w:after="0"/>
              <w:rPr>
                <w:sz w:val="20"/>
                <w:szCs w:val="20"/>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2,723</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-2252980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-1910080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-1567180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-1224280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-881380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-537845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-160655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181610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3580" w:space="120"/>
            <w:col w:w="7720"/>
          </w:cols>
          <w:pgMar w:left="240" w:top="337" w:right="239" w:bottom="147" w:gutter="0" w:footer="0" w:header="0"/>
          <w:type w:val="continuous"/>
        </w:sectPr>
      </w:pPr>
    </w:p>
    <w:p>
      <w:pPr>
        <w:ind w:left="180"/>
        <w:spacing w:after="0"/>
        <w:rPr>
          <w:sz w:val="20"/>
          <w:szCs w:val="20"/>
          <w:color w:val="auto"/>
        </w:rPr>
      </w:pPr>
      <w:r>
        <w:rPr>
          <w:rFonts w:ascii="Arial" w:cs="Arial" w:eastAsia="Arial" w:hAnsi="Arial"/>
          <w:sz w:val="13"/>
          <w:szCs w:val="13"/>
          <w:color w:val="auto"/>
        </w:rPr>
        <w:t>Net increase (decrease) in short-term debt</w:t>
      </w:r>
    </w:p>
    <w:p>
      <w:pPr>
        <w:spacing w:after="0" w:line="121" w:lineRule="exact"/>
        <w:rPr>
          <w:sz w:val="20"/>
          <w:szCs w:val="20"/>
          <w:color w:val="auto"/>
        </w:rPr>
      </w:pPr>
    </w:p>
    <w:p>
      <w:pPr>
        <w:ind w:left="340" w:right="220" w:hanging="161"/>
        <w:spacing w:after="0" w:line="230" w:lineRule="auto"/>
        <w:rPr>
          <w:sz w:val="20"/>
          <w:szCs w:val="20"/>
          <w:color w:val="auto"/>
        </w:rPr>
      </w:pPr>
      <w:r>
        <w:rPr>
          <w:rFonts w:ascii="Arial" w:cs="Arial" w:eastAsia="Arial" w:hAnsi="Arial"/>
          <w:sz w:val="13"/>
          <w:szCs w:val="13"/>
          <w:color w:val="auto"/>
        </w:rPr>
        <w:t>Proceeds from issuance of debt (original maturities greater than three months)</w:t>
      </w:r>
    </w:p>
    <w:p>
      <w:pPr>
        <w:spacing w:after="0" w:line="38" w:lineRule="exact"/>
        <w:rPr>
          <w:sz w:val="20"/>
          <w:szCs w:val="20"/>
          <w:color w:val="auto"/>
        </w:rPr>
      </w:pPr>
    </w:p>
    <w:p>
      <w:pPr>
        <w:ind w:left="340" w:right="380" w:hanging="161"/>
        <w:spacing w:after="0" w:line="230" w:lineRule="auto"/>
        <w:rPr>
          <w:sz w:val="20"/>
          <w:szCs w:val="20"/>
          <w:color w:val="auto"/>
        </w:rPr>
      </w:pPr>
      <w:r>
        <w:rPr>
          <w:rFonts w:ascii="Arial" w:cs="Arial" w:eastAsia="Arial" w:hAnsi="Arial"/>
          <w:sz w:val="13"/>
          <w:szCs w:val="13"/>
          <w:color w:val="auto"/>
        </w:rPr>
        <w:t>Payments on debt (original maturities greater than three months)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Payments to purchase common stock</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Proceeds from issuance of GM Financial preferred stock</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Dividends paid(c)</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financing activities</w:t>
      </w:r>
    </w:p>
    <w:p>
      <w:pPr>
        <w:spacing w:after="0" w:line="121" w:lineRule="exact"/>
        <w:rPr>
          <w:sz w:val="20"/>
          <w:szCs w:val="20"/>
          <w:color w:val="auto"/>
        </w:rPr>
      </w:pPr>
    </w:p>
    <w:p>
      <w:pPr>
        <w:ind w:left="340" w:hanging="161"/>
        <w:spacing w:after="0" w:line="230" w:lineRule="auto"/>
        <w:rPr>
          <w:sz w:val="20"/>
          <w:szCs w:val="20"/>
          <w:color w:val="auto"/>
        </w:rPr>
      </w:pPr>
      <w:r>
        <w:rPr>
          <w:rFonts w:ascii="Arial" w:cs="Arial" w:eastAsia="Arial" w:hAnsi="Arial"/>
          <w:sz w:val="13"/>
          <w:szCs w:val="13"/>
          <w:color w:val="auto"/>
        </w:rPr>
        <w:t>Net cash provided by (used in) financing activities – continuing operations</w:t>
      </w:r>
    </w:p>
    <w:p>
      <w:pPr>
        <w:spacing w:after="0" w:line="38" w:lineRule="exact"/>
        <w:rPr>
          <w:sz w:val="20"/>
          <w:szCs w:val="20"/>
          <w:color w:val="auto"/>
        </w:rPr>
      </w:pPr>
    </w:p>
    <w:p>
      <w:pPr>
        <w:ind w:left="340" w:right="620" w:hanging="161"/>
        <w:spacing w:after="0" w:line="230" w:lineRule="auto"/>
        <w:rPr>
          <w:sz w:val="20"/>
          <w:szCs w:val="20"/>
          <w:color w:val="auto"/>
        </w:rPr>
      </w:pPr>
      <w:r>
        <w:rPr>
          <w:rFonts w:ascii="Arial" w:cs="Arial" w:eastAsia="Arial" w:hAnsi="Arial"/>
          <w:sz w:val="13"/>
          <w:szCs w:val="13"/>
          <w:color w:val="auto"/>
        </w:rPr>
        <w:t>Net cash provided by (used in) financing activities – discontinued operations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(used in) financing activities</w:t>
      </w:r>
    </w:p>
    <w:p>
      <w:pPr>
        <w:spacing w:after="0" w:line="56" w:lineRule="exact"/>
        <w:rPr>
          <w:sz w:val="20"/>
          <w:szCs w:val="20"/>
          <w:color w:val="auto"/>
        </w:rPr>
      </w:pPr>
    </w:p>
    <w:p>
      <w:pPr>
        <w:ind w:left="340" w:right="200" w:hanging="161"/>
        <w:spacing w:after="0" w:line="230" w:lineRule="auto"/>
        <w:rPr>
          <w:sz w:val="20"/>
          <w:szCs w:val="20"/>
          <w:color w:val="auto"/>
        </w:rPr>
      </w:pPr>
      <w:r>
        <w:rPr>
          <w:rFonts w:ascii="Arial" w:cs="Arial" w:eastAsia="Arial" w:hAnsi="Arial"/>
          <w:sz w:val="13"/>
          <w:szCs w:val="13"/>
          <w:color w:val="auto"/>
        </w:rPr>
        <w:t>Effect of exchange rate changes on cash, cash equivalents and restricted cash</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transactions with Automotive/GM Financial</w:t>
      </w:r>
    </w:p>
    <w:p>
      <w:pPr>
        <w:spacing w:after="0" w:line="121" w:lineRule="exact"/>
        <w:rPr>
          <w:sz w:val="20"/>
          <w:szCs w:val="20"/>
          <w:color w:val="auto"/>
        </w:rPr>
      </w:pPr>
    </w:p>
    <w:p>
      <w:pPr>
        <w:ind w:left="340" w:right="460" w:hanging="161"/>
        <w:spacing w:after="0" w:line="230" w:lineRule="auto"/>
        <w:rPr>
          <w:sz w:val="20"/>
          <w:szCs w:val="20"/>
          <w:color w:val="auto"/>
        </w:rPr>
      </w:pPr>
      <w:r>
        <w:rPr>
          <w:rFonts w:ascii="Arial" w:cs="Arial" w:eastAsia="Arial" w:hAnsi="Arial"/>
          <w:sz w:val="13"/>
          <w:szCs w:val="13"/>
          <w:color w:val="auto"/>
        </w:rPr>
        <w:t>Net increase (decrease) in cash, cash equivalents and restricted cash</w:t>
      </w:r>
    </w:p>
    <w:p>
      <w:pPr>
        <w:spacing w:after="0" w:line="38" w:lineRule="exact"/>
        <w:rPr>
          <w:sz w:val="20"/>
          <w:szCs w:val="20"/>
          <w:color w:val="auto"/>
        </w:rPr>
      </w:pPr>
    </w:p>
    <w:p>
      <w:pPr>
        <w:ind w:left="200" w:right="360" w:hanging="161"/>
        <w:spacing w:after="0" w:line="230" w:lineRule="auto"/>
        <w:rPr>
          <w:sz w:val="20"/>
          <w:szCs w:val="20"/>
          <w:color w:val="auto"/>
        </w:rPr>
      </w:pPr>
      <w:r>
        <w:rPr>
          <w:rFonts w:ascii="Arial" w:cs="Arial" w:eastAsia="Arial" w:hAnsi="Arial"/>
          <w:sz w:val="13"/>
          <w:szCs w:val="13"/>
          <w:color w:val="auto"/>
        </w:rPr>
        <w:t>Cash, cash equivalents and restricted cash at beginning of period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Cash, cash equivalents and restricted cash at end of period</w:t>
      </w:r>
    </w:p>
    <w:p>
      <w:pPr>
        <w:spacing w:after="0" w:line="148" w:lineRule="exact"/>
        <w:rPr>
          <w:sz w:val="20"/>
          <w:szCs w:val="20"/>
          <w:color w:val="auto"/>
        </w:rPr>
      </w:pPr>
    </w:p>
    <w:p>
      <w:pPr>
        <w:ind w:left="200" w:right="500" w:hanging="161"/>
        <w:spacing w:after="0" w:line="230" w:lineRule="auto"/>
        <w:rPr>
          <w:sz w:val="20"/>
          <w:szCs w:val="20"/>
          <w:color w:val="auto"/>
        </w:rPr>
      </w:pPr>
      <w:r>
        <w:rPr>
          <w:rFonts w:ascii="Arial" w:cs="Arial" w:eastAsia="Arial" w:hAnsi="Arial"/>
          <w:sz w:val="13"/>
          <w:szCs w:val="13"/>
          <w:color w:val="auto"/>
        </w:rPr>
        <w:t>Cash, cash equivalents and restricted cash – continuing operations at end of period</w:t>
      </w:r>
    </w:p>
    <w:p>
      <w:pPr>
        <w:spacing w:after="0" w:line="38" w:lineRule="exact"/>
        <w:rPr>
          <w:sz w:val="20"/>
          <w:szCs w:val="20"/>
          <w:color w:val="auto"/>
        </w:rPr>
      </w:pPr>
    </w:p>
    <w:p>
      <w:pPr>
        <w:ind w:left="200" w:right="380" w:hanging="161"/>
        <w:spacing w:after="0" w:line="230" w:lineRule="auto"/>
        <w:rPr>
          <w:sz w:val="20"/>
          <w:szCs w:val="20"/>
          <w:color w:val="auto"/>
        </w:rPr>
      </w:pPr>
      <w:r>
        <w:rPr>
          <w:rFonts w:ascii="Arial" w:cs="Arial" w:eastAsia="Arial" w:hAnsi="Arial"/>
          <w:sz w:val="13"/>
          <w:szCs w:val="13"/>
          <w:color w:val="auto"/>
        </w:rPr>
        <w:t>Cash, cash equivalents and restricted cash – discontinued operations at end of period</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(282)</w:t>
            </w:r>
          </w:p>
        </w:tc>
      </w:tr>
      <w:tr>
        <w:trPr>
          <w:trHeight w:val="324"/>
        </w:trPr>
        <w:tc>
          <w:tcPr>
            <w:tcW w:w="18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3,824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48,363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52,187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2,423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39,613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42,036</w:t>
            </w:r>
          </w:p>
        </w:tc>
      </w:tr>
      <w:tr>
        <w:trPr>
          <w:trHeight w:val="324"/>
        </w:trPr>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4"/>
              </w:rPr>
              <w:t>(32,469)</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(33,592)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(679)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(20,048)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(20,727)</w:t>
            </w:r>
          </w:p>
        </w:tc>
      </w:tr>
      <w:tr>
        <w:trPr>
          <w:trHeight w:val="270"/>
        </w:trPr>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(4,492)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(2,500)</w:t>
            </w:r>
          </w:p>
        </w:tc>
      </w:tr>
      <w:tr>
        <w:trPr>
          <w:trHeight w:val="270"/>
        </w:trPr>
        <w:tc>
          <w:tcPr>
            <w:tcW w:w="18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(2,368)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(2,368)</w:t>
            </w:r>
          </w:p>
        </w:tc>
      </w:tr>
      <w:tr>
        <w:trPr>
          <w:trHeight w:val="280"/>
        </w:trPr>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r>
      <w:tr>
        <w:trPr>
          <w:trHeight w:val="295"/>
        </w:trPr>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16,069</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12,410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19,125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15,996</w:t>
            </w:r>
          </w:p>
        </w:tc>
      </w:tr>
      <w:tr>
        <w:trPr>
          <w:trHeight w:val="334"/>
        </w:trPr>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219</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1,109</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1,081</w:t>
            </w:r>
          </w:p>
        </w:tc>
      </w:tr>
      <w:tr>
        <w:trPr>
          <w:trHeight w:val="241"/>
        </w:trPr>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16,288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646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12,584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20,234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17,077</w:t>
            </w:r>
          </w:p>
        </w:tc>
      </w:tr>
      <w:tr>
        <w:trPr>
          <w:trHeight w:val="324"/>
        </w:trPr>
        <w:tc>
          <w:tcPr>
            <w:tcW w:w="18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(213)</w:t>
            </w:r>
          </w:p>
        </w:tc>
      </w:tr>
      <w:tr>
        <w:trPr>
          <w:trHeight w:val="280"/>
        </w:trPr>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95"/>
        </w:trPr>
        <w:tc>
          <w:tcPr>
            <w:tcW w:w="18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1,423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1,265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2,688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(2,532)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(2,172)</w:t>
            </w:r>
          </w:p>
        </w:tc>
      </w:tr>
      <w:tr>
        <w:trPr>
          <w:trHeight w:val="334"/>
        </w:trPr>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9,858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5,302</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15,160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12,390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4,942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17,332</w:t>
            </w:r>
          </w:p>
        </w:tc>
      </w:tr>
      <w:tr>
        <w:trPr>
          <w:trHeight w:val="237"/>
        </w:trPr>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11,281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6,567</w:t>
            </w:r>
          </w:p>
        </w:tc>
        <w:tc>
          <w:tcPr>
            <w:tcW w:w="120" w:type="dxa"/>
            <w:vAlign w:val="bottom"/>
          </w:tcPr>
          <w:p>
            <w:pPr>
              <w:spacing w:after="0"/>
              <w:rPr>
                <w:sz w:val="20"/>
                <w:szCs w:val="20"/>
                <w:color w:val="auto"/>
              </w:rPr>
            </w:pPr>
          </w:p>
        </w:tc>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17,848</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9,858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5,302</w:t>
            </w:r>
          </w:p>
        </w:tc>
        <w:tc>
          <w:tcPr>
            <w:tcW w:w="100" w:type="dxa"/>
            <w:vAlign w:val="bottom"/>
          </w:tcPr>
          <w:p>
            <w:pPr>
              <w:spacing w:after="0"/>
              <w:rPr>
                <w:sz w:val="20"/>
                <w:szCs w:val="20"/>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15,160</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68"/>
        </w:trPr>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11,281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6,567</w:t>
            </w:r>
          </w:p>
        </w:tc>
        <w:tc>
          <w:tcPr>
            <w:tcW w:w="120" w:type="dxa"/>
            <w:vAlign w:val="bottom"/>
          </w:tcPr>
          <w:p>
            <w:pPr>
              <w:spacing w:after="0"/>
              <w:rPr>
                <w:sz w:val="23"/>
                <w:szCs w:val="23"/>
                <w:color w:val="auto"/>
              </w:rPr>
            </w:pPr>
          </w:p>
        </w:tc>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17,848</w:t>
            </w:r>
          </w:p>
        </w:tc>
        <w:tc>
          <w:tcPr>
            <w:tcW w:w="100" w:type="dxa"/>
            <w:vAlign w:val="bottom"/>
          </w:tcPr>
          <w:p>
            <w:pPr>
              <w:spacing w:after="0"/>
              <w:rPr>
                <w:sz w:val="23"/>
                <w:szCs w:val="23"/>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9,857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4,630</w:t>
            </w:r>
          </w:p>
        </w:tc>
        <w:tc>
          <w:tcPr>
            <w:tcW w:w="100" w:type="dxa"/>
            <w:vAlign w:val="bottom"/>
          </w:tcPr>
          <w:p>
            <w:pPr>
              <w:spacing w:after="0"/>
              <w:rPr>
                <w:sz w:val="23"/>
                <w:szCs w:val="23"/>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14,487</w:t>
            </w:r>
          </w:p>
        </w:tc>
      </w:tr>
      <w:tr>
        <w:trPr>
          <w:trHeight w:val="324"/>
        </w:trPr>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672</w:t>
            </w:r>
          </w:p>
        </w:tc>
        <w:tc>
          <w:tcPr>
            <w:tcW w:w="100" w:type="dxa"/>
            <w:vAlign w:val="bottom"/>
          </w:tcPr>
          <w:p>
            <w:pPr>
              <w:spacing w:after="0"/>
              <w:rPr>
                <w:sz w:val="24"/>
                <w:szCs w:val="24"/>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-2836545</wp:posOffset>
            </wp:positionV>
            <wp:extent cx="724662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-2458720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-2115820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-1738630</wp:posOffset>
            </wp:positionV>
            <wp:extent cx="724662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-1361440</wp:posOffset>
            </wp:positionV>
            <wp:extent cx="724662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-984250</wp:posOffset>
            </wp:positionV>
            <wp:extent cx="724662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-572135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-194945</wp:posOffset>
            </wp:positionV>
            <wp:extent cx="724662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3660" w:space="40"/>
            <w:col w:w="7720"/>
          </w:cols>
          <w:pgMar w:left="240" w:top="337" w:right="239" w:bottom="147" w:gutter="0" w:footer="0" w:header="0"/>
          <w:type w:val="continuous"/>
        </w:sectPr>
      </w:pPr>
    </w:p>
    <w:p>
      <w:pPr>
        <w:ind w:left="340" w:hanging="332"/>
        <w:spacing w:after="0" w:line="230" w:lineRule="auto"/>
        <w:tabs>
          <w:tab w:leader="none" w:pos="3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Reclassifications of $2.1 billion and $2.2 billion in the years ended December 31, 2017 and 2016 for purchases/collections of wholesale finance receivables resulting from vehicles sold by GM to dealers that have arranged their inventory floor plan financing through GM Financial.</w:t>
      </w:r>
    </w:p>
    <w:p>
      <w:pPr>
        <w:ind w:left="340" w:right="20" w:hanging="332"/>
        <w:spacing w:after="0" w:line="230" w:lineRule="auto"/>
        <w:tabs>
          <w:tab w:leader="none" w:pos="3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Eliminations include $313 million in change in other operating assets and liabilities, $524 million in purchases of finance receivables, net, and $276 million in principal collections and recoveries on finance receivables related to retiming of cash receipts and payments between Automotive and GM Financial.</w:t>
      </w:r>
    </w:p>
    <w:p>
      <w:pPr>
        <w:ind w:left="340" w:hanging="332"/>
        <w:spacing w:after="0"/>
        <w:tabs>
          <w:tab w:leader="none" w:pos="3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Eliminations include dividends issued by GM Financial to Automotive.</w:t>
      </w:r>
    </w:p>
    <w:p>
      <w:pPr>
        <w:sectPr>
          <w:pgSz w:w="11900" w:h="16838" w:orient="portrait"/>
          <w:cols w:equalWidth="0" w:num="1">
            <w:col w:w="11420"/>
          </w:cols>
          <w:pgMar w:left="240" w:top="337" w:right="239" w:bottom="147" w:gutter="0" w:footer="0" w:header="0"/>
          <w:type w:val="continuous"/>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sectPr>
      <w:pgSz w:w="11900" w:h="16838" w:orient="portrait"/>
      <w:cols w:equalWidth="0" w:num="1">
        <w:col w:w="11420"/>
      </w:cols>
      <w:pgMar w:left="240" w:top="337" w:right="239" w:bottom="1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4"/>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2019-12-29T02:02:18Z</dcterms:created>
  <dcterms:modified xsi:type="dcterms:W3CDTF">2019-12-29T02:02:18Z</dcterms:modified>
</cp:coreProperties>
</file>