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16,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On July 16, 2014, General Motors Company issued a news release announcing 2014 second quarter global sales. The release and charts are attached as Exhibit 99.1.</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5420" w:type="dxa"/>
            <w:vAlign w:val="bottom"/>
            <w:gridSpan w:val="6"/>
          </w:tcPr>
          <w:p>
            <w:pPr>
              <w:spacing w:after="0"/>
              <w:rPr>
                <w:sz w:val="20"/>
                <w:szCs w:val="20"/>
                <w:color w:val="auto"/>
              </w:rPr>
            </w:pPr>
            <w:r>
              <w:rPr>
                <w:rFonts w:ascii="Arial" w:cs="Arial" w:eastAsia="Arial" w:hAnsi="Arial"/>
                <w:sz w:val="18"/>
                <w:szCs w:val="18"/>
                <w:color w:val="auto"/>
                <w:w w:val="89"/>
              </w:rPr>
              <w:t>2014 Second Quarter Global Sales Release and Charts 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July 16, 2014</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040"/>
          </w:cols>
          <w:pgMar w:left="240" w:top="796" w:right="6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40" w:type="dxa"/>
            <w:vAlign w:val="bottom"/>
            <w:vMerge w:val="restart"/>
          </w:tcPr>
          <w:p>
            <w:pPr>
              <w:spacing w:after="0"/>
              <w:rPr>
                <w:sz w:val="20"/>
                <w:szCs w:val="20"/>
                <w:color w:val="auto"/>
              </w:rPr>
            </w:pPr>
            <w:r>
              <w:rPr>
                <w:rFonts w:ascii="Arial" w:cs="Arial" w:eastAsia="Arial" w:hAnsi="Arial"/>
                <w:sz w:val="18"/>
                <w:szCs w:val="18"/>
                <w:color w:val="auto"/>
              </w:rPr>
              <w:t>Date: July 18, 2014</w:t>
            </w:r>
          </w:p>
        </w:tc>
        <w:tc>
          <w:tcPr>
            <w:tcW w:w="2700" w:type="dxa"/>
            <w:vAlign w:val="bottom"/>
            <w:vMerge w:val="restart"/>
          </w:tcPr>
          <w:p>
            <w:pPr>
              <w:ind w:left="204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40" w:type="dxa"/>
            <w:vAlign w:val="bottom"/>
            <w:vMerge w:val="continue"/>
          </w:tcPr>
          <w:p>
            <w:pPr>
              <w:spacing w:after="0"/>
              <w:rPr>
                <w:sz w:val="19"/>
                <w:szCs w:val="19"/>
                <w:color w:val="auto"/>
              </w:rPr>
            </w:pPr>
          </w:p>
        </w:tc>
        <w:tc>
          <w:tcPr>
            <w:tcW w:w="2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99.1</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July 16, 2014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Delivered 2.5 Million Vehicles Globally in Q2</w:t>
      </w:r>
    </w:p>
    <w:p>
      <w:pPr>
        <w:spacing w:after="0" w:line="283"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sold 2,505,889 vehicles around the world in the second quarter of 2014, with year-over-year</w:t>
      </w:r>
      <w:r>
        <w:rPr>
          <w:rFonts w:ascii="Arial" w:cs="Arial" w:eastAsia="Arial" w:hAnsi="Arial"/>
          <w:sz w:val="20"/>
          <w:szCs w:val="20"/>
          <w:b w:val="1"/>
          <w:bCs w:val="1"/>
          <w:color w:val="auto"/>
        </w:rPr>
        <w:t xml:space="preserve"> </w:t>
      </w:r>
      <w:r>
        <w:rPr>
          <w:rFonts w:ascii="Arial" w:cs="Arial" w:eastAsia="Arial" w:hAnsi="Arial"/>
          <w:sz w:val="20"/>
          <w:szCs w:val="20"/>
          <w:color w:val="auto"/>
        </w:rPr>
        <w:t>sales in the United States and China up 7 percent and 8 percent, respectively. Total sales were up one-half percent in the second quarter. In the first half, GM sold 4,921,928 vehicles, up 1.4 percent.</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“GM did well in the world’s two largest and most profitable vehicle markets and that helped us grow despite very challenging market conditions in parts of South America, Asia and Eastern Europe,” said GM CEO Mary Barra. “We are investing in our brands around the world to keep our momentum going, and that includes growing Cadillac in China, launching a total of 27 new Opel models between 2014 and 2018 and entering new segments in North America with vehicles like the Chevrolet Colorado and GMC Canyon.”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 (vs. 2013)</w:t>
      </w:r>
    </w:p>
    <w:p>
      <w:pPr>
        <w:spacing w:after="0" w:line="22" w:lineRule="exact"/>
        <w:rPr>
          <w:sz w:val="20"/>
          <w:szCs w:val="20"/>
          <w:color w:val="auto"/>
        </w:rPr>
      </w:pPr>
    </w:p>
    <w:p>
      <w:pPr>
        <w:ind w:left="660" w:right="180" w:hanging="328"/>
        <w:spacing w:after="0" w:line="26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Chevrolet had record sales in China in the first half of 2014 and the strong performance of the brand’s new full-size pickups and large SUVs in North America helped GM achieve record average transaction prices in both the second quarter and first half.</w:t>
      </w:r>
    </w:p>
    <w:p>
      <w:pPr>
        <w:ind w:left="660" w:right="4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Buick, which celebrated the best sales year in the brand’s 110-year history in 2013, posted an 11 percent increase in the quarter and it is up 12 percent year to date. Buick global sales in the first six months of 2014 are 152 percent higher than they were just six years ago, growth that has outpaced all major American, European, Japanese and Korean makes.</w:t>
      </w:r>
    </w:p>
    <w:p>
      <w:pPr>
        <w:spacing w:after="0" w:line="1" w:lineRule="exact"/>
        <w:rPr>
          <w:rFonts w:ascii="Arial" w:cs="Arial" w:eastAsia="Arial" w:hAnsi="Arial"/>
          <w:sz w:val="18"/>
          <w:szCs w:val="18"/>
          <w:color w:val="auto"/>
        </w:rPr>
      </w:pPr>
    </w:p>
    <w:p>
      <w:pPr>
        <w:ind w:left="660" w:right="40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Cadillac’s global sales were up 14 percent in the quarter, including a 51 percent increase in China. Calendar year to date, deliveries were up 12 percent, driven by a 72 percent increase in China sales.</w:t>
      </w:r>
    </w:p>
    <w:p>
      <w:pPr>
        <w:spacing w:after="0" w:line="1" w:lineRule="exact"/>
        <w:rPr>
          <w:rFonts w:ascii="Arial" w:cs="Arial" w:eastAsia="Arial" w:hAnsi="Arial"/>
          <w:sz w:val="18"/>
          <w:szCs w:val="18"/>
          <w:color w:val="auto"/>
        </w:rPr>
      </w:pPr>
    </w:p>
    <w:p>
      <w:pPr>
        <w:ind w:left="660" w:right="460" w:hanging="328"/>
        <w:spacing w:after="0" w:line="298"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Opel/Vauxhall sales increased 3 percent in the second quarter. Sales were up 4 percent in the first half and Opel gained share in 11 European markets. In addition, the Mokka was the best-selling SUV in the first six months of the year in Germany.</w:t>
      </w:r>
    </w:p>
    <w:p>
      <w:pPr>
        <w:spacing w:after="0" w:line="148" w:lineRule="exact"/>
        <w:rPr>
          <w:sz w:val="20"/>
          <w:szCs w:val="20"/>
          <w:color w:val="auto"/>
        </w:rPr>
      </w:pPr>
    </w:p>
    <w:p>
      <w:pPr>
        <w:jc w:val="both"/>
        <w:ind w:right="100"/>
        <w:spacing w:after="0" w:line="258"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 xml:space="preserve">(NYSE:GM, TSX: GMM) and its partners produce vehicles in 30 countries, and the company has leadership positions in the world's 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r>
        <w:rPr>
          <w:rFonts w:ascii="Arial" w:cs="Arial" w:eastAsia="Arial" w:hAnsi="Arial"/>
          <w:sz w:val="16"/>
          <w:szCs w:val="16"/>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32"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w:t>
      </w:r>
    </w:p>
    <w:p>
      <w:pPr>
        <w:sectPr>
          <w:pgSz w:w="11900" w:h="16838" w:orient="portrait"/>
          <w:cols w:equalWidth="0" w:num="1">
            <w:col w:w="11420"/>
          </w:cols>
          <w:pgMar w:left="240" w:top="1440" w:right="239" w:bottom="1440" w:gutter="0" w:footer="0" w:header="0"/>
        </w:sectPr>
      </w:pPr>
    </w:p>
    <w:bookmarkStart w:id="4" w:name="page5"/>
    <w:bookmarkEnd w:id="4"/>
    <w:p>
      <w:pPr>
        <w:ind w:right="80"/>
        <w:spacing w:after="0" w:line="252" w:lineRule="auto"/>
        <w:rPr>
          <w:sz w:val="20"/>
          <w:szCs w:val="20"/>
          <w:color w:val="auto"/>
        </w:rPr>
      </w:pPr>
      <w:r>
        <w:rPr>
          <w:rFonts w:ascii="Arial" w:cs="Arial" w:eastAsia="Arial" w:hAnsi="Arial"/>
          <w:sz w:val="14"/>
          <w:szCs w:val="14"/>
          <w:color w:val="auto"/>
        </w:rPr>
        <w:t>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GM Global Sales: January - June 2014</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220" w:type="dxa"/>
            <w:vAlign w:val="bottom"/>
            <w:tcBorders>
              <w:top w:val="single" w:sz="8" w:color="auto"/>
              <w:left w:val="single" w:sz="8" w:color="auto"/>
              <w:right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Q2 '14</w:t>
            </w:r>
          </w:p>
        </w:tc>
        <w:tc>
          <w:tcPr>
            <w:tcW w:w="1340" w:type="dxa"/>
            <w:vAlign w:val="bottom"/>
            <w:tcBorders>
              <w:top w:val="single" w:sz="8" w:color="auto"/>
              <w:right w:val="single" w:sz="8" w:color="auto"/>
            </w:tcBorders>
          </w:tcPr>
          <w:p>
            <w:pPr>
              <w:spacing w:after="0"/>
              <w:rPr>
                <w:sz w:val="23"/>
                <w:szCs w:val="23"/>
                <w:color w:val="auto"/>
              </w:rPr>
            </w:pPr>
          </w:p>
        </w:tc>
        <w:tc>
          <w:tcPr>
            <w:tcW w:w="410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0"/>
              </w:rPr>
              <w:t>2014 Calendar Year-to-Date</w:t>
            </w:r>
          </w:p>
        </w:tc>
        <w:tc>
          <w:tcPr>
            <w:tcW w:w="0" w:type="dxa"/>
            <w:vAlign w:val="bottom"/>
          </w:tcPr>
          <w:p>
            <w:pPr>
              <w:spacing w:after="0"/>
              <w:rPr>
                <w:sz w:val="1"/>
                <w:szCs w:val="1"/>
                <w:color w:val="auto"/>
              </w:rPr>
            </w:pPr>
          </w:p>
        </w:tc>
      </w:tr>
      <w:tr>
        <w:trPr>
          <w:trHeight w:val="23"/>
        </w:trPr>
        <w:tc>
          <w:tcPr>
            <w:tcW w:w="3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Region</w:t>
            </w: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220" w:type="dxa"/>
            <w:vAlign w:val="bottom"/>
            <w:tcBorders>
              <w:left w:val="single" w:sz="8" w:color="auto"/>
              <w:right w:val="single" w:sz="8" w:color="auto"/>
            </w:tcBorders>
            <w:vMerge w:val="continue"/>
          </w:tcPr>
          <w:p>
            <w:pPr>
              <w:spacing w:after="0"/>
              <w:rPr>
                <w:sz w:val="22"/>
                <w:szCs w:val="22"/>
                <w:color w:val="auto"/>
              </w:rPr>
            </w:pPr>
          </w:p>
        </w:tc>
        <w:tc>
          <w:tcPr>
            <w:tcW w:w="1320" w:type="dxa"/>
            <w:vAlign w:val="bottom"/>
          </w:tcPr>
          <w:p>
            <w:pPr>
              <w:ind w:left="220"/>
              <w:spacing w:after="0"/>
              <w:rPr>
                <w:sz w:val="20"/>
                <w:szCs w:val="20"/>
                <w:color w:val="auto"/>
              </w:rPr>
            </w:pPr>
            <w:r>
              <w:rPr>
                <w:rFonts w:ascii="Arial" w:cs="Arial" w:eastAsia="Arial" w:hAnsi="Arial"/>
                <w:sz w:val="20"/>
                <w:szCs w:val="20"/>
                <w:b w:val="1"/>
                <w:bCs w:val="1"/>
                <w:color w:val="auto"/>
              </w:rPr>
              <w:t>Total Sales</w:t>
            </w:r>
          </w:p>
        </w:tc>
        <w:tc>
          <w:tcPr>
            <w:tcW w:w="1460" w:type="dxa"/>
            <w:vAlign w:val="bottom"/>
          </w:tcPr>
          <w:p>
            <w:pPr>
              <w:ind w:left="160"/>
              <w:spacing w:after="0"/>
              <w:rPr>
                <w:sz w:val="20"/>
                <w:szCs w:val="20"/>
                <w:color w:val="auto"/>
              </w:rPr>
            </w:pPr>
            <w:r>
              <w:rPr>
                <w:rFonts w:ascii="Arial" w:cs="Arial" w:eastAsia="Arial" w:hAnsi="Arial"/>
                <w:sz w:val="20"/>
                <w:szCs w:val="20"/>
                <w:b w:val="1"/>
                <w:bCs w:val="1"/>
                <w:color w:val="auto"/>
              </w:rPr>
              <w:t>YOY Change</w:t>
            </w:r>
          </w:p>
        </w:tc>
        <w:tc>
          <w:tcPr>
            <w:tcW w:w="1340" w:type="dxa"/>
            <w:vAlign w:val="bottom"/>
            <w:tcBorders>
              <w:right w:val="single" w:sz="8" w:color="auto"/>
            </w:tcBorders>
          </w:tcPr>
          <w:p>
            <w:pPr>
              <w:ind w:left="160"/>
              <w:spacing w:after="0"/>
              <w:rPr>
                <w:sz w:val="20"/>
                <w:szCs w:val="20"/>
                <w:color w:val="auto"/>
              </w:rPr>
            </w:pPr>
            <w:r>
              <w:rPr>
                <w:rFonts w:ascii="Arial" w:cs="Arial" w:eastAsia="Arial" w:hAnsi="Arial"/>
                <w:sz w:val="20"/>
                <w:szCs w:val="20"/>
                <w:b w:val="1"/>
                <w:bCs w:val="1"/>
                <w:color w:val="auto"/>
              </w:rPr>
              <w:t>Pct Change</w:t>
            </w:r>
          </w:p>
        </w:tc>
        <w:tc>
          <w:tcPr>
            <w:tcW w:w="1300" w:type="dxa"/>
            <w:vAlign w:val="bottom"/>
          </w:tcPr>
          <w:p>
            <w:pPr>
              <w:ind w:left="220"/>
              <w:spacing w:after="0"/>
              <w:rPr>
                <w:sz w:val="20"/>
                <w:szCs w:val="20"/>
                <w:color w:val="auto"/>
              </w:rPr>
            </w:pPr>
            <w:r>
              <w:rPr>
                <w:rFonts w:ascii="Arial" w:cs="Arial" w:eastAsia="Arial" w:hAnsi="Arial"/>
                <w:sz w:val="20"/>
                <w:szCs w:val="20"/>
                <w:b w:val="1"/>
                <w:bCs w:val="1"/>
                <w:color w:val="auto"/>
              </w:rPr>
              <w:t>Total Sales</w:t>
            </w: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94"/>
              </w:rPr>
              <w:t>YOY Change</w:t>
            </w:r>
          </w:p>
        </w:tc>
        <w:tc>
          <w:tcPr>
            <w:tcW w:w="1340" w:type="dxa"/>
            <w:vAlign w:val="bottom"/>
            <w:tcBorders>
              <w:right w:val="single" w:sz="8" w:color="auto"/>
            </w:tcBorders>
          </w:tcPr>
          <w:p>
            <w:pPr>
              <w:ind w:left="160"/>
              <w:spacing w:after="0"/>
              <w:rPr>
                <w:sz w:val="20"/>
                <w:szCs w:val="20"/>
                <w:color w:val="auto"/>
              </w:rPr>
            </w:pPr>
            <w:r>
              <w:rPr>
                <w:rFonts w:ascii="Arial" w:cs="Arial" w:eastAsia="Arial" w:hAnsi="Arial"/>
                <w:sz w:val="20"/>
                <w:szCs w:val="20"/>
                <w:b w:val="1"/>
                <w:bCs w:val="1"/>
                <w:color w:val="auto"/>
              </w:rPr>
              <w:t>Pct Change</w:t>
            </w:r>
          </w:p>
        </w:tc>
        <w:tc>
          <w:tcPr>
            <w:tcW w:w="0" w:type="dxa"/>
            <w:vAlign w:val="bottom"/>
          </w:tcPr>
          <w:p>
            <w:pPr>
              <w:spacing w:after="0"/>
              <w:rPr>
                <w:sz w:val="1"/>
                <w:szCs w:val="1"/>
                <w:color w:val="auto"/>
              </w:rPr>
            </w:pP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GM North America</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929,759</w:t>
            </w:r>
          </w:p>
        </w:tc>
        <w:tc>
          <w:tcPr>
            <w:tcW w:w="1460" w:type="dxa"/>
            <w:vAlign w:val="bottom"/>
          </w:tcPr>
          <w:p>
            <w:pPr>
              <w:jc w:val="center"/>
              <w:spacing w:after="0"/>
              <w:rPr>
                <w:sz w:val="20"/>
                <w:szCs w:val="20"/>
                <w:color w:val="auto"/>
              </w:rPr>
            </w:pPr>
            <w:r>
              <w:rPr>
                <w:rFonts w:ascii="Arial" w:cs="Arial" w:eastAsia="Arial" w:hAnsi="Arial"/>
                <w:sz w:val="20"/>
                <w:szCs w:val="20"/>
                <w:color w:val="auto"/>
                <w:w w:val="88"/>
              </w:rPr>
              <w:t>49,690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5.6%</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1,674,434</w:t>
            </w:r>
          </w:p>
        </w:tc>
        <w:tc>
          <w:tcPr>
            <w:tcW w:w="1460" w:type="dxa"/>
            <w:vAlign w:val="bottom"/>
          </w:tcPr>
          <w:p>
            <w:pPr>
              <w:jc w:val="center"/>
              <w:spacing w:after="0"/>
              <w:rPr>
                <w:sz w:val="20"/>
                <w:szCs w:val="20"/>
                <w:color w:val="auto"/>
              </w:rPr>
            </w:pPr>
            <w:r>
              <w:rPr>
                <w:rFonts w:ascii="Arial" w:cs="Arial" w:eastAsia="Arial" w:hAnsi="Arial"/>
                <w:sz w:val="20"/>
                <w:szCs w:val="20"/>
                <w:color w:val="auto"/>
                <w:w w:val="88"/>
              </w:rPr>
              <w:t>32,895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2.0%</w:t>
            </w:r>
          </w:p>
        </w:tc>
        <w:tc>
          <w:tcPr>
            <w:tcW w:w="0" w:type="dxa"/>
            <w:vAlign w:val="bottom"/>
          </w:tcPr>
          <w:p>
            <w:pPr>
              <w:spacing w:after="0"/>
              <w:rPr>
                <w:sz w:val="1"/>
                <w:szCs w:val="1"/>
                <w:color w:val="auto"/>
              </w:rPr>
            </w:pPr>
          </w:p>
        </w:tc>
      </w:tr>
      <w:tr>
        <w:trPr>
          <w:trHeight w:val="28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GM Europe</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336,394</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(42,576)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(11.2%)</w:t>
            </w:r>
          </w:p>
        </w:tc>
        <w:tc>
          <w:tcPr>
            <w:tcW w:w="1300" w:type="dxa"/>
            <w:vAlign w:val="bottom"/>
          </w:tcPr>
          <w:p>
            <w:pPr>
              <w:jc w:val="center"/>
              <w:spacing w:after="0"/>
              <w:rPr>
                <w:sz w:val="20"/>
                <w:szCs w:val="20"/>
                <w:color w:val="auto"/>
              </w:rPr>
            </w:pPr>
            <w:r>
              <w:rPr>
                <w:rFonts w:ascii="Arial" w:cs="Arial" w:eastAsia="Arial" w:hAnsi="Arial"/>
                <w:sz w:val="20"/>
                <w:szCs w:val="20"/>
                <w:color w:val="auto"/>
                <w:w w:val="88"/>
              </w:rPr>
              <w:t>673,634</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(40,359)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(5.7%)</w:t>
            </w:r>
          </w:p>
        </w:tc>
        <w:tc>
          <w:tcPr>
            <w:tcW w:w="0" w:type="dxa"/>
            <w:vAlign w:val="bottom"/>
          </w:tcPr>
          <w:p>
            <w:pPr>
              <w:spacing w:after="0"/>
              <w:rPr>
                <w:sz w:val="1"/>
                <w:szCs w:val="1"/>
                <w:color w:val="auto"/>
              </w:rPr>
            </w:pPr>
          </w:p>
        </w:tc>
      </w:tr>
      <w:tr>
        <w:trPr>
          <w:trHeight w:val="28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GM South America</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213,954</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(48,325)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(18.4%)</w:t>
            </w:r>
          </w:p>
        </w:tc>
        <w:tc>
          <w:tcPr>
            <w:tcW w:w="1300" w:type="dxa"/>
            <w:vAlign w:val="bottom"/>
          </w:tcPr>
          <w:p>
            <w:pPr>
              <w:jc w:val="center"/>
              <w:spacing w:after="0"/>
              <w:rPr>
                <w:sz w:val="20"/>
                <w:szCs w:val="20"/>
                <w:color w:val="auto"/>
              </w:rPr>
            </w:pPr>
            <w:r>
              <w:rPr>
                <w:rFonts w:ascii="Arial" w:cs="Arial" w:eastAsia="Arial" w:hAnsi="Arial"/>
                <w:sz w:val="20"/>
                <w:szCs w:val="20"/>
                <w:color w:val="auto"/>
                <w:w w:val="88"/>
              </w:rPr>
              <w:t>425,211</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(71,990)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(14.5%)</w:t>
            </w:r>
          </w:p>
        </w:tc>
        <w:tc>
          <w:tcPr>
            <w:tcW w:w="0" w:type="dxa"/>
            <w:vAlign w:val="bottom"/>
          </w:tcPr>
          <w:p>
            <w:pPr>
              <w:spacing w:after="0"/>
              <w:rPr>
                <w:sz w:val="1"/>
                <w:szCs w:val="1"/>
                <w:color w:val="auto"/>
              </w:rPr>
            </w:pPr>
          </w:p>
        </w:tc>
      </w:tr>
      <w:tr>
        <w:trPr>
          <w:trHeight w:val="28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GM International Operations</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213,612</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(6,506)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(3.0%)</w:t>
            </w:r>
          </w:p>
        </w:tc>
        <w:tc>
          <w:tcPr>
            <w:tcW w:w="1300" w:type="dxa"/>
            <w:vAlign w:val="bottom"/>
          </w:tcPr>
          <w:p>
            <w:pPr>
              <w:jc w:val="center"/>
              <w:spacing w:after="0"/>
              <w:rPr>
                <w:sz w:val="20"/>
                <w:szCs w:val="20"/>
                <w:color w:val="auto"/>
              </w:rPr>
            </w:pPr>
            <w:r>
              <w:rPr>
                <w:rFonts w:ascii="Arial" w:cs="Arial" w:eastAsia="Arial" w:hAnsi="Arial"/>
                <w:sz w:val="20"/>
                <w:szCs w:val="20"/>
                <w:color w:val="auto"/>
                <w:w w:val="88"/>
              </w:rPr>
              <w:t>417,367</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(15,960)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(3.7%)</w:t>
            </w:r>
          </w:p>
        </w:tc>
        <w:tc>
          <w:tcPr>
            <w:tcW w:w="0" w:type="dxa"/>
            <w:vAlign w:val="bottom"/>
          </w:tcPr>
          <w:p>
            <w:pPr>
              <w:spacing w:after="0"/>
              <w:rPr>
                <w:sz w:val="1"/>
                <w:szCs w:val="1"/>
                <w:color w:val="auto"/>
              </w:rPr>
            </w:pPr>
          </w:p>
        </w:tc>
      </w:tr>
      <w:tr>
        <w:trPr>
          <w:trHeight w:val="28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GM Greater China</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812,170</w:t>
            </w:r>
          </w:p>
        </w:tc>
        <w:tc>
          <w:tcPr>
            <w:tcW w:w="1460" w:type="dxa"/>
            <w:vAlign w:val="bottom"/>
          </w:tcPr>
          <w:p>
            <w:pPr>
              <w:jc w:val="center"/>
              <w:spacing w:after="0"/>
              <w:rPr>
                <w:sz w:val="20"/>
                <w:szCs w:val="20"/>
                <w:color w:val="auto"/>
              </w:rPr>
            </w:pPr>
            <w:r>
              <w:rPr>
                <w:rFonts w:ascii="Arial" w:cs="Arial" w:eastAsia="Arial" w:hAnsi="Arial"/>
                <w:sz w:val="20"/>
                <w:szCs w:val="20"/>
                <w:color w:val="auto"/>
                <w:w w:val="88"/>
              </w:rPr>
              <w:t>61,154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8.1%</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1,731,282</w:t>
            </w:r>
          </w:p>
        </w:tc>
        <w:tc>
          <w:tcPr>
            <w:tcW w:w="1460" w:type="dxa"/>
            <w:vAlign w:val="bottom"/>
          </w:tcPr>
          <w:p>
            <w:pPr>
              <w:jc w:val="center"/>
              <w:spacing w:after="0"/>
              <w:rPr>
                <w:sz w:val="20"/>
                <w:szCs w:val="20"/>
                <w:color w:val="auto"/>
              </w:rPr>
            </w:pPr>
            <w:r>
              <w:rPr>
                <w:rFonts w:ascii="Arial" w:cs="Arial" w:eastAsia="Arial" w:hAnsi="Arial"/>
                <w:sz w:val="20"/>
                <w:szCs w:val="20"/>
                <w:color w:val="auto"/>
                <w:w w:val="88"/>
              </w:rPr>
              <w:t>163,899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10.5%</w:t>
            </w:r>
          </w:p>
        </w:tc>
        <w:tc>
          <w:tcPr>
            <w:tcW w:w="0" w:type="dxa"/>
            <w:vAlign w:val="bottom"/>
          </w:tcPr>
          <w:p>
            <w:pPr>
              <w:spacing w:after="0"/>
              <w:rPr>
                <w:sz w:val="1"/>
                <w:szCs w:val="1"/>
                <w:color w:val="auto"/>
              </w:rPr>
            </w:pPr>
          </w:p>
        </w:tc>
      </w:tr>
      <w:tr>
        <w:trPr>
          <w:trHeight w:val="28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Total</w:t>
            </w:r>
          </w:p>
        </w:tc>
        <w:tc>
          <w:tcPr>
            <w:tcW w:w="1320" w:type="dxa"/>
            <w:vAlign w:val="bottom"/>
          </w:tcPr>
          <w:p>
            <w:pPr>
              <w:jc w:val="center"/>
              <w:spacing w:after="0"/>
              <w:rPr>
                <w:sz w:val="20"/>
                <w:szCs w:val="20"/>
                <w:color w:val="auto"/>
              </w:rPr>
            </w:pPr>
            <w:r>
              <w:rPr>
                <w:rFonts w:ascii="Arial" w:cs="Arial" w:eastAsia="Arial" w:hAnsi="Arial"/>
                <w:sz w:val="20"/>
                <w:szCs w:val="20"/>
                <w:color w:val="auto"/>
                <w:w w:val="89"/>
              </w:rPr>
              <w:t>2,505,889</w:t>
            </w:r>
          </w:p>
        </w:tc>
        <w:tc>
          <w:tcPr>
            <w:tcW w:w="1460" w:type="dxa"/>
            <w:vAlign w:val="bottom"/>
          </w:tcPr>
          <w:p>
            <w:pPr>
              <w:jc w:val="center"/>
              <w:spacing w:after="0"/>
              <w:rPr>
                <w:sz w:val="20"/>
                <w:szCs w:val="20"/>
                <w:color w:val="auto"/>
              </w:rPr>
            </w:pPr>
            <w:r>
              <w:rPr>
                <w:rFonts w:ascii="Arial" w:cs="Arial" w:eastAsia="Arial" w:hAnsi="Arial"/>
                <w:sz w:val="20"/>
                <w:szCs w:val="20"/>
                <w:color w:val="auto"/>
                <w:w w:val="88"/>
              </w:rPr>
              <w:t>13,437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0.50%</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4,921,928</w:t>
            </w:r>
          </w:p>
        </w:tc>
        <w:tc>
          <w:tcPr>
            <w:tcW w:w="1460" w:type="dxa"/>
            <w:vAlign w:val="bottom"/>
          </w:tcPr>
          <w:p>
            <w:pPr>
              <w:jc w:val="center"/>
              <w:spacing w:after="0"/>
              <w:rPr>
                <w:sz w:val="20"/>
                <w:szCs w:val="20"/>
                <w:color w:val="auto"/>
              </w:rPr>
            </w:pPr>
            <w:r>
              <w:rPr>
                <w:rFonts w:ascii="Arial" w:cs="Arial" w:eastAsia="Arial" w:hAnsi="Arial"/>
                <w:sz w:val="20"/>
                <w:szCs w:val="20"/>
                <w:color w:val="auto"/>
                <w:w w:val="88"/>
              </w:rPr>
              <w:t>68,485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1.40%</w:t>
            </w:r>
          </w:p>
        </w:tc>
        <w:tc>
          <w:tcPr>
            <w:tcW w:w="0" w:type="dxa"/>
            <w:vAlign w:val="bottom"/>
          </w:tcPr>
          <w:p>
            <w:pPr>
              <w:spacing w:after="0"/>
              <w:rPr>
                <w:sz w:val="1"/>
                <w:szCs w:val="1"/>
                <w:color w:val="auto"/>
              </w:rPr>
            </w:pP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220" w:type="dxa"/>
            <w:vAlign w:val="bottom"/>
            <w:tcBorders>
              <w:top w:val="single" w:sz="8" w:color="auto"/>
              <w:left w:val="single" w:sz="8" w:color="auto"/>
              <w:right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Q2 '14</w:t>
            </w:r>
          </w:p>
        </w:tc>
        <w:tc>
          <w:tcPr>
            <w:tcW w:w="1340" w:type="dxa"/>
            <w:vAlign w:val="bottom"/>
            <w:tcBorders>
              <w:top w:val="single" w:sz="8" w:color="auto"/>
              <w:right w:val="single" w:sz="8" w:color="auto"/>
            </w:tcBorders>
          </w:tcPr>
          <w:p>
            <w:pPr>
              <w:spacing w:after="0"/>
              <w:rPr>
                <w:sz w:val="23"/>
                <w:szCs w:val="23"/>
                <w:color w:val="auto"/>
              </w:rPr>
            </w:pPr>
          </w:p>
        </w:tc>
        <w:tc>
          <w:tcPr>
            <w:tcW w:w="410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0"/>
              </w:rPr>
              <w:t>2014 Calendar Year-to-Date</w:t>
            </w:r>
          </w:p>
        </w:tc>
        <w:tc>
          <w:tcPr>
            <w:tcW w:w="0" w:type="dxa"/>
            <w:vAlign w:val="bottom"/>
          </w:tcPr>
          <w:p>
            <w:pPr>
              <w:spacing w:after="0"/>
              <w:rPr>
                <w:sz w:val="1"/>
                <w:szCs w:val="1"/>
                <w:color w:val="auto"/>
              </w:rPr>
            </w:pPr>
          </w:p>
        </w:tc>
      </w:tr>
      <w:tr>
        <w:trPr>
          <w:trHeight w:val="23"/>
        </w:trPr>
        <w:tc>
          <w:tcPr>
            <w:tcW w:w="3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Top Five Markets</w:t>
            </w: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220" w:type="dxa"/>
            <w:vAlign w:val="bottom"/>
            <w:tcBorders>
              <w:left w:val="single" w:sz="8" w:color="auto"/>
              <w:right w:val="single" w:sz="8" w:color="auto"/>
            </w:tcBorders>
            <w:vMerge w:val="continue"/>
          </w:tcPr>
          <w:p>
            <w:pPr>
              <w:spacing w:after="0"/>
              <w:rPr>
                <w:sz w:val="22"/>
                <w:szCs w:val="22"/>
                <w:color w:val="auto"/>
              </w:rPr>
            </w:pPr>
          </w:p>
        </w:tc>
        <w:tc>
          <w:tcPr>
            <w:tcW w:w="1320" w:type="dxa"/>
            <w:vAlign w:val="bottom"/>
          </w:tcPr>
          <w:p>
            <w:pPr>
              <w:ind w:left="220"/>
              <w:spacing w:after="0"/>
              <w:rPr>
                <w:sz w:val="20"/>
                <w:szCs w:val="20"/>
                <w:color w:val="auto"/>
              </w:rPr>
            </w:pPr>
            <w:r>
              <w:rPr>
                <w:rFonts w:ascii="Arial" w:cs="Arial" w:eastAsia="Arial" w:hAnsi="Arial"/>
                <w:sz w:val="20"/>
                <w:szCs w:val="20"/>
                <w:b w:val="1"/>
                <w:bCs w:val="1"/>
                <w:color w:val="auto"/>
              </w:rPr>
              <w:t>Total Sales</w:t>
            </w:r>
          </w:p>
        </w:tc>
        <w:tc>
          <w:tcPr>
            <w:tcW w:w="1460" w:type="dxa"/>
            <w:vAlign w:val="bottom"/>
          </w:tcPr>
          <w:p>
            <w:pPr>
              <w:ind w:left="160"/>
              <w:spacing w:after="0"/>
              <w:rPr>
                <w:sz w:val="20"/>
                <w:szCs w:val="20"/>
                <w:color w:val="auto"/>
              </w:rPr>
            </w:pPr>
            <w:r>
              <w:rPr>
                <w:rFonts w:ascii="Arial" w:cs="Arial" w:eastAsia="Arial" w:hAnsi="Arial"/>
                <w:sz w:val="20"/>
                <w:szCs w:val="20"/>
                <w:b w:val="1"/>
                <w:bCs w:val="1"/>
                <w:color w:val="auto"/>
              </w:rPr>
              <w:t>YOY Change</w:t>
            </w:r>
          </w:p>
        </w:tc>
        <w:tc>
          <w:tcPr>
            <w:tcW w:w="1340" w:type="dxa"/>
            <w:vAlign w:val="bottom"/>
            <w:tcBorders>
              <w:right w:val="single" w:sz="8" w:color="auto"/>
            </w:tcBorders>
          </w:tcPr>
          <w:p>
            <w:pPr>
              <w:ind w:left="160"/>
              <w:spacing w:after="0"/>
              <w:rPr>
                <w:sz w:val="20"/>
                <w:szCs w:val="20"/>
                <w:color w:val="auto"/>
              </w:rPr>
            </w:pPr>
            <w:r>
              <w:rPr>
                <w:rFonts w:ascii="Arial" w:cs="Arial" w:eastAsia="Arial" w:hAnsi="Arial"/>
                <w:sz w:val="20"/>
                <w:szCs w:val="20"/>
                <w:b w:val="1"/>
                <w:bCs w:val="1"/>
                <w:color w:val="auto"/>
              </w:rPr>
              <w:t>Pct Change</w:t>
            </w:r>
          </w:p>
        </w:tc>
        <w:tc>
          <w:tcPr>
            <w:tcW w:w="1400" w:type="dxa"/>
            <w:vAlign w:val="bottom"/>
          </w:tcPr>
          <w:p>
            <w:pPr>
              <w:jc w:val="right"/>
              <w:ind w:right="161"/>
              <w:spacing w:after="0"/>
              <w:rPr>
                <w:sz w:val="20"/>
                <w:szCs w:val="20"/>
                <w:color w:val="auto"/>
              </w:rPr>
            </w:pPr>
            <w:r>
              <w:rPr>
                <w:rFonts w:ascii="Arial" w:cs="Arial" w:eastAsia="Arial" w:hAnsi="Arial"/>
                <w:sz w:val="20"/>
                <w:szCs w:val="20"/>
                <w:b w:val="1"/>
                <w:bCs w:val="1"/>
                <w:color w:val="auto"/>
              </w:rPr>
              <w:t>Total Sales</w:t>
            </w:r>
          </w:p>
        </w:tc>
        <w:tc>
          <w:tcPr>
            <w:tcW w:w="1360" w:type="dxa"/>
            <w:vAlign w:val="bottom"/>
          </w:tcPr>
          <w:p>
            <w:pPr>
              <w:jc w:val="center"/>
              <w:ind w:right="1"/>
              <w:spacing w:after="0"/>
              <w:rPr>
                <w:sz w:val="20"/>
                <w:szCs w:val="20"/>
                <w:color w:val="auto"/>
              </w:rPr>
            </w:pPr>
            <w:r>
              <w:rPr>
                <w:rFonts w:ascii="Arial" w:cs="Arial" w:eastAsia="Arial" w:hAnsi="Arial"/>
                <w:sz w:val="20"/>
                <w:szCs w:val="20"/>
                <w:b w:val="1"/>
                <w:bCs w:val="1"/>
                <w:color w:val="auto"/>
                <w:w w:val="94"/>
              </w:rPr>
              <w:t>YOY Change</w:t>
            </w:r>
          </w:p>
        </w:tc>
        <w:tc>
          <w:tcPr>
            <w:tcW w:w="1340" w:type="dxa"/>
            <w:vAlign w:val="bottom"/>
            <w:tcBorders>
              <w:right w:val="single" w:sz="8" w:color="auto"/>
            </w:tcBorders>
          </w:tcPr>
          <w:p>
            <w:pPr>
              <w:ind w:left="160"/>
              <w:spacing w:after="0"/>
              <w:rPr>
                <w:sz w:val="20"/>
                <w:szCs w:val="20"/>
                <w:color w:val="auto"/>
              </w:rPr>
            </w:pPr>
            <w:r>
              <w:rPr>
                <w:rFonts w:ascii="Arial" w:cs="Arial" w:eastAsia="Arial" w:hAnsi="Arial"/>
                <w:sz w:val="20"/>
                <w:szCs w:val="20"/>
                <w:b w:val="1"/>
                <w:bCs w:val="1"/>
                <w:color w:val="auto"/>
              </w:rPr>
              <w:t>Pct Change</w:t>
            </w:r>
          </w:p>
        </w:tc>
        <w:tc>
          <w:tcPr>
            <w:tcW w:w="0" w:type="dxa"/>
            <w:vAlign w:val="bottom"/>
          </w:tcPr>
          <w:p>
            <w:pPr>
              <w:spacing w:after="0"/>
              <w:rPr>
                <w:sz w:val="1"/>
                <w:szCs w:val="1"/>
                <w:color w:val="auto"/>
              </w:rPr>
            </w:pP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China</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812,170</w:t>
            </w:r>
          </w:p>
        </w:tc>
        <w:tc>
          <w:tcPr>
            <w:tcW w:w="1460" w:type="dxa"/>
            <w:vAlign w:val="bottom"/>
          </w:tcPr>
          <w:p>
            <w:pPr>
              <w:jc w:val="center"/>
              <w:spacing w:after="0"/>
              <w:rPr>
                <w:sz w:val="20"/>
                <w:szCs w:val="20"/>
                <w:color w:val="auto"/>
              </w:rPr>
            </w:pPr>
            <w:r>
              <w:rPr>
                <w:rFonts w:ascii="Arial" w:cs="Arial" w:eastAsia="Arial" w:hAnsi="Arial"/>
                <w:sz w:val="20"/>
                <w:szCs w:val="20"/>
                <w:color w:val="auto"/>
                <w:w w:val="88"/>
              </w:rPr>
              <w:t>61,154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8.1%</w:t>
            </w:r>
          </w:p>
        </w:tc>
        <w:tc>
          <w:tcPr>
            <w:tcW w:w="1400" w:type="dxa"/>
            <w:vAlign w:val="bottom"/>
          </w:tcPr>
          <w:p>
            <w:pPr>
              <w:jc w:val="right"/>
              <w:spacing w:after="0"/>
              <w:rPr>
                <w:sz w:val="20"/>
                <w:szCs w:val="20"/>
                <w:color w:val="auto"/>
              </w:rPr>
            </w:pPr>
            <w:r>
              <w:rPr>
                <w:rFonts w:ascii="Arial" w:cs="Arial" w:eastAsia="Arial" w:hAnsi="Arial"/>
                <w:sz w:val="20"/>
                <w:szCs w:val="20"/>
                <w:color w:val="auto"/>
              </w:rPr>
              <w:t>1,731,282</w:t>
            </w: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163,899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10.5%</w:t>
            </w:r>
          </w:p>
        </w:tc>
        <w:tc>
          <w:tcPr>
            <w:tcW w:w="0" w:type="dxa"/>
            <w:vAlign w:val="bottom"/>
          </w:tcPr>
          <w:p>
            <w:pPr>
              <w:spacing w:after="0"/>
              <w:rPr>
                <w:sz w:val="1"/>
                <w:szCs w:val="1"/>
                <w:color w:val="auto"/>
              </w:rPr>
            </w:pPr>
          </w:p>
        </w:tc>
      </w:tr>
      <w:tr>
        <w:trPr>
          <w:trHeight w:val="28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United States</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806,231</w:t>
            </w:r>
          </w:p>
        </w:tc>
        <w:tc>
          <w:tcPr>
            <w:tcW w:w="1460" w:type="dxa"/>
            <w:vAlign w:val="bottom"/>
          </w:tcPr>
          <w:p>
            <w:pPr>
              <w:jc w:val="center"/>
              <w:spacing w:after="0"/>
              <w:rPr>
                <w:sz w:val="20"/>
                <w:szCs w:val="20"/>
                <w:color w:val="auto"/>
              </w:rPr>
            </w:pPr>
            <w:r>
              <w:rPr>
                <w:rFonts w:ascii="Arial" w:cs="Arial" w:eastAsia="Arial" w:hAnsi="Arial"/>
                <w:sz w:val="20"/>
                <w:szCs w:val="20"/>
                <w:color w:val="auto"/>
                <w:w w:val="88"/>
              </w:rPr>
              <w:t>50,848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6.7%</w:t>
            </w:r>
          </w:p>
        </w:tc>
        <w:tc>
          <w:tcPr>
            <w:tcW w:w="1400" w:type="dxa"/>
            <w:vAlign w:val="bottom"/>
          </w:tcPr>
          <w:p>
            <w:pPr>
              <w:jc w:val="right"/>
              <w:spacing w:after="0"/>
              <w:rPr>
                <w:sz w:val="20"/>
                <w:szCs w:val="20"/>
                <w:color w:val="auto"/>
              </w:rPr>
            </w:pPr>
            <w:r>
              <w:rPr>
                <w:rFonts w:ascii="Arial" w:cs="Arial" w:eastAsia="Arial" w:hAnsi="Arial"/>
                <w:sz w:val="20"/>
                <w:szCs w:val="20"/>
                <w:color w:val="auto"/>
              </w:rPr>
              <w:t>1,455,868</w:t>
            </w:r>
          </w:p>
        </w:tc>
        <w:tc>
          <w:tcPr>
            <w:tcW w:w="1360" w:type="dxa"/>
            <w:vAlign w:val="bottom"/>
          </w:tcPr>
          <w:p>
            <w:pPr>
              <w:jc w:val="center"/>
              <w:ind w:right="1"/>
              <w:spacing w:after="0"/>
              <w:rPr>
                <w:sz w:val="20"/>
                <w:szCs w:val="20"/>
                <w:color w:val="auto"/>
              </w:rPr>
            </w:pPr>
            <w:r>
              <w:rPr>
                <w:rFonts w:ascii="Arial" w:cs="Arial" w:eastAsia="Arial" w:hAnsi="Arial"/>
                <w:sz w:val="20"/>
                <w:szCs w:val="20"/>
                <w:color w:val="auto"/>
                <w:w w:val="88"/>
              </w:rPr>
              <w:t>35,522</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2.5%</w:t>
            </w:r>
          </w:p>
        </w:tc>
        <w:tc>
          <w:tcPr>
            <w:tcW w:w="0" w:type="dxa"/>
            <w:vAlign w:val="bottom"/>
          </w:tcPr>
          <w:p>
            <w:pPr>
              <w:spacing w:after="0"/>
              <w:rPr>
                <w:sz w:val="1"/>
                <w:szCs w:val="1"/>
                <w:color w:val="auto"/>
              </w:rPr>
            </w:pPr>
          </w:p>
        </w:tc>
      </w:tr>
      <w:tr>
        <w:trPr>
          <w:trHeight w:val="28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Brazil</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142,319</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(22,056)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(13.4%)</w:t>
            </w:r>
          </w:p>
        </w:tc>
        <w:tc>
          <w:tcPr>
            <w:tcW w:w="1400" w:type="dxa"/>
            <w:vAlign w:val="bottom"/>
          </w:tcPr>
          <w:p>
            <w:pPr>
              <w:jc w:val="right"/>
              <w:spacing w:after="0"/>
              <w:rPr>
                <w:sz w:val="20"/>
                <w:szCs w:val="20"/>
                <w:color w:val="auto"/>
              </w:rPr>
            </w:pPr>
            <w:r>
              <w:rPr>
                <w:rFonts w:ascii="Arial" w:cs="Arial" w:eastAsia="Arial" w:hAnsi="Arial"/>
                <w:sz w:val="20"/>
                <w:szCs w:val="20"/>
                <w:color w:val="auto"/>
              </w:rPr>
              <w:t>279,228</w:t>
            </w:r>
          </w:p>
        </w:tc>
        <w:tc>
          <w:tcPr>
            <w:tcW w:w="1360" w:type="dxa"/>
            <w:vAlign w:val="bottom"/>
          </w:tcPr>
          <w:p>
            <w:pPr>
              <w:jc w:val="center"/>
              <w:spacing w:after="0"/>
              <w:rPr>
                <w:sz w:val="20"/>
                <w:szCs w:val="20"/>
                <w:color w:val="auto"/>
              </w:rPr>
            </w:pPr>
            <w:r>
              <w:rPr>
                <w:rFonts w:ascii="Arial" w:cs="Arial" w:eastAsia="Arial" w:hAnsi="Arial"/>
                <w:sz w:val="20"/>
                <w:szCs w:val="20"/>
                <w:color w:val="auto"/>
                <w:w w:val="91"/>
              </w:rPr>
              <w:t>(26,265)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(8.6%)</w:t>
            </w:r>
          </w:p>
        </w:tc>
        <w:tc>
          <w:tcPr>
            <w:tcW w:w="0" w:type="dxa"/>
            <w:vAlign w:val="bottom"/>
          </w:tcPr>
          <w:p>
            <w:pPr>
              <w:spacing w:after="0"/>
              <w:rPr>
                <w:sz w:val="1"/>
                <w:szCs w:val="1"/>
                <w:color w:val="auto"/>
              </w:rPr>
            </w:pPr>
          </w:p>
        </w:tc>
      </w:tr>
      <w:tr>
        <w:trPr>
          <w:trHeight w:val="28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United Kingdom</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75,103</w:t>
            </w:r>
          </w:p>
        </w:tc>
        <w:tc>
          <w:tcPr>
            <w:tcW w:w="1460" w:type="dxa"/>
            <w:vAlign w:val="bottom"/>
          </w:tcPr>
          <w:p>
            <w:pPr>
              <w:jc w:val="center"/>
              <w:spacing w:after="0"/>
              <w:rPr>
                <w:sz w:val="20"/>
                <w:szCs w:val="20"/>
                <w:color w:val="auto"/>
              </w:rPr>
            </w:pPr>
            <w:r>
              <w:rPr>
                <w:rFonts w:ascii="Arial" w:cs="Arial" w:eastAsia="Arial" w:hAnsi="Arial"/>
                <w:sz w:val="20"/>
                <w:szCs w:val="20"/>
                <w:color w:val="auto"/>
                <w:w w:val="89"/>
              </w:rPr>
              <w:t>868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1.2%</w:t>
            </w:r>
          </w:p>
        </w:tc>
        <w:tc>
          <w:tcPr>
            <w:tcW w:w="1400" w:type="dxa"/>
            <w:vAlign w:val="bottom"/>
          </w:tcPr>
          <w:p>
            <w:pPr>
              <w:jc w:val="right"/>
              <w:spacing w:after="0"/>
              <w:rPr>
                <w:sz w:val="20"/>
                <w:szCs w:val="20"/>
                <w:color w:val="auto"/>
              </w:rPr>
            </w:pPr>
            <w:r>
              <w:rPr>
                <w:rFonts w:ascii="Arial" w:cs="Arial" w:eastAsia="Arial" w:hAnsi="Arial"/>
                <w:sz w:val="20"/>
                <w:szCs w:val="20"/>
                <w:color w:val="auto"/>
              </w:rPr>
              <w:t>160,381</w:t>
            </w: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5,794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3.7%</w:t>
            </w:r>
          </w:p>
        </w:tc>
        <w:tc>
          <w:tcPr>
            <w:tcW w:w="0" w:type="dxa"/>
            <w:vAlign w:val="bottom"/>
          </w:tcPr>
          <w:p>
            <w:pPr>
              <w:spacing w:after="0"/>
              <w:rPr>
                <w:sz w:val="1"/>
                <w:szCs w:val="1"/>
                <w:color w:val="auto"/>
              </w:rPr>
            </w:pPr>
          </w:p>
        </w:tc>
      </w:tr>
      <w:tr>
        <w:trPr>
          <w:trHeight w:val="28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Germany</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67,054</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(3,057)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(4.4%)</w:t>
            </w:r>
          </w:p>
        </w:tc>
        <w:tc>
          <w:tcPr>
            <w:tcW w:w="1400" w:type="dxa"/>
            <w:vAlign w:val="bottom"/>
          </w:tcPr>
          <w:p>
            <w:pPr>
              <w:jc w:val="right"/>
              <w:spacing w:after="0"/>
              <w:rPr>
                <w:sz w:val="20"/>
                <w:szCs w:val="20"/>
                <w:color w:val="auto"/>
              </w:rPr>
            </w:pPr>
            <w:r>
              <w:rPr>
                <w:rFonts w:ascii="Arial" w:cs="Arial" w:eastAsia="Arial" w:hAnsi="Arial"/>
                <w:sz w:val="20"/>
                <w:szCs w:val="20"/>
                <w:color w:val="auto"/>
              </w:rPr>
              <w:t>123,664</w:t>
            </w:r>
          </w:p>
        </w:tc>
        <w:tc>
          <w:tcPr>
            <w:tcW w:w="1360" w:type="dxa"/>
            <w:vAlign w:val="bottom"/>
          </w:tcPr>
          <w:p>
            <w:pPr>
              <w:jc w:val="center"/>
              <w:ind w:right="1"/>
              <w:spacing w:after="0"/>
              <w:rPr>
                <w:sz w:val="20"/>
                <w:szCs w:val="20"/>
                <w:color w:val="auto"/>
              </w:rPr>
            </w:pPr>
            <w:r>
              <w:rPr>
                <w:rFonts w:ascii="Arial" w:cs="Arial" w:eastAsia="Arial" w:hAnsi="Arial"/>
                <w:sz w:val="20"/>
                <w:szCs w:val="20"/>
                <w:color w:val="auto"/>
                <w:w w:val="89"/>
              </w:rPr>
              <w:t>(624)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(0.5%)</w:t>
            </w:r>
          </w:p>
        </w:tc>
        <w:tc>
          <w:tcPr>
            <w:tcW w:w="0" w:type="dxa"/>
            <w:vAlign w:val="bottom"/>
          </w:tcPr>
          <w:p>
            <w:pPr>
              <w:spacing w:after="0"/>
              <w:rPr>
                <w:sz w:val="1"/>
                <w:szCs w:val="1"/>
                <w:color w:val="auto"/>
              </w:rPr>
            </w:pP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220" w:type="dxa"/>
            <w:vAlign w:val="bottom"/>
            <w:tcBorders>
              <w:top w:val="single" w:sz="8" w:color="auto"/>
              <w:left w:val="single" w:sz="8" w:color="auto"/>
              <w:right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Q2 '14</w:t>
            </w:r>
          </w:p>
        </w:tc>
        <w:tc>
          <w:tcPr>
            <w:tcW w:w="1340" w:type="dxa"/>
            <w:vAlign w:val="bottom"/>
            <w:tcBorders>
              <w:top w:val="single" w:sz="8" w:color="auto"/>
              <w:right w:val="single" w:sz="8" w:color="auto"/>
            </w:tcBorders>
          </w:tcPr>
          <w:p>
            <w:pPr>
              <w:spacing w:after="0"/>
              <w:rPr>
                <w:sz w:val="23"/>
                <w:szCs w:val="23"/>
                <w:color w:val="auto"/>
              </w:rPr>
            </w:pPr>
          </w:p>
        </w:tc>
        <w:tc>
          <w:tcPr>
            <w:tcW w:w="410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0"/>
              </w:rPr>
              <w:t>2014 Calendar Year-to-Date</w:t>
            </w:r>
          </w:p>
        </w:tc>
        <w:tc>
          <w:tcPr>
            <w:tcW w:w="0" w:type="dxa"/>
            <w:vAlign w:val="bottom"/>
          </w:tcPr>
          <w:p>
            <w:pPr>
              <w:spacing w:after="0"/>
              <w:rPr>
                <w:sz w:val="1"/>
                <w:szCs w:val="1"/>
                <w:color w:val="auto"/>
              </w:rPr>
            </w:pPr>
          </w:p>
        </w:tc>
      </w:tr>
      <w:tr>
        <w:trPr>
          <w:trHeight w:val="23"/>
        </w:trPr>
        <w:tc>
          <w:tcPr>
            <w:tcW w:w="3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Sales by Brand</w:t>
            </w: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220" w:type="dxa"/>
            <w:vAlign w:val="bottom"/>
            <w:tcBorders>
              <w:left w:val="single" w:sz="8" w:color="auto"/>
              <w:right w:val="single" w:sz="8" w:color="auto"/>
            </w:tcBorders>
            <w:vMerge w:val="continue"/>
          </w:tcPr>
          <w:p>
            <w:pPr>
              <w:spacing w:after="0"/>
              <w:rPr>
                <w:sz w:val="22"/>
                <w:szCs w:val="22"/>
                <w:color w:val="auto"/>
              </w:rPr>
            </w:pPr>
          </w:p>
        </w:tc>
        <w:tc>
          <w:tcPr>
            <w:tcW w:w="1320" w:type="dxa"/>
            <w:vAlign w:val="bottom"/>
          </w:tcPr>
          <w:p>
            <w:pPr>
              <w:ind w:left="220"/>
              <w:spacing w:after="0"/>
              <w:rPr>
                <w:sz w:val="20"/>
                <w:szCs w:val="20"/>
                <w:color w:val="auto"/>
              </w:rPr>
            </w:pPr>
            <w:r>
              <w:rPr>
                <w:rFonts w:ascii="Arial" w:cs="Arial" w:eastAsia="Arial" w:hAnsi="Arial"/>
                <w:sz w:val="20"/>
                <w:szCs w:val="20"/>
                <w:b w:val="1"/>
                <w:bCs w:val="1"/>
                <w:color w:val="auto"/>
              </w:rPr>
              <w:t>Total Sales</w:t>
            </w:r>
          </w:p>
        </w:tc>
        <w:tc>
          <w:tcPr>
            <w:tcW w:w="1460" w:type="dxa"/>
            <w:vAlign w:val="bottom"/>
          </w:tcPr>
          <w:p>
            <w:pPr>
              <w:ind w:left="160"/>
              <w:spacing w:after="0"/>
              <w:rPr>
                <w:sz w:val="20"/>
                <w:szCs w:val="20"/>
                <w:color w:val="auto"/>
              </w:rPr>
            </w:pPr>
            <w:r>
              <w:rPr>
                <w:rFonts w:ascii="Arial" w:cs="Arial" w:eastAsia="Arial" w:hAnsi="Arial"/>
                <w:sz w:val="20"/>
                <w:szCs w:val="20"/>
                <w:b w:val="1"/>
                <w:bCs w:val="1"/>
                <w:color w:val="auto"/>
              </w:rPr>
              <w:t>YOY Change</w:t>
            </w:r>
          </w:p>
        </w:tc>
        <w:tc>
          <w:tcPr>
            <w:tcW w:w="1340" w:type="dxa"/>
            <w:vAlign w:val="bottom"/>
            <w:tcBorders>
              <w:right w:val="single" w:sz="8" w:color="auto"/>
            </w:tcBorders>
          </w:tcPr>
          <w:p>
            <w:pPr>
              <w:ind w:left="160"/>
              <w:spacing w:after="0"/>
              <w:rPr>
                <w:sz w:val="20"/>
                <w:szCs w:val="20"/>
                <w:color w:val="auto"/>
              </w:rPr>
            </w:pPr>
            <w:r>
              <w:rPr>
                <w:rFonts w:ascii="Arial" w:cs="Arial" w:eastAsia="Arial" w:hAnsi="Arial"/>
                <w:sz w:val="20"/>
                <w:szCs w:val="20"/>
                <w:b w:val="1"/>
                <w:bCs w:val="1"/>
                <w:color w:val="auto"/>
              </w:rPr>
              <w:t>Pct Change</w:t>
            </w:r>
          </w:p>
        </w:tc>
        <w:tc>
          <w:tcPr>
            <w:tcW w:w="1400" w:type="dxa"/>
            <w:vAlign w:val="bottom"/>
          </w:tcPr>
          <w:p>
            <w:pPr>
              <w:jc w:val="right"/>
              <w:ind w:right="161"/>
              <w:spacing w:after="0"/>
              <w:rPr>
                <w:sz w:val="20"/>
                <w:szCs w:val="20"/>
                <w:color w:val="auto"/>
              </w:rPr>
            </w:pPr>
            <w:r>
              <w:rPr>
                <w:rFonts w:ascii="Arial" w:cs="Arial" w:eastAsia="Arial" w:hAnsi="Arial"/>
                <w:sz w:val="20"/>
                <w:szCs w:val="20"/>
                <w:b w:val="1"/>
                <w:bCs w:val="1"/>
                <w:color w:val="auto"/>
              </w:rPr>
              <w:t>Total Sales</w:t>
            </w:r>
          </w:p>
        </w:tc>
        <w:tc>
          <w:tcPr>
            <w:tcW w:w="1360" w:type="dxa"/>
            <w:vAlign w:val="bottom"/>
          </w:tcPr>
          <w:p>
            <w:pPr>
              <w:jc w:val="center"/>
              <w:ind w:right="1"/>
              <w:spacing w:after="0"/>
              <w:rPr>
                <w:sz w:val="20"/>
                <w:szCs w:val="20"/>
                <w:color w:val="auto"/>
              </w:rPr>
            </w:pPr>
            <w:r>
              <w:rPr>
                <w:rFonts w:ascii="Arial" w:cs="Arial" w:eastAsia="Arial" w:hAnsi="Arial"/>
                <w:sz w:val="20"/>
                <w:szCs w:val="20"/>
                <w:b w:val="1"/>
                <w:bCs w:val="1"/>
                <w:color w:val="auto"/>
                <w:w w:val="94"/>
              </w:rPr>
              <w:t>YOY Change</w:t>
            </w:r>
          </w:p>
        </w:tc>
        <w:tc>
          <w:tcPr>
            <w:tcW w:w="1340" w:type="dxa"/>
            <w:vAlign w:val="bottom"/>
            <w:tcBorders>
              <w:right w:val="single" w:sz="8" w:color="auto"/>
            </w:tcBorders>
          </w:tcPr>
          <w:p>
            <w:pPr>
              <w:ind w:left="160"/>
              <w:spacing w:after="0"/>
              <w:rPr>
                <w:sz w:val="20"/>
                <w:szCs w:val="20"/>
                <w:color w:val="auto"/>
              </w:rPr>
            </w:pPr>
            <w:r>
              <w:rPr>
                <w:rFonts w:ascii="Arial" w:cs="Arial" w:eastAsia="Arial" w:hAnsi="Arial"/>
                <w:sz w:val="20"/>
                <w:szCs w:val="20"/>
                <w:b w:val="1"/>
                <w:bCs w:val="1"/>
                <w:color w:val="auto"/>
              </w:rPr>
              <w:t>Pct Change</w:t>
            </w:r>
          </w:p>
        </w:tc>
        <w:tc>
          <w:tcPr>
            <w:tcW w:w="0" w:type="dxa"/>
            <w:vAlign w:val="bottom"/>
          </w:tcPr>
          <w:p>
            <w:pPr>
              <w:spacing w:after="0"/>
              <w:rPr>
                <w:sz w:val="1"/>
                <w:szCs w:val="1"/>
                <w:color w:val="auto"/>
              </w:rPr>
            </w:pP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Chevrolet</w:t>
            </w:r>
          </w:p>
        </w:tc>
        <w:tc>
          <w:tcPr>
            <w:tcW w:w="1320" w:type="dxa"/>
            <w:vAlign w:val="bottom"/>
          </w:tcPr>
          <w:p>
            <w:pPr>
              <w:jc w:val="center"/>
              <w:spacing w:after="0"/>
              <w:rPr>
                <w:sz w:val="20"/>
                <w:szCs w:val="20"/>
                <w:color w:val="auto"/>
              </w:rPr>
            </w:pPr>
            <w:r>
              <w:rPr>
                <w:rFonts w:ascii="Arial" w:cs="Arial" w:eastAsia="Arial" w:hAnsi="Arial"/>
                <w:sz w:val="20"/>
                <w:szCs w:val="20"/>
                <w:color w:val="auto"/>
                <w:w w:val="89"/>
              </w:rPr>
              <w:t>1,247,691</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(69,104)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(5.2%)</w:t>
            </w:r>
          </w:p>
        </w:tc>
        <w:tc>
          <w:tcPr>
            <w:tcW w:w="1400" w:type="dxa"/>
            <w:vAlign w:val="bottom"/>
          </w:tcPr>
          <w:p>
            <w:pPr>
              <w:jc w:val="right"/>
              <w:spacing w:after="0"/>
              <w:rPr>
                <w:sz w:val="20"/>
                <w:szCs w:val="20"/>
                <w:color w:val="auto"/>
              </w:rPr>
            </w:pPr>
            <w:r>
              <w:rPr>
                <w:rFonts w:ascii="Arial" w:cs="Arial" w:eastAsia="Arial" w:hAnsi="Arial"/>
                <w:sz w:val="20"/>
                <w:szCs w:val="20"/>
                <w:color w:val="auto"/>
              </w:rPr>
              <w:t>2,369,557</w:t>
            </w:r>
          </w:p>
        </w:tc>
        <w:tc>
          <w:tcPr>
            <w:tcW w:w="1360" w:type="dxa"/>
            <w:vAlign w:val="bottom"/>
          </w:tcPr>
          <w:p>
            <w:pPr>
              <w:jc w:val="center"/>
              <w:ind w:right="1"/>
              <w:spacing w:after="0"/>
              <w:rPr>
                <w:sz w:val="20"/>
                <w:szCs w:val="20"/>
                <w:color w:val="auto"/>
              </w:rPr>
            </w:pPr>
            <w:r>
              <w:rPr>
                <w:rFonts w:ascii="Arial" w:cs="Arial" w:eastAsia="Arial" w:hAnsi="Arial"/>
                <w:sz w:val="20"/>
                <w:szCs w:val="20"/>
                <w:color w:val="auto"/>
                <w:w w:val="91"/>
              </w:rPr>
              <w:t>(129,416)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(5.2%)</w:t>
            </w:r>
          </w:p>
        </w:tc>
        <w:tc>
          <w:tcPr>
            <w:tcW w:w="0" w:type="dxa"/>
            <w:vAlign w:val="bottom"/>
          </w:tcPr>
          <w:p>
            <w:pPr>
              <w:spacing w:after="0"/>
              <w:rPr>
                <w:sz w:val="1"/>
                <w:szCs w:val="1"/>
                <w:color w:val="auto"/>
              </w:rPr>
            </w:pPr>
          </w:p>
        </w:tc>
      </w:tr>
      <w:tr>
        <w:trPr>
          <w:trHeight w:val="28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Opel/Vauxhall</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297,926</w:t>
            </w:r>
          </w:p>
        </w:tc>
        <w:tc>
          <w:tcPr>
            <w:tcW w:w="1460" w:type="dxa"/>
            <w:vAlign w:val="bottom"/>
          </w:tcPr>
          <w:p>
            <w:pPr>
              <w:jc w:val="center"/>
              <w:spacing w:after="0"/>
              <w:rPr>
                <w:sz w:val="20"/>
                <w:szCs w:val="20"/>
                <w:color w:val="auto"/>
              </w:rPr>
            </w:pPr>
            <w:r>
              <w:rPr>
                <w:rFonts w:ascii="Arial" w:cs="Arial" w:eastAsia="Arial" w:hAnsi="Arial"/>
                <w:sz w:val="20"/>
                <w:szCs w:val="20"/>
                <w:color w:val="auto"/>
                <w:w w:val="87"/>
              </w:rPr>
              <w:t>8,159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2.8%</w:t>
            </w:r>
          </w:p>
        </w:tc>
        <w:tc>
          <w:tcPr>
            <w:tcW w:w="1400" w:type="dxa"/>
            <w:vAlign w:val="bottom"/>
          </w:tcPr>
          <w:p>
            <w:pPr>
              <w:jc w:val="right"/>
              <w:spacing w:after="0"/>
              <w:rPr>
                <w:sz w:val="20"/>
                <w:szCs w:val="20"/>
                <w:color w:val="auto"/>
              </w:rPr>
            </w:pPr>
            <w:r>
              <w:rPr>
                <w:rFonts w:ascii="Arial" w:cs="Arial" w:eastAsia="Arial" w:hAnsi="Arial"/>
                <w:sz w:val="20"/>
                <w:szCs w:val="20"/>
                <w:color w:val="auto"/>
              </w:rPr>
              <w:t>573,955</w:t>
            </w:r>
          </w:p>
        </w:tc>
        <w:tc>
          <w:tcPr>
            <w:tcW w:w="1360" w:type="dxa"/>
            <w:vAlign w:val="bottom"/>
          </w:tcPr>
          <w:p>
            <w:pPr>
              <w:jc w:val="center"/>
              <w:ind w:right="1"/>
              <w:spacing w:after="0"/>
              <w:rPr>
                <w:sz w:val="20"/>
                <w:szCs w:val="20"/>
                <w:color w:val="auto"/>
              </w:rPr>
            </w:pPr>
            <w:r>
              <w:rPr>
                <w:rFonts w:ascii="Arial" w:cs="Arial" w:eastAsia="Arial" w:hAnsi="Arial"/>
                <w:sz w:val="20"/>
                <w:szCs w:val="20"/>
                <w:color w:val="auto"/>
                <w:w w:val="88"/>
              </w:rPr>
              <w:t>20,549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3.7%</w:t>
            </w:r>
          </w:p>
        </w:tc>
        <w:tc>
          <w:tcPr>
            <w:tcW w:w="0" w:type="dxa"/>
            <w:vAlign w:val="bottom"/>
          </w:tcPr>
          <w:p>
            <w:pPr>
              <w:spacing w:after="0"/>
              <w:rPr>
                <w:sz w:val="1"/>
                <w:szCs w:val="1"/>
                <w:color w:val="auto"/>
              </w:rPr>
            </w:pPr>
          </w:p>
        </w:tc>
      </w:tr>
      <w:tr>
        <w:trPr>
          <w:trHeight w:val="28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Buick</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278,549</w:t>
            </w:r>
          </w:p>
        </w:tc>
        <w:tc>
          <w:tcPr>
            <w:tcW w:w="1460" w:type="dxa"/>
            <w:vAlign w:val="bottom"/>
          </w:tcPr>
          <w:p>
            <w:pPr>
              <w:jc w:val="center"/>
              <w:spacing w:after="0"/>
              <w:rPr>
                <w:sz w:val="20"/>
                <w:szCs w:val="20"/>
                <w:color w:val="auto"/>
              </w:rPr>
            </w:pPr>
            <w:r>
              <w:rPr>
                <w:rFonts w:ascii="Arial" w:cs="Arial" w:eastAsia="Arial" w:hAnsi="Arial"/>
                <w:sz w:val="20"/>
                <w:szCs w:val="20"/>
                <w:color w:val="auto"/>
                <w:w w:val="88"/>
              </w:rPr>
              <w:t>27,500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11.0%</w:t>
            </w:r>
          </w:p>
        </w:tc>
        <w:tc>
          <w:tcPr>
            <w:tcW w:w="1400" w:type="dxa"/>
            <w:vAlign w:val="bottom"/>
          </w:tcPr>
          <w:p>
            <w:pPr>
              <w:jc w:val="right"/>
              <w:spacing w:after="0"/>
              <w:rPr>
                <w:sz w:val="20"/>
                <w:szCs w:val="20"/>
                <w:color w:val="auto"/>
              </w:rPr>
            </w:pPr>
            <w:r>
              <w:rPr>
                <w:rFonts w:ascii="Arial" w:cs="Arial" w:eastAsia="Arial" w:hAnsi="Arial"/>
                <w:sz w:val="20"/>
                <w:szCs w:val="20"/>
                <w:color w:val="auto"/>
              </w:rPr>
              <w:t>573,506</w:t>
            </w:r>
          </w:p>
        </w:tc>
        <w:tc>
          <w:tcPr>
            <w:tcW w:w="1360" w:type="dxa"/>
            <w:vAlign w:val="bottom"/>
          </w:tcPr>
          <w:p>
            <w:pPr>
              <w:jc w:val="center"/>
              <w:ind w:right="1"/>
              <w:spacing w:after="0"/>
              <w:rPr>
                <w:sz w:val="20"/>
                <w:szCs w:val="20"/>
                <w:color w:val="auto"/>
              </w:rPr>
            </w:pPr>
            <w:r>
              <w:rPr>
                <w:rFonts w:ascii="Arial" w:cs="Arial" w:eastAsia="Arial" w:hAnsi="Arial"/>
                <w:sz w:val="20"/>
                <w:szCs w:val="20"/>
                <w:color w:val="auto"/>
                <w:w w:val="88"/>
              </w:rPr>
              <w:t>62,969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12.3%</w:t>
            </w:r>
          </w:p>
        </w:tc>
        <w:tc>
          <w:tcPr>
            <w:tcW w:w="0" w:type="dxa"/>
            <w:vAlign w:val="bottom"/>
          </w:tcPr>
          <w:p>
            <w:pPr>
              <w:spacing w:after="0"/>
              <w:rPr>
                <w:sz w:val="1"/>
                <w:szCs w:val="1"/>
                <w:color w:val="auto"/>
              </w:rPr>
            </w:pPr>
          </w:p>
        </w:tc>
      </w:tr>
      <w:tr>
        <w:trPr>
          <w:trHeight w:val="28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Cadillac</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66,092</w:t>
            </w:r>
          </w:p>
        </w:tc>
        <w:tc>
          <w:tcPr>
            <w:tcW w:w="1460" w:type="dxa"/>
            <w:vAlign w:val="bottom"/>
          </w:tcPr>
          <w:p>
            <w:pPr>
              <w:jc w:val="center"/>
              <w:spacing w:after="0"/>
              <w:rPr>
                <w:sz w:val="20"/>
                <w:szCs w:val="20"/>
                <w:color w:val="auto"/>
              </w:rPr>
            </w:pPr>
            <w:r>
              <w:rPr>
                <w:rFonts w:ascii="Arial" w:cs="Arial" w:eastAsia="Arial" w:hAnsi="Arial"/>
                <w:sz w:val="20"/>
                <w:szCs w:val="20"/>
                <w:color w:val="auto"/>
                <w:w w:val="87"/>
              </w:rPr>
              <w:t>8,208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14.2%</w:t>
            </w:r>
          </w:p>
        </w:tc>
        <w:tc>
          <w:tcPr>
            <w:tcW w:w="1400" w:type="dxa"/>
            <w:vAlign w:val="bottom"/>
          </w:tcPr>
          <w:p>
            <w:pPr>
              <w:jc w:val="right"/>
              <w:spacing w:after="0"/>
              <w:rPr>
                <w:sz w:val="20"/>
                <w:szCs w:val="20"/>
                <w:color w:val="auto"/>
              </w:rPr>
            </w:pPr>
            <w:r>
              <w:rPr>
                <w:rFonts w:ascii="Arial" w:cs="Arial" w:eastAsia="Arial" w:hAnsi="Arial"/>
                <w:sz w:val="20"/>
                <w:szCs w:val="20"/>
                <w:color w:val="auto"/>
              </w:rPr>
              <w:t>125,028</w:t>
            </w:r>
          </w:p>
        </w:tc>
        <w:tc>
          <w:tcPr>
            <w:tcW w:w="1360" w:type="dxa"/>
            <w:vAlign w:val="bottom"/>
          </w:tcPr>
          <w:p>
            <w:pPr>
              <w:jc w:val="center"/>
              <w:ind w:right="1"/>
              <w:spacing w:after="0"/>
              <w:rPr>
                <w:sz w:val="20"/>
                <w:szCs w:val="20"/>
                <w:color w:val="auto"/>
              </w:rPr>
            </w:pPr>
            <w:r>
              <w:rPr>
                <w:rFonts w:ascii="Arial" w:cs="Arial" w:eastAsia="Arial" w:hAnsi="Arial"/>
                <w:sz w:val="20"/>
                <w:szCs w:val="20"/>
                <w:color w:val="auto"/>
                <w:w w:val="88"/>
              </w:rPr>
              <w:t>13,056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11.7%</w:t>
            </w:r>
          </w:p>
        </w:tc>
        <w:tc>
          <w:tcPr>
            <w:tcW w:w="0" w:type="dxa"/>
            <w:vAlign w:val="bottom"/>
          </w:tcPr>
          <w:p>
            <w:pPr>
              <w:spacing w:after="0"/>
              <w:rPr>
                <w:sz w:val="1"/>
                <w:szCs w:val="1"/>
                <w:color w:val="auto"/>
              </w:rPr>
            </w:pPr>
          </w:p>
        </w:tc>
      </w:tr>
      <w:tr>
        <w:trPr>
          <w:trHeight w:val="28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All Others</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615,631</w:t>
            </w:r>
          </w:p>
        </w:tc>
        <w:tc>
          <w:tcPr>
            <w:tcW w:w="1460" w:type="dxa"/>
            <w:vAlign w:val="bottom"/>
          </w:tcPr>
          <w:p>
            <w:pPr>
              <w:jc w:val="center"/>
              <w:spacing w:after="0"/>
              <w:rPr>
                <w:sz w:val="20"/>
                <w:szCs w:val="20"/>
                <w:color w:val="auto"/>
              </w:rPr>
            </w:pPr>
            <w:r>
              <w:rPr>
                <w:rFonts w:ascii="Arial" w:cs="Arial" w:eastAsia="Arial" w:hAnsi="Arial"/>
                <w:sz w:val="20"/>
                <w:szCs w:val="20"/>
                <w:color w:val="auto"/>
                <w:w w:val="88"/>
              </w:rPr>
              <w:t>38,674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6.7%</w:t>
            </w:r>
          </w:p>
        </w:tc>
        <w:tc>
          <w:tcPr>
            <w:tcW w:w="1400" w:type="dxa"/>
            <w:vAlign w:val="bottom"/>
          </w:tcPr>
          <w:p>
            <w:pPr>
              <w:jc w:val="right"/>
              <w:spacing w:after="0"/>
              <w:rPr>
                <w:sz w:val="20"/>
                <w:szCs w:val="20"/>
                <w:color w:val="auto"/>
              </w:rPr>
            </w:pPr>
            <w:r>
              <w:rPr>
                <w:rFonts w:ascii="Arial" w:cs="Arial" w:eastAsia="Arial" w:hAnsi="Arial"/>
                <w:sz w:val="20"/>
                <w:szCs w:val="20"/>
                <w:color w:val="auto"/>
              </w:rPr>
              <w:t>1,279,882</w:t>
            </w: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101,327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8.6%</w:t>
            </w:r>
          </w:p>
        </w:tc>
        <w:tc>
          <w:tcPr>
            <w:tcW w:w="0" w:type="dxa"/>
            <w:vAlign w:val="bottom"/>
          </w:tcPr>
          <w:p>
            <w:pPr>
              <w:spacing w:after="0"/>
              <w:rPr>
                <w:sz w:val="1"/>
                <w:szCs w:val="1"/>
                <w:color w:val="auto"/>
              </w:rPr>
            </w:pP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Notes:</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right="4960"/>
        <w:spacing w:after="0" w:line="313" w:lineRule="auto"/>
        <w:rPr>
          <w:sz w:val="20"/>
          <w:szCs w:val="20"/>
          <w:color w:val="auto"/>
        </w:rPr>
      </w:pPr>
      <w:r>
        <w:rPr>
          <w:rFonts w:ascii="Arial" w:cs="Arial" w:eastAsia="Arial" w:hAnsi="Arial"/>
          <w:sz w:val="18"/>
          <w:szCs w:val="18"/>
          <w:color w:val="auto"/>
        </w:rPr>
        <w:t>GM North America = United States, Canada, Mexico, and other North American markets GM Europe = Western, Central and Eastern Europe</w:t>
      </w:r>
    </w:p>
    <w:p>
      <w:pPr>
        <w:ind w:left="40"/>
        <w:spacing w:after="0"/>
        <w:rPr>
          <w:sz w:val="20"/>
          <w:szCs w:val="20"/>
          <w:color w:val="auto"/>
        </w:rPr>
      </w:pPr>
      <w:r>
        <w:rPr>
          <w:rFonts w:ascii="Arial" w:cs="Arial" w:eastAsia="Arial" w:hAnsi="Arial"/>
          <w:sz w:val="18"/>
          <w:szCs w:val="18"/>
          <w:color w:val="auto"/>
        </w:rPr>
        <w:t>GM International Operations = Asia-Pacific, Africa and the Middle East*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GM China = China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*Iran, North Korea, Syria and Sudan are excluded from sales volume calculations.</w:t>
      </w:r>
    </w:p>
    <w:sectPr>
      <w:pgSz w:w="11900" w:h="16838" w:orient="portrait"/>
      <w:cols w:equalWidth="0" w:num="1">
        <w:col w:w="11440"/>
      </w:cols>
      <w:pgMar w:left="240" w:top="58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2019-12-07T20:24:58Z</dcterms:created>
  <dcterms:modified xsi:type="dcterms:W3CDTF">2019-12-07T20:24:58Z</dcterms:modified>
</cp:coreProperties>
</file>