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Blissett Julian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Executive Vice President</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center"/>
              <w:ind w:left="61"/>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40" w:type="dxa"/>
            <w:vAlign w:val="bottom"/>
          </w:tcPr>
          <w:p>
            <w:pPr>
              <w:spacing w:after="0"/>
              <w:rPr>
                <w:sz w:val="11"/>
                <w:szCs w:val="11"/>
                <w:color w:val="auto"/>
              </w:rPr>
            </w:pPr>
          </w:p>
        </w:tc>
        <w:tc>
          <w:tcPr>
            <w:tcW w:w="3520" w:type="dxa"/>
            <w:vAlign w:val="bottom"/>
            <w:gridSpan w:val="10"/>
          </w:tcPr>
          <w:p>
            <w:pPr>
              <w:ind w:left="18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02/13/2021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15,723</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37,853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20" w:type="dxa"/>
            <w:vAlign w:val="bottom"/>
            <w:gridSpan w:val="3"/>
          </w:tcPr>
          <w:p>
            <w:pPr>
              <w:ind w:left="900"/>
              <w:spacing w:after="0"/>
              <w:rPr>
                <w:sz w:val="20"/>
                <w:szCs w:val="20"/>
                <w:color w:val="auto"/>
              </w:rPr>
            </w:pPr>
            <w:r>
              <w:rPr>
                <w:rFonts w:ascii="Arial" w:cs="Arial" w:eastAsia="Arial" w:hAnsi="Arial"/>
                <w:sz w:val="17"/>
                <w:szCs w:val="17"/>
                <w:color w:val="0000FF"/>
              </w:rPr>
              <w:t>02/13/2021</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33"/>
              <w:spacing w:after="0"/>
              <w:rPr>
                <w:sz w:val="20"/>
                <w:szCs w:val="20"/>
                <w:color w:val="auto"/>
              </w:rPr>
            </w:pPr>
            <w:r>
              <w:rPr>
                <w:rFonts w:ascii="Arial" w:cs="Arial" w:eastAsia="Arial" w:hAnsi="Arial"/>
                <w:sz w:val="17"/>
                <w:szCs w:val="17"/>
                <w:color w:val="0000FF"/>
              </w:rPr>
              <w:t>3,460</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560" w:type="dxa"/>
            <w:vAlign w:val="bottom"/>
            <w:gridSpan w:val="3"/>
          </w:tcPr>
          <w:p>
            <w:pPr>
              <w:jc w:val="center"/>
              <w:ind w:right="3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53.6</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34,393</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2018, the Reporting Person received a grant of Performance Stock Units ("PSUs") under the Company's 2017 Long-Term Incentive Plan. Under the grant, the PSUs could be earned based on the achievement of certain financial targets. The PSUs vested on February 13, 2021,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02/17/2021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Blissett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0440"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2021-02-17T16:15:50Z</dcterms:created>
  <dcterms:modified xsi:type="dcterms:W3CDTF">2021-02-17T16:15:50Z</dcterms:modified>
</cp:coreProperties>
</file>