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9612" w:type="dxa"/>
        <w:jc w:val="left"/>
        <w:tblInd w:w="0" w:type="dxa"/>
        <w:tblLayout w:type="fixed"/>
        <w:tblCellMar>
          <w:top w:w="28" w:type="dxa"/>
          <w:left w:w="28" w:type="dxa"/>
          <w:bottom w:w="28" w:type="dxa"/>
          <w:right w:w="28" w:type="dxa"/>
        </w:tblCellMar>
      </w:tblPr>
      <w:tblGrid>
        <w:gridCol w:w="124"/>
        <w:gridCol w:w="109"/>
        <w:gridCol w:w="109"/>
        <w:gridCol w:w="2712"/>
        <w:gridCol w:w="2712"/>
        <w:gridCol w:w="3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QUARTERLY REPORT PURSUANT TO SECTION 13 OR 15(d) OF THE SECURITIES EXCHANGE ACT </w:t>
              <w:br/>
              <w:t>OF 1934</w:t>
            </w:r>
          </w:p>
        </w:tc>
      </w:tr>
    </w:tbl>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or</w:t>
      </w:r>
    </w:p>
    <w:tbl>
      <w:tblPr>
        <w:tblW w:w="9597" w:type="dxa"/>
        <w:jc w:val="left"/>
        <w:tblInd w:w="0" w:type="dxa"/>
        <w:tblLayout w:type="fixed"/>
        <w:tblCellMar>
          <w:top w:w="28" w:type="dxa"/>
          <w:left w:w="28" w:type="dxa"/>
          <w:bottom w:w="28" w:type="dxa"/>
          <w:right w:w="28" w:type="dxa"/>
        </w:tblCellMar>
      </w:tblPr>
      <w:tblGrid>
        <w:gridCol w:w="124"/>
        <w:gridCol w:w="109"/>
        <w:gridCol w:w="109"/>
        <w:gridCol w:w="2710"/>
        <w:gridCol w:w="2710"/>
        <w:gridCol w:w="3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TRANSITION REPORT PURSUANT TO SECTION 13 OR 15(d) OF THE SECURITIES EXCHANGE ACT </w:t>
              <w:br/>
              <w:t>OF 1934</w:t>
            </w:r>
          </w:p>
        </w:tc>
      </w:tr>
    </w:tbl>
    <w:p>
      <w:pPr>
        <w:pStyle w:val="TextBody"/>
        <w:bidi w:val="0"/>
        <w:spacing w:lineRule="auto" w:line="288" w:before="8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001-34960 </w:t>
      </w:r>
    </w:p>
    <w:p>
      <w:pPr>
        <w:pStyle w:val="TextBody"/>
        <w:bidi w:val="0"/>
        <w:spacing w:before="180" w:after="120"/>
        <w:jc w:val="center"/>
        <w:rPr/>
      </w:pPr>
      <w:r>
        <w:rPr/>
        <w:drawing>
          <wp:inline distT="0" distB="0" distL="0" distR="0">
            <wp:extent cx="5238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3875" cy="4953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GENERAL MOTORS COMPANY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7250" w:type="dxa"/>
        <w:jc w:val="center"/>
        <w:tblInd w:w="0" w:type="dxa"/>
        <w:tblLayout w:type="fixed"/>
        <w:tblCellMar>
          <w:top w:w="28" w:type="dxa"/>
          <w:left w:w="28" w:type="dxa"/>
          <w:bottom w:w="28" w:type="dxa"/>
          <w:right w:w="28" w:type="dxa"/>
        </w:tblCellMar>
      </w:tblPr>
      <w:tblGrid>
        <w:gridCol w:w="125"/>
        <w:gridCol w:w="110"/>
        <w:gridCol w:w="110"/>
        <w:gridCol w:w="180"/>
        <w:gridCol w:w="180"/>
        <w:gridCol w:w="180"/>
        <w:gridCol w:w="180"/>
        <w:gridCol w:w="180"/>
        <w:gridCol w:w="180"/>
        <w:gridCol w:w="180"/>
        <w:gridCol w:w="180"/>
        <w:gridCol w:w="180"/>
        <w:gridCol w:w="180"/>
        <w:gridCol w:w="180"/>
        <w:gridCol w:w="180"/>
        <w:gridCol w:w="249"/>
        <w:gridCol w:w="249"/>
        <w:gridCol w:w="251"/>
        <w:gridCol w:w="305"/>
        <w:gridCol w:w="305"/>
        <w:gridCol w:w="306"/>
        <w:gridCol w:w="110"/>
        <w:gridCol w:w="110"/>
        <w:gridCol w:w="110"/>
        <w:gridCol w:w="109"/>
        <w:gridCol w:w="109"/>
        <w:gridCol w:w="109"/>
        <w:gridCol w:w="109"/>
        <w:gridCol w:w="109"/>
        <w:gridCol w:w="109"/>
        <w:gridCol w:w="270"/>
        <w:gridCol w:w="270"/>
        <w:gridCol w:w="271"/>
        <w:gridCol w:w="195"/>
        <w:gridCol w:w="195"/>
        <w:gridCol w:w="196"/>
        <w:gridCol w:w="109"/>
        <w:gridCol w:w="109"/>
        <w:gridCol w:w="109"/>
        <w:gridCol w:w="109"/>
        <w:gridCol w:w="109"/>
        <w:gridCol w:w="15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75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27-0756180</w:t>
            </w:r>
          </w:p>
        </w:tc>
      </w:tr>
      <w:tr>
        <w:trPr/>
        <w:tc>
          <w:tcPr>
            <w:tcW w:w="450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w:t>
              <w:br/>
              <w:t>incorporation or organization)</w:t>
            </w:r>
          </w:p>
        </w:tc>
        <w:tc>
          <w:tcPr>
            <w:tcW w:w="275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w:t>
              <w:br/>
              <w:t>Identification No.)</w:t>
            </w:r>
          </w:p>
        </w:tc>
      </w:tr>
      <w:tr>
        <w:trPr/>
        <w:tc>
          <w:tcPr>
            <w:tcW w:w="7250"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300 Renaissance Center,</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Detroit,</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Michigan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0"/>
              </w:rPr>
              <w:t>48265</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tc>
        <w:tc>
          <w:tcPr>
            <w:tcW w:w="275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(313) 667-1500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(Registrant’s telephone number, including area code)</w:t>
      </w:r>
    </w:p>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Name of each exchange on which registered</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Stock, $0.01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GM</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New York Stock Exchange</w:t>
            </w:r>
          </w:p>
        </w:tc>
      </w:tr>
    </w:tbl>
    <w:p>
      <w:pPr>
        <w:pStyle w:val="TextBody"/>
        <w:bidi w:val="0"/>
        <w:spacing w:lineRule="auto" w:line="288" w:before="20" w:after="283"/>
        <w:ind w:left="0" w:right="0" w:firstLine="90"/>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ind w:left="0" w:right="0" w:firstLine="90"/>
        <w:jc w:val="both"/>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ind w:left="0" w:right="0" w:firstLine="9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90"/>
        <w:jc w:val="both"/>
        <w:rPr/>
      </w:pPr>
      <w:r>
        <w:rPr>
          <w:rFonts w:ascii="Times New Roman;sans-serif" w:hAnsi="Times New Roman;sans-serif"/>
          <w:b w:val="false"/>
          <w:color w:val="000000"/>
          <w:sz w:val="18"/>
        </w:rPr>
        <w:t>Large accelerated filer  </w:t>
      </w:r>
      <w:r>
        <w:rPr>
          <w:color w:val="000000"/>
        </w:rPr>
        <w:t>☑  </w:t>
      </w:r>
      <w:r>
        <w:rPr>
          <w:rFonts w:ascii="Times New Roman;sans-serif" w:hAnsi="Times New Roman;sans-serif"/>
          <w:b w:val="false"/>
          <w:color w:val="000000"/>
          <w:sz w:val="18"/>
        </w:rPr>
        <w:t>Accelerated filer  </w:t>
      </w:r>
      <w:r>
        <w:rPr>
          <w:color w:val="000000"/>
        </w:rPr>
        <w:t xml:space="preserve">☐ </w:t>
      </w:r>
      <w:r>
        <w:rPr>
          <w:rFonts w:ascii="Times New Roman;sans-serif" w:hAnsi="Times New Roman;sans-serif"/>
          <w:b w:val="false"/>
          <w:color w:val="000000"/>
          <w:sz w:val="18"/>
        </w:rPr>
        <w:t>Non-accelerated filer  </w:t>
      </w:r>
      <w:r>
        <w:rPr>
          <w:color w:val="000000"/>
        </w:rPr>
        <w:t>☐  </w:t>
      </w:r>
      <w:r>
        <w:rPr>
          <w:rFonts w:ascii="Times New Roman;sans-serif" w:hAnsi="Times New Roman;sans-serif"/>
          <w:b w:val="false"/>
          <w:color w:val="000000"/>
          <w:sz w:val="18"/>
        </w:rPr>
        <w:t xml:space="preserve">Smaller reporting company  </w:t>
      </w:r>
      <w:r>
        <w:rPr>
          <w:color w:val="000000"/>
        </w:rPr>
        <w:t xml:space="preserve">☐ </w:t>
      </w:r>
      <w:r>
        <w:rPr>
          <w:rFonts w:ascii="Times New Roman;sans-serif" w:hAnsi="Times New Roman;sans-serif"/>
          <w:b w:val="false"/>
          <w:color w:val="000000"/>
          <w:sz w:val="18"/>
        </w:rPr>
        <w:t xml:space="preserve">Emerging growth company  </w:t>
      </w:r>
      <w:r>
        <w:rPr>
          <w:color w:val="000000"/>
        </w:rPr>
        <w:t>☐ </w:t>
      </w:r>
    </w:p>
    <w:p>
      <w:pPr>
        <w:pStyle w:val="TextBody"/>
        <w:bidi w:val="0"/>
        <w:spacing w:lineRule="auto" w:line="288" w:before="120" w:after="283"/>
        <w:ind w:left="0" w:right="0" w:firstLine="90"/>
        <w:jc w:val="both"/>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90"/>
        <w:jc w:val="both"/>
        <w:rPr/>
      </w:pPr>
      <w:r>
        <w:rPr>
          <w:rFonts w:ascii="Times New Roman;sans-serif" w:hAnsi="Times New Roman;sans-serif"/>
          <w:b w:val="false"/>
          <w:color w:val="000000"/>
          <w:sz w:val="19"/>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ind w:left="0" w:right="0" w:firstLine="90"/>
        <w:jc w:val="both"/>
        <w:rPr>
          <w:rFonts w:ascii="Times New Roman;sans-serif" w:hAnsi="Times New Roman;sans-serif"/>
          <w:b w:val="false"/>
          <w:color w:val="000000"/>
          <w:sz w:val="19"/>
        </w:rPr>
      </w:pPr>
      <w:r>
        <w:rPr>
          <w:rFonts w:ascii="Times New Roman;sans-serif" w:hAnsi="Times New Roman;sans-serif"/>
          <w:b w:val="false"/>
          <w:color w:val="000000"/>
          <w:sz w:val="19"/>
        </w:rPr>
        <w:t>As of April 15, 2025 there were 961,434,742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34" w:type="dxa"/>
        <w:jc w:val="left"/>
        <w:tblInd w:w="0" w:type="dxa"/>
        <w:tblLayout w:type="fixed"/>
        <w:tblCellMar>
          <w:top w:w="28" w:type="dxa"/>
          <w:left w:w="28" w:type="dxa"/>
          <w:bottom w:w="28" w:type="dxa"/>
          <w:right w:w="28" w:type="dxa"/>
        </w:tblCellMar>
      </w:tblPr>
      <w:tblGrid>
        <w:gridCol w:w="325"/>
        <w:gridCol w:w="286"/>
        <w:gridCol w:w="290"/>
        <w:gridCol w:w="1050"/>
        <w:gridCol w:w="1050"/>
        <w:gridCol w:w="1050"/>
        <w:gridCol w:w="1403"/>
        <w:gridCol w:w="1403"/>
        <w:gridCol w:w="1406"/>
        <w:gridCol w:w="167"/>
        <w:gridCol w:w="167"/>
        <w:gridCol w:w="237"/>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8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3">
              <w:r>
                <w:rPr>
                  <w:rStyle w:val="InternetLink"/>
                  <w:rFonts w:ascii="Times New Roman;sans-serif" w:hAnsi="Times New Roman;sans-serif"/>
                  <w:b w:val="false"/>
                  <w:color w:val="0000FF"/>
                  <w:sz w:val="20"/>
                  <w:u w:val="single"/>
                </w:rPr>
                <w:t>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Statements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
              <w:r>
                <w:rPr>
                  <w:rStyle w:val="InternetLink"/>
                  <w:rFonts w:ascii="Times New Roman;sans-serif" w:hAnsi="Times New Roman;sans-serif"/>
                  <w:b w:val="false"/>
                  <w:color w:val="0000FF"/>
                  <w:sz w:val="20"/>
                  <w:u w:val="single"/>
                </w:rPr>
                <w:t>1</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Comprehensive Income (Unaudited)</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945">
              <w:r>
                <w:rPr>
                  <w:rStyle w:val="InternetLink"/>
                  <w:rFonts w:ascii="Times New Roman;sans-serif" w:hAnsi="Times New Roman;sans-serif"/>
                  <w:b w:val="false"/>
                  <w:color w:val="0000FF"/>
                  <w:sz w:val="20"/>
                  <w:u w:val="single"/>
                </w:rPr>
                <w:t>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9">
              <w:r>
                <w:rPr>
                  <w:rStyle w:val="InternetLink"/>
                  <w:rFonts w:ascii="Times New Roman;sans-serif" w:hAnsi="Times New Roman;sans-serif"/>
                  <w:b w:val="false"/>
                  <w:color w:val="0000FF"/>
                  <w:sz w:val="20"/>
                  <w:u w:val="single"/>
                </w:rPr>
                <w:t>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(Unaudited)</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22">
              <w:r>
                <w:rPr>
                  <w:rStyle w:val="InternetLink"/>
                  <w:rFonts w:ascii="Times New Roman;sans-serif" w:hAnsi="Times New Roman;sans-serif"/>
                  <w:b w:val="false"/>
                  <w:color w:val="0000FF"/>
                  <w:sz w:val="20"/>
                  <w:u w:val="single"/>
                </w:rPr>
                <w:t>3</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Equity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25">
              <w:r>
                <w:rPr>
                  <w:rStyle w:val="InternetLink"/>
                  <w:rFonts w:ascii="Times New Roman;sans-serif" w:hAnsi="Times New Roman;sans-serif"/>
                  <w:b w:val="false"/>
                  <w:color w:val="0000FF"/>
                  <w:sz w:val="20"/>
                  <w:u w:val="single"/>
                </w:rPr>
                <w:t>4</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28">
              <w:r>
                <w:rPr>
                  <w:rStyle w:val="InternetLink"/>
                  <w:rFonts w:ascii="Times New Roman;sans-serif" w:hAnsi="Times New Roman;sans-serif"/>
                  <w:b w:val="false"/>
                  <w:color w:val="0000FF"/>
                  <w:sz w:val="20"/>
                  <w:u w:val="single"/>
                </w:rPr>
                <w:t>5</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Nature of Operations and Basis of Presentation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28">
              <w:r>
                <w:rPr>
                  <w:rStyle w:val="InternetLink"/>
                  <w:rFonts w:ascii="Times New Roman;sans-serif" w:hAnsi="Times New Roman;sans-serif"/>
                  <w:b w:val="false"/>
                  <w:color w:val="0000FF"/>
                  <w:sz w:val="20"/>
                  <w:u w:val="single"/>
                </w:rPr>
                <w:t>5</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2.</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34">
              <w:r>
                <w:rPr>
                  <w:rStyle w:val="InternetLink"/>
                  <w:rFonts w:ascii="Times New Roman;sans-serif" w:hAnsi="Times New Roman;sans-serif"/>
                  <w:b w:val="false"/>
                  <w:color w:val="0000FF"/>
                  <w:sz w:val="20"/>
                  <w:u w:val="single"/>
                </w:rPr>
                <w:t>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3.</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and Other Securities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40">
              <w:r>
                <w:rPr>
                  <w:rStyle w:val="InternetLink"/>
                  <w:rFonts w:ascii="Times New Roman;sans-serif" w:hAnsi="Times New Roman;sans-serif"/>
                  <w:b w:val="false"/>
                  <w:color w:val="0000FF"/>
                  <w:sz w:val="20"/>
                  <w:u w:val="single"/>
                </w:rPr>
                <w:t>7</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4.</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 Financial Receivables and Transactions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43">
              <w:r>
                <w:rPr>
                  <w:rStyle w:val="InternetLink"/>
                  <w:rFonts w:ascii="Times New Roman;sans-serif" w:hAnsi="Times New Roman;sans-serif"/>
                  <w:b w:val="false"/>
                  <w:color w:val="0000FF"/>
                  <w:sz w:val="20"/>
                  <w:u w:val="single"/>
                </w:rPr>
                <w:t>8</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5.</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46">
              <w:r>
                <w:rPr>
                  <w:rStyle w:val="InternetLink"/>
                  <w:rFonts w:ascii="Times New Roman;sans-serif" w:hAnsi="Times New Roman;sans-serif"/>
                  <w:b w:val="false"/>
                  <w:color w:val="0000FF"/>
                  <w:sz w:val="20"/>
                  <w:u w:val="single"/>
                </w:rPr>
                <w:t>11</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6.</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on Operating Leases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49">
              <w:r>
                <w:rPr>
                  <w:rStyle w:val="InternetLink"/>
                  <w:rFonts w:ascii="Times New Roman;sans-serif" w:hAnsi="Times New Roman;sans-serif"/>
                  <w:b w:val="false"/>
                  <w:color w:val="0000FF"/>
                  <w:sz w:val="20"/>
                  <w:u w:val="single"/>
                </w:rPr>
                <w:t>11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7.</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Assets of Nonconsolidated Affiliates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52">
              <w:r>
                <w:rPr>
                  <w:rStyle w:val="InternetLink"/>
                  <w:rFonts w:ascii="Times New Roman;sans-serif" w:hAnsi="Times New Roman;sans-serif"/>
                  <w:b w:val="false"/>
                  <w:color w:val="0000FF"/>
                  <w:sz w:val="20"/>
                  <w:u w:val="single"/>
                </w:rPr>
                <w:t>12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8.</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916">
              <w:r>
                <w:rPr>
                  <w:rStyle w:val="InternetLink"/>
                  <w:rFonts w:ascii="Times New Roman;sans-serif" w:hAnsi="Times New Roman;sans-serif"/>
                  <w:b w:val="false"/>
                  <w:color w:val="0000FF"/>
                  <w:sz w:val="20"/>
                  <w:u w:val="single"/>
                </w:rPr>
                <w:t>12</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9.</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Interest Entities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55">
              <w:r>
                <w:rPr>
                  <w:rStyle w:val="InternetLink"/>
                  <w:rFonts w:ascii="Times New Roman;sans-serif" w:hAnsi="Times New Roman;sans-serif"/>
                  <w:b w:val="false"/>
                  <w:color w:val="0000FF"/>
                  <w:sz w:val="20"/>
                  <w:u w:val="single"/>
                </w:rPr>
                <w:t>12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10.</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58">
              <w:r>
                <w:rPr>
                  <w:rStyle w:val="InternetLink"/>
                  <w:rFonts w:ascii="Times New Roman;sans-serif" w:hAnsi="Times New Roman;sans-serif"/>
                  <w:b w:val="false"/>
                  <w:color w:val="0000FF"/>
                  <w:sz w:val="20"/>
                  <w:u w:val="single"/>
                </w:rPr>
                <w:t>14</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11.</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64">
              <w:r>
                <w:rPr>
                  <w:rStyle w:val="InternetLink"/>
                  <w:rFonts w:ascii="Times New Roman;sans-serif" w:hAnsi="Times New Roman;sans-serif"/>
                  <w:b w:val="false"/>
                  <w:color w:val="0000FF"/>
                  <w:sz w:val="20"/>
                  <w:u w:val="single"/>
                </w:rPr>
                <w:t>15</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12.</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 and Related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70">
              <w:r>
                <w:rPr>
                  <w:rStyle w:val="InternetLink"/>
                  <w:rFonts w:ascii="Times New Roman;sans-serif" w:hAnsi="Times New Roman;sans-serif"/>
                  <w:b w:val="false"/>
                  <w:color w:val="0000FF"/>
                  <w:sz w:val="20"/>
                  <w:u w:val="single"/>
                </w:rPr>
                <w:t>16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13.</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Pensions and Other Postretirement Benefits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76">
              <w:r>
                <w:rPr>
                  <w:rStyle w:val="InternetLink"/>
                  <w:rFonts w:ascii="Times New Roman;sans-serif" w:hAnsi="Times New Roman;sans-serif"/>
                  <w:b w:val="false"/>
                  <w:color w:val="0000FF"/>
                  <w:sz w:val="20"/>
                  <w:u w:val="single"/>
                </w:rPr>
                <w:t>16</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14.</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Contingencies and Uncertainties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79">
              <w:r>
                <w:rPr>
                  <w:rStyle w:val="InternetLink"/>
                  <w:rFonts w:ascii="Times New Roman;sans-serif" w:hAnsi="Times New Roman;sans-serif"/>
                  <w:b w:val="false"/>
                  <w:color w:val="0000FF"/>
                  <w:sz w:val="20"/>
                  <w:u w:val="single"/>
                </w:rPr>
                <w:t>17</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15.</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82">
              <w:r>
                <w:rPr>
                  <w:rStyle w:val="InternetLink"/>
                  <w:rFonts w:ascii="Times New Roman;sans-serif" w:hAnsi="Times New Roman;sans-serif"/>
                  <w:b w:val="false"/>
                  <w:color w:val="0000FF"/>
                  <w:sz w:val="20"/>
                  <w:u w:val="single"/>
                </w:rPr>
                <w:t>20</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16.</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Initiatives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16">
              <w:r>
                <w:rPr>
                  <w:rStyle w:val="InternetLink"/>
                  <w:rFonts w:ascii="Times New Roman;sans-serif" w:hAnsi="Times New Roman;sans-serif"/>
                  <w:b w:val="false"/>
                  <w:color w:val="0000FF"/>
                  <w:sz w:val="20"/>
                  <w:u w:val="single"/>
                </w:rPr>
                <w:t>20</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17.</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and Noncontrolling Interests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85">
              <w:r>
                <w:rPr>
                  <w:rStyle w:val="InternetLink"/>
                  <w:rFonts w:ascii="Times New Roman;sans-serif" w:hAnsi="Times New Roman;sans-serif"/>
                  <w:b w:val="false"/>
                  <w:color w:val="0000FF"/>
                  <w:sz w:val="20"/>
                  <w:u w:val="single"/>
                </w:rPr>
                <w:t>21</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18.</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88">
              <w:r>
                <w:rPr>
                  <w:rStyle w:val="InternetLink"/>
                  <w:rFonts w:ascii="Times New Roman;sans-serif" w:hAnsi="Times New Roman;sans-serif"/>
                  <w:b w:val="false"/>
                  <w:color w:val="0000FF"/>
                  <w:sz w:val="20"/>
                  <w:u w:val="single"/>
                </w:rPr>
                <w:t>23</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19.</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Reporting</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94">
              <w:r>
                <w:rPr>
                  <w:rStyle w:val="InternetLink"/>
                  <w:rFonts w:ascii="Times New Roman;sans-serif" w:hAnsi="Times New Roman;sans-serif"/>
                  <w:b w:val="false"/>
                  <w:color w:val="0000FF"/>
                  <w:sz w:val="20"/>
                  <w:u w:val="single"/>
                </w:rPr>
                <w:t>23</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97">
              <w:r>
                <w:rPr>
                  <w:rStyle w:val="InternetLink"/>
                  <w:rFonts w:ascii="Times New Roman;sans-serif" w:hAnsi="Times New Roman;sans-serif"/>
                  <w:b w:val="false"/>
                  <w:color w:val="0000FF"/>
                  <w:sz w:val="20"/>
                  <w:u w:val="single"/>
                </w:rPr>
                <w:t>26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48">
              <w:r>
                <w:rPr>
                  <w:rStyle w:val="InternetLink"/>
                  <w:rFonts w:ascii="Times New Roman;sans-serif" w:hAnsi="Times New Roman;sans-serif"/>
                  <w:b w:val="false"/>
                  <w:color w:val="0000FF"/>
                  <w:sz w:val="20"/>
                  <w:u w:val="single"/>
                </w:rPr>
                <w:t>43</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51">
              <w:r>
                <w:rPr>
                  <w:rStyle w:val="InternetLink"/>
                  <w:rFonts w:ascii="Times New Roman;sans-serif" w:hAnsi="Times New Roman;sans-serif"/>
                  <w:b w:val="false"/>
                  <w:color w:val="0000FF"/>
                  <w:sz w:val="20"/>
                  <w:u w:val="single"/>
                </w:rPr>
                <w:t>43</w:t>
              </w:r>
            </w:hyperlink>
          </w:p>
        </w:tc>
      </w:tr>
      <w:tr>
        <w:trPr/>
        <w:tc>
          <w:tcPr>
            <w:tcW w:w="883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57">
              <w:r>
                <w:rPr>
                  <w:rStyle w:val="InternetLink"/>
                  <w:rFonts w:ascii="Times New Roman;sans-serif" w:hAnsi="Times New Roman;sans-serif"/>
                  <w:b w:val="false"/>
                  <w:color w:val="0000FF"/>
                  <w:sz w:val="20"/>
                  <w:u w:val="single"/>
                </w:rPr>
                <w:t>44</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0">
              <w:r>
                <w:rPr>
                  <w:rStyle w:val="InternetLink"/>
                  <w:rFonts w:ascii="Times New Roman;sans-serif" w:hAnsi="Times New Roman;sans-serif"/>
                  <w:b w:val="false"/>
                  <w:color w:val="0000FF"/>
                  <w:sz w:val="20"/>
                  <w:u w:val="single"/>
                </w:rPr>
                <w:t>44</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3">
              <w:r>
                <w:rPr>
                  <w:rStyle w:val="InternetLink"/>
                  <w:rFonts w:ascii="Times New Roman;sans-serif" w:hAnsi="Times New Roman;sans-serif"/>
                  <w:b w:val="false"/>
                  <w:color w:val="0000FF"/>
                  <w:sz w:val="20"/>
                  <w:u w:val="single"/>
                </w:rPr>
                <w:t>45</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89">
              <w:r>
                <w:rPr>
                  <w:rStyle w:val="InternetLink"/>
                  <w:rFonts w:ascii="Times New Roman;sans-serif" w:hAnsi="Times New Roman;sans-serif"/>
                  <w:b w:val="false"/>
                  <w:color w:val="0000FF"/>
                  <w:sz w:val="20"/>
                  <w:u w:val="single"/>
                </w:rPr>
                <w:t>45</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Exhibits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6">
              <w:r>
                <w:rPr>
                  <w:rStyle w:val="InternetLink"/>
                  <w:rFonts w:ascii="Times New Roman;sans-serif" w:hAnsi="Times New Roman;sans-serif"/>
                  <w:b w:val="false"/>
                  <w:color w:val="0000FF"/>
                  <w:sz w:val="20"/>
                  <w:u w:val="single"/>
                </w:rPr>
                <w:t>46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736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9">
              <w:r>
                <w:rPr>
                  <w:rStyle w:val="InternetLink"/>
                  <w:rFonts w:ascii="Times New Roman;sans-serif" w:hAnsi="Times New Roman;sans-serif"/>
                  <w:b w:val="false"/>
                  <w:color w:val="0000FF"/>
                  <w:sz w:val="20"/>
                  <w:u w:val="single"/>
                </w:rPr>
                <w:t>47</w:t>
              </w:r>
            </w:hyperlink>
          </w:p>
        </w:tc>
      </w:tr>
    </w:tbl>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INCOME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tbl>
      <w:tblPr>
        <w:tblW w:w="8050" w:type="dxa"/>
        <w:jc w:val="center"/>
        <w:tblInd w:w="0" w:type="dxa"/>
        <w:tblLayout w:type="fixed"/>
        <w:tblCellMar>
          <w:top w:w="28" w:type="dxa"/>
          <w:left w:w="28" w:type="dxa"/>
          <w:bottom w:w="28" w:type="dxa"/>
          <w:right w:w="28" w:type="dxa"/>
        </w:tblCellMar>
      </w:tblPr>
      <w:tblGrid>
        <w:gridCol w:w="1710"/>
        <w:gridCol w:w="1501"/>
        <w:gridCol w:w="1513"/>
        <w:gridCol w:w="259"/>
        <w:gridCol w:w="856"/>
        <w:gridCol w:w="144"/>
        <w:gridCol w:w="109"/>
        <w:gridCol w:w="109"/>
        <w:gridCol w:w="109"/>
        <w:gridCol w:w="259"/>
        <w:gridCol w:w="856"/>
        <w:gridCol w:w="144"/>
        <w:gridCol w:w="109"/>
        <w:gridCol w:w="109"/>
        <w:gridCol w:w="109"/>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 and revenue</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net sales and revenue (Note 2)</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Automotive and other cost of sales </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 interest, operating and other expenses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and other selling, general and administrative expense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40,668 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39,277 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interest expense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 non-operating income,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income (loss) (Note 7)</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 (Note 15)</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noncontrolling interests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stockholders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common stockholders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Earnings per share (Note 18)</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common share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common share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Dividends declared per common share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(Unaudited)</w:t>
      </w:r>
    </w:p>
    <w:tbl>
      <w:tblPr>
        <w:tblW w:w="8448" w:type="dxa"/>
        <w:jc w:val="center"/>
        <w:tblInd w:w="0" w:type="dxa"/>
        <w:tblLayout w:type="fixed"/>
        <w:tblCellMar>
          <w:top w:w="28" w:type="dxa"/>
          <w:left w:w="28" w:type="dxa"/>
          <w:bottom w:w="28" w:type="dxa"/>
          <w:right w:w="28" w:type="dxa"/>
        </w:tblCellMar>
      </w:tblPr>
      <w:tblGrid>
        <w:gridCol w:w="1805"/>
        <w:gridCol w:w="1588"/>
        <w:gridCol w:w="1602"/>
        <w:gridCol w:w="109"/>
        <w:gridCol w:w="109"/>
        <w:gridCol w:w="162"/>
        <w:gridCol w:w="162"/>
        <w:gridCol w:w="291"/>
        <w:gridCol w:w="827"/>
        <w:gridCol w:w="162"/>
        <w:gridCol w:w="109"/>
        <w:gridCol w:w="109"/>
        <w:gridCol w:w="109"/>
        <w:gridCol w:w="282"/>
        <w:gridCol w:w="801"/>
        <w:gridCol w:w="221"/>
      </w:tblGrid>
      <w:tr>
        <w:trPr/>
        <w:tc>
          <w:tcPr>
            <w:tcW w:w="180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631" w:type="dxa"/>
            <w:gridSpan w:val="6"/>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Other comprehensive income (loss), net of tax (Note 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Defined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loss (income) attributable to noncontrolling interests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may not add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 </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 </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tbl>
      <w:tblPr>
        <w:tblW w:w="9102" w:type="dxa"/>
        <w:jc w:val="left"/>
        <w:tblInd w:w="0" w:type="dxa"/>
        <w:tblLayout w:type="fixed"/>
        <w:tblCellMar>
          <w:top w:w="28" w:type="dxa"/>
          <w:left w:w="28" w:type="dxa"/>
          <w:bottom w:w="28" w:type="dxa"/>
          <w:right w:w="28" w:type="dxa"/>
        </w:tblCellMar>
      </w:tblPr>
      <w:tblGrid>
        <w:gridCol w:w="2166"/>
        <w:gridCol w:w="1897"/>
        <w:gridCol w:w="1907"/>
        <w:gridCol w:w="237"/>
        <w:gridCol w:w="891"/>
        <w:gridCol w:w="132"/>
        <w:gridCol w:w="109"/>
        <w:gridCol w:w="109"/>
        <w:gridCol w:w="109"/>
        <w:gridCol w:w="279"/>
        <w:gridCol w:w="1047"/>
        <w:gridCol w:w="219"/>
      </w:tblGrid>
      <w:tr>
        <w:trPr/>
        <w:tc>
          <w:tcPr>
            <w:tcW w:w="216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(Note 3)</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Marketable debt securities (Note 3)</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notes receivable, net of allowance of $265 and $313</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 receivables, net of allowance of $1,074 and $991 (Note 4; Note 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(Note 5)</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(Note 3; Note 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Non-current Assets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 receivables, net of allowance of $1,492 and $1,467 (Note 4; Note 9)</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net assets of nonconsolidated affiliates (Note 7)</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net (Note 8)</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Equipment on operating leases, net (Note 6; Note 9)</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(Note 3; Note 9)</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assets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172,099 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171,216 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282,104 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279,761 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(principally trade)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 and current portion of long-term debt (Note 10)</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Automotive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 (Note 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90,747 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96,265 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Non-current Liabilities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(Note 10)</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Automotive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 (Note 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Postretirement benefits other than pensions (Note 13)</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Pensions (Note 13)</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liabilities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124,931 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117,906 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contingencies and uncertainties (Note 14)</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Equity (Note 17)</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53,472 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64,372 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63,072 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Equity</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66,427 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65,590 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Equity</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282,104 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279,761 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(Unaudited)</w:t>
      </w:r>
    </w:p>
    <w:tbl>
      <w:tblPr>
        <w:tblW w:w="8501" w:type="dxa"/>
        <w:jc w:val="center"/>
        <w:tblInd w:w="0" w:type="dxa"/>
        <w:tblLayout w:type="fixed"/>
        <w:tblCellMar>
          <w:top w:w="28" w:type="dxa"/>
          <w:left w:w="28" w:type="dxa"/>
          <w:bottom w:w="28" w:type="dxa"/>
          <w:right w:w="28" w:type="dxa"/>
        </w:tblCellMar>
      </w:tblPr>
      <w:tblGrid>
        <w:gridCol w:w="2032"/>
        <w:gridCol w:w="1782"/>
        <w:gridCol w:w="1796"/>
        <w:gridCol w:w="259"/>
        <w:gridCol w:w="856"/>
        <w:gridCol w:w="144"/>
        <w:gridCol w:w="109"/>
        <w:gridCol w:w="109"/>
        <w:gridCol w:w="109"/>
        <w:gridCol w:w="257"/>
        <w:gridCol w:w="847"/>
        <w:gridCol w:w="201"/>
      </w:tblGrid>
      <w:tr>
        <w:trPr/>
        <w:tc>
          <w:tcPr>
            <w:tcW w:w="203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impairment of Equipment on operating leases, net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impairment charges on Property,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remeasurement and transaction (gains) losses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Undistributed earnings of nonconsolidated affiliates,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contributions and OPEB payments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OPEB income,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deferred taxes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other operating assets and liabilities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Expenditures for property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marketable securities, acquisitions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marketable securities, liquidations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finance receivables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collections and recoveries on finance receivables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leased vehicles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termination of leased vehicles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short-term debt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 (original maturities greater than three months)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debt (original maturities greater than three months)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purchase common stock (Note 17)</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(redemption) of subsidiary stock (Note 17)</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Significant Non-cash Investing and Financing Activity</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property additions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shd w:fill="FFFFFF" w:val="clear"/>
        </w:rPr>
        <w:t>Reference should</w:t>
      </w:r>
      <w:r>
        <w:rPr>
          <w:color w:val="000000"/>
        </w:rPr>
        <w:t xml:space="preserve"> </w:t>
      </w:r>
      <w:r>
        <w:rPr>
          <w:rFonts w:ascii="Times New Roman;sans-serif" w:hAnsi="Times New Roman;sans-serif"/>
          <w:b w:val="false"/>
          <w:color w:val="000000"/>
          <w:sz w:val="20"/>
        </w:rPr>
        <w:t xml:space="preserve">be made to </w:t>
      </w:r>
      <w:r>
        <w:rPr>
          <w:rFonts w:ascii="Times New Roman;sans-serif" w:hAnsi="Times New Roman;sans-serif"/>
          <w:b w:val="false"/>
          <w:color w:val="000000"/>
          <w:sz w:val="20"/>
          <w:shd w:fill="FFFFFF" w:val="clear"/>
        </w:rPr>
        <w:t>the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730"/>
        <w:gridCol w:w="291"/>
        <w:gridCol w:w="292"/>
        <w:gridCol w:w="201"/>
        <w:gridCol w:w="339"/>
        <w:gridCol w:w="111"/>
        <w:gridCol w:w="109"/>
        <w:gridCol w:w="109"/>
        <w:gridCol w:w="109"/>
        <w:gridCol w:w="203"/>
        <w:gridCol w:w="670"/>
        <w:gridCol w:w="113"/>
        <w:gridCol w:w="109"/>
        <w:gridCol w:w="109"/>
        <w:gridCol w:w="109"/>
        <w:gridCol w:w="198"/>
        <w:gridCol w:w="654"/>
        <w:gridCol w:w="110"/>
        <w:gridCol w:w="109"/>
        <w:gridCol w:w="109"/>
        <w:gridCol w:w="109"/>
        <w:gridCol w:w="209"/>
        <w:gridCol w:w="766"/>
        <w:gridCol w:w="116"/>
        <w:gridCol w:w="109"/>
        <w:gridCol w:w="109"/>
        <w:gridCol w:w="109"/>
        <w:gridCol w:w="238"/>
        <w:gridCol w:w="676"/>
        <w:gridCol w:w="133"/>
        <w:gridCol w:w="109"/>
        <w:gridCol w:w="109"/>
        <w:gridCol w:w="109"/>
        <w:gridCol w:w="199"/>
        <w:gridCol w:w="656"/>
        <w:gridCol w:w="110"/>
        <w:gridCol w:w="109"/>
        <w:gridCol w:w="109"/>
        <w:gridCol w:w="109"/>
        <w:gridCol w:w="286"/>
        <w:gridCol w:w="617"/>
        <w:gridCol w:w="160"/>
        <w:gridCol w:w="165"/>
      </w:tblGrid>
      <w:tr>
        <w:trPr/>
        <w:tc>
          <w:tcPr>
            <w:tcW w:w="7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br/>
              <w:t>(Permanent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br/>
              <w:t>Cruise Stock Incentive Awards</w:t>
              <w:br/>
              <w:t>(Temporary Equity)</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continue"/>
            <w:tcBorders/>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common stock (Note 17)</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on common stock</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2025</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(redemption) of subsidiary stock (Note 17)</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common stock (Note 17)</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on common stock</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55,140 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66,427 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may not add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 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We also provide automotive financing services through General Motors Financial Company, Inc. (GM Financial). We analyze the results of our operations through the following segments: GM North America (GMNA), GM International (GMI), Cruise and GM Financial. In December 2024, we announced that we will no longer fund Cruise's robotaxi development work and will refocus our autonomous driving strategy on personal vehicles. In February 2025, we completed the acquisition of the noncontrolling interests in Cruise, began to wind down the Cruise robotaxi operations and combined the GM and Cruise ongoing personal autonomous technical efforts in our GMNA Automotive segment. Corporate includes certain centrally recorded income and costs such as interest, income taxes, corporate expenditures and certain revenues and expenses that are not part of a reportable segment.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2024 Form 10-K. Except for per share amounts or as otherwise specified, amounts presented within tables are stated in millions. Certain columns and rows may not add due to rounding.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Principles of Consolidation </w:t>
      </w:r>
      <w:r>
        <w:rPr>
          <w:rFonts w:ascii="Times New Roman;sans-serif" w:hAnsi="Times New Roman;sans-serif"/>
          <w:b w:val="false"/>
          <w:color w:val="000000"/>
          <w:sz w:val="20"/>
        </w:rPr>
        <w:t>We consolidate entities that we control due to ownership of a majority voting interest and we consolidate variable interest 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GM Financial</w:t>
      </w:r>
      <w:r>
        <w:rPr>
          <w:color w:val="000000"/>
        </w:rPr>
        <w:t xml:space="preserve"> </w:t>
      </w:r>
      <w:r>
        <w:rPr>
          <w:rFonts w:ascii="Times New Roman;sans-serif" w:hAnsi="Times New Roman;sans-serif"/>
          <w:b w:val="false"/>
          <w:color w:val="000000"/>
          <w:sz w:val="20"/>
        </w:rPr>
        <w:t>The amounts presented for GM Financial are adjusted to reflect the impact on GM Financial's deferred tax positions and provision for 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left"/>
        <w:rPr/>
      </w:pPr>
      <w:r>
        <w:rPr>
          <w:rFonts w:ascii="Times New Roman;sans-serif" w:hAnsi="Times New Roman;sans-serif"/>
          <w:b/>
          <w:color w:val="000000"/>
          <w:sz w:val="20"/>
        </w:rPr>
        <w:t>Note 2. Revenue</w:t>
      </w:r>
      <w:r>
        <w:rPr>
          <w:color w:val="000000"/>
        </w:rPr>
        <w:t xml:space="preserve"> </w:t>
      </w:r>
    </w:p>
    <w:p>
      <w:pPr>
        <w:pStyle w:val="TextBody"/>
        <w:bidi w:val="0"/>
        <w:spacing w:before="0" w:after="0"/>
        <w:ind w:left="0" w:right="0" w:hanging="18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major source:</w:t>
      </w:r>
    </w:p>
    <w:tbl>
      <w:tblPr>
        <w:tblW w:w="10753" w:type="dxa"/>
        <w:jc w:val="center"/>
        <w:tblInd w:w="0" w:type="dxa"/>
        <w:tblLayout w:type="fixed"/>
        <w:tblCellMar>
          <w:top w:w="28" w:type="dxa"/>
          <w:left w:w="28" w:type="dxa"/>
          <w:bottom w:w="28" w:type="dxa"/>
          <w:right w:w="28" w:type="dxa"/>
        </w:tblCellMar>
      </w:tblPr>
      <w:tblGrid>
        <w:gridCol w:w="377"/>
        <w:gridCol w:w="291"/>
        <w:gridCol w:w="293"/>
        <w:gridCol w:w="196"/>
        <w:gridCol w:w="646"/>
        <w:gridCol w:w="109"/>
        <w:gridCol w:w="109"/>
        <w:gridCol w:w="109"/>
        <w:gridCol w:w="109"/>
        <w:gridCol w:w="196"/>
        <w:gridCol w:w="556"/>
        <w:gridCol w:w="109"/>
        <w:gridCol w:w="109"/>
        <w:gridCol w:w="109"/>
        <w:gridCol w:w="109"/>
        <w:gridCol w:w="268"/>
        <w:gridCol w:w="453"/>
        <w:gridCol w:w="150"/>
        <w:gridCol w:w="109"/>
        <w:gridCol w:w="109"/>
        <w:gridCol w:w="109"/>
        <w:gridCol w:w="198"/>
        <w:gridCol w:w="652"/>
        <w:gridCol w:w="111"/>
        <w:gridCol w:w="109"/>
        <w:gridCol w:w="109"/>
        <w:gridCol w:w="109"/>
        <w:gridCol w:w="196"/>
        <w:gridCol w:w="406"/>
        <w:gridCol w:w="109"/>
        <w:gridCol w:w="109"/>
        <w:gridCol w:w="109"/>
        <w:gridCol w:w="109"/>
        <w:gridCol w:w="196"/>
        <w:gridCol w:w="556"/>
        <w:gridCol w:w="109"/>
        <w:gridCol w:w="109"/>
        <w:gridCol w:w="109"/>
        <w:gridCol w:w="109"/>
        <w:gridCol w:w="355"/>
        <w:gridCol w:w="737"/>
        <w:gridCol w:w="199"/>
        <w:gridCol w:w="109"/>
        <w:gridCol w:w="109"/>
        <w:gridCol w:w="109"/>
        <w:gridCol w:w="196"/>
        <w:gridCol w:w="646"/>
        <w:gridCol w:w="154"/>
      </w:tblGrid>
      <w:tr>
        <w:trPr/>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 parts and accessories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Used vehicles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net sales and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vehicle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charge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 net sales and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 and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753" w:type="dxa"/>
        <w:jc w:val="center"/>
        <w:tblInd w:w="0" w:type="dxa"/>
        <w:tblLayout w:type="fixed"/>
        <w:tblCellMar>
          <w:top w:w="28" w:type="dxa"/>
          <w:left w:w="28" w:type="dxa"/>
          <w:bottom w:w="28" w:type="dxa"/>
          <w:right w:w="28" w:type="dxa"/>
        </w:tblCellMar>
      </w:tblPr>
      <w:tblGrid>
        <w:gridCol w:w="377"/>
        <w:gridCol w:w="291"/>
        <w:gridCol w:w="293"/>
        <w:gridCol w:w="196"/>
        <w:gridCol w:w="646"/>
        <w:gridCol w:w="109"/>
        <w:gridCol w:w="109"/>
        <w:gridCol w:w="109"/>
        <w:gridCol w:w="109"/>
        <w:gridCol w:w="196"/>
        <w:gridCol w:w="556"/>
        <w:gridCol w:w="109"/>
        <w:gridCol w:w="109"/>
        <w:gridCol w:w="109"/>
        <w:gridCol w:w="109"/>
        <w:gridCol w:w="268"/>
        <w:gridCol w:w="453"/>
        <w:gridCol w:w="150"/>
        <w:gridCol w:w="109"/>
        <w:gridCol w:w="109"/>
        <w:gridCol w:w="109"/>
        <w:gridCol w:w="198"/>
        <w:gridCol w:w="652"/>
        <w:gridCol w:w="111"/>
        <w:gridCol w:w="109"/>
        <w:gridCol w:w="109"/>
        <w:gridCol w:w="109"/>
        <w:gridCol w:w="196"/>
        <w:gridCol w:w="406"/>
        <w:gridCol w:w="109"/>
        <w:gridCol w:w="109"/>
        <w:gridCol w:w="109"/>
        <w:gridCol w:w="109"/>
        <w:gridCol w:w="196"/>
        <w:gridCol w:w="556"/>
        <w:gridCol w:w="109"/>
        <w:gridCol w:w="109"/>
        <w:gridCol w:w="109"/>
        <w:gridCol w:w="109"/>
        <w:gridCol w:w="355"/>
        <w:gridCol w:w="737"/>
        <w:gridCol w:w="199"/>
        <w:gridCol w:w="109"/>
        <w:gridCol w:w="109"/>
        <w:gridCol w:w="109"/>
        <w:gridCol w:w="196"/>
        <w:gridCol w:w="646"/>
        <w:gridCol w:w="154"/>
      </w:tblGrid>
      <w:tr>
        <w:trPr/>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 parts and accessories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Used vehicles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net sales and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vehicle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charge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 net sales and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 and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9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529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measured as the amount of consideration we expect to receive in exchange for transferring goods or providing services. Adjustments to sales incentives for previously recognized sales were insignificant in the three months ended March 31, 2025 and 2024.</w:t>
      </w:r>
    </w:p>
    <w:p>
      <w:pPr>
        <w:pStyle w:val="TextBody"/>
        <w:bidi w:val="0"/>
        <w:spacing w:before="0" w:after="0"/>
        <w:jc w:val="left"/>
        <w:rPr/>
      </w:pPr>
      <w:r>
        <w:rPr/>
      </w:r>
    </w:p>
    <w:p>
      <w:pPr>
        <w:pStyle w:val="TextBody"/>
        <w:bidi w:val="0"/>
        <w:spacing w:lineRule="auto" w:line="288" w:before="0" w:after="16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in our Automotive segments primarily consist of vehicle connectivity, customer rewards programs, maintenance, extended warranty and other contracts of $7.1 billion and $6.6 billion at March 31, 2025 and December 31, 2024, which are included in Accrued liabilities and Other liabilities. We recognized revenue of $578 million and $490 million related to contract liabilities in the three months ended March 31, 2025 and 2024. We expect to recognize revenue of $1.8 billion in the nine months ending December 31, 2025 and $1.6 billion, $1.1 billion and $2.6 billion in the years ending December 31, 2026, 2027 and thereafter related to contract liabilities at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Marketable and Other Securities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cash equivalents and marketable debt securities, which approximates cost:</w:t>
      </w:r>
    </w:p>
    <w:tbl>
      <w:tblPr>
        <w:tblW w:w="10205" w:type="dxa"/>
        <w:jc w:val="center"/>
        <w:tblInd w:w="0" w:type="dxa"/>
        <w:tblLayout w:type="fixed"/>
        <w:tblCellMar>
          <w:top w:w="28" w:type="dxa"/>
          <w:left w:w="28" w:type="dxa"/>
          <w:bottom w:w="28" w:type="dxa"/>
          <w:right w:w="28" w:type="dxa"/>
        </w:tblCellMar>
      </w:tblPr>
      <w:tblGrid>
        <w:gridCol w:w="1951"/>
        <w:gridCol w:w="1711"/>
        <w:gridCol w:w="1721"/>
        <w:gridCol w:w="456"/>
        <w:gridCol w:w="456"/>
        <w:gridCol w:w="459"/>
        <w:gridCol w:w="109"/>
        <w:gridCol w:w="109"/>
        <w:gridCol w:w="109"/>
        <w:gridCol w:w="254"/>
        <w:gridCol w:w="870"/>
        <w:gridCol w:w="131"/>
        <w:gridCol w:w="109"/>
        <w:gridCol w:w="109"/>
        <w:gridCol w:w="109"/>
        <w:gridCol w:w="298"/>
        <w:gridCol w:w="1021"/>
        <w:gridCol w:w="223"/>
      </w:tblGrid>
      <w:tr>
        <w:trPr/>
        <w:tc>
          <w:tcPr>
            <w:tcW w:w="195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time deposits</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agencies</w:t>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Sovereign debt</w:t>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debt securities – cash equivalents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Marketable debt securities</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agencies</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and other</w:t>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asset-backed</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debt securities – marketable securities</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Restricted cash</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restricted cash</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debt securities included above with contractual maturities(a)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between one and five years</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debt securities with contractual maturities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8"/>
        </w:rPr>
        <w:t>(a)Excludes mortgage and asset-backed securities o</w:t>
      </w:r>
      <w:r>
        <w:rPr>
          <w:rFonts w:ascii="Times New Roman;sans-serif" w:hAnsi="Times New Roman;sans-serif"/>
          <w:b w:val="false"/>
          <w:color w:val="000000"/>
          <w:sz w:val="18"/>
          <w:shd w:fill="FFFFFF" w:val="clear"/>
        </w:rPr>
        <w:t xml:space="preserve">f </w:t>
      </w:r>
      <w:r>
        <w:rPr>
          <w:rFonts w:ascii="Times New Roman;sans-serif" w:hAnsi="Times New Roman;sans-serif"/>
          <w:b w:val="false"/>
          <w:color w:val="000000"/>
          <w:sz w:val="18"/>
        </w:rPr>
        <w:t>$571 million</w:t>
      </w:r>
      <w:r>
        <w:rPr>
          <w:color w:val="000000"/>
          <w:shd w:fill="FFFFFF" w:val="clear"/>
        </w:rPr>
        <w:t xml:space="preserve"> </w:t>
      </w:r>
      <w:r>
        <w:rPr>
          <w:rFonts w:ascii="Times New Roman;sans-serif" w:hAnsi="Times New Roman;sans-serif"/>
          <w:b w:val="false"/>
          <w:color w:val="000000"/>
          <w:sz w:val="18"/>
        </w:rPr>
        <w:t xml:space="preserve">at March 31, 2025 as these securities are not due at a single maturity date.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Proceeds from the sale of available-for-sale debt securities sold prior to maturity were</w:t>
      </w:r>
      <w:r>
        <w:rPr>
          <w:color w:val="000000"/>
          <w:shd w:fill="FFFFFF" w:val="clear"/>
        </w:rPr>
        <w:t xml:space="preserve"> </w:t>
      </w:r>
      <w:r>
        <w:rPr>
          <w:rFonts w:ascii="Times New Roman;sans-serif" w:hAnsi="Times New Roman;sans-serif"/>
          <w:b w:val="false"/>
          <w:color w:val="000000"/>
          <w:sz w:val="20"/>
          <w:shd w:fill="FFFFFF" w:val="clear"/>
        </w:rPr>
        <w:t>$1.5 billion</w:t>
      </w:r>
      <w:r>
        <w:rPr>
          <w:color w:val="000000"/>
        </w:rPr>
        <w:t xml:space="preserve"> </w:t>
      </w:r>
      <w:r>
        <w:rPr>
          <w:rFonts w:ascii="Times New Roman;sans-serif" w:hAnsi="Times New Roman;sans-serif"/>
          <w:b w:val="false"/>
          <w:color w:val="000000"/>
          <w:sz w:val="20"/>
        </w:rPr>
        <w:t>and $470 million in the three months ended March 31, 2025 and 2024. Net unrealized</w:t>
      </w:r>
      <w:r>
        <w:rPr>
          <w:color w:val="000000"/>
          <w:shd w:fill="FFFFFF" w:val="clear"/>
        </w:rPr>
        <w:t xml:space="preserve"> </w:t>
      </w:r>
      <w:r>
        <w:rPr>
          <w:rFonts w:ascii="Times New Roman;sans-serif" w:hAnsi="Times New Roman;sans-serif"/>
          <w:b w:val="false"/>
          <w:color w:val="000000"/>
          <w:sz w:val="20"/>
          <w:shd w:fill="FFFFFF" w:val="clear"/>
        </w:rPr>
        <w:t xml:space="preserve">gains and losses </w:t>
      </w:r>
      <w:r>
        <w:rPr>
          <w:rFonts w:ascii="Times New Roman;sans-serif" w:hAnsi="Times New Roman;sans-serif"/>
          <w:b w:val="false"/>
          <w:color w:val="000000"/>
          <w:sz w:val="20"/>
        </w:rPr>
        <w:t xml:space="preserve">on available-for-sale debt securities were </w:t>
      </w:r>
      <w:r>
        <w:rPr>
          <w:rFonts w:ascii="Times New Roman;sans-serif" w:hAnsi="Times New Roman;sans-serif"/>
          <w:b w:val="false"/>
          <w:color w:val="000000"/>
          <w:sz w:val="20"/>
          <w:shd w:fill="FFFFFF" w:val="clear"/>
        </w:rPr>
        <w:t xml:space="preserve">insignificant </w:t>
      </w:r>
      <w:r>
        <w:rPr>
          <w:rFonts w:ascii="Times New Roman;sans-serif" w:hAnsi="Times New Roman;sans-serif"/>
          <w:b w:val="false"/>
          <w:color w:val="000000"/>
          <w:sz w:val="20"/>
        </w:rPr>
        <w:t>in the three months ended March 31, 2025 and 2024. Cumulative unrealized</w:t>
      </w:r>
      <w:r>
        <w:rPr>
          <w:color w:val="000000"/>
          <w:shd w:fill="FFFFFF" w:val="clear"/>
        </w:rPr>
        <w:t xml:space="preserve"> </w:t>
      </w:r>
      <w:r>
        <w:rPr>
          <w:rFonts w:ascii="Times New Roman;sans-serif" w:hAnsi="Times New Roman;sans-serif"/>
          <w:b w:val="false"/>
          <w:color w:val="000000"/>
          <w:sz w:val="20"/>
          <w:shd w:fill="FFFFFF" w:val="clear"/>
        </w:rPr>
        <w:t>losses o</w:t>
      </w:r>
      <w:r>
        <w:rPr>
          <w:rFonts w:ascii="Times New Roman;sans-serif" w:hAnsi="Times New Roman;sans-serif"/>
          <w:b w:val="false"/>
          <w:color w:val="000000"/>
          <w:sz w:val="20"/>
        </w:rPr>
        <w:t>n available-for-sale debt securities were insignificant at March 31, 2025 and December 31, 2024.</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 to the total shown in the condensed consolidated statement of cash flows:</w:t>
      </w:r>
    </w:p>
    <w:tbl>
      <w:tblPr>
        <w:tblW w:w="5249" w:type="dxa"/>
        <w:jc w:val="left"/>
        <w:tblInd w:w="0" w:type="dxa"/>
        <w:tblLayout w:type="fixed"/>
        <w:tblCellMar>
          <w:top w:w="28" w:type="dxa"/>
          <w:left w:w="28" w:type="dxa"/>
          <w:bottom w:w="28" w:type="dxa"/>
          <w:right w:w="28" w:type="dxa"/>
        </w:tblCellMar>
      </w:tblPr>
      <w:tblGrid>
        <w:gridCol w:w="1429"/>
        <w:gridCol w:w="1254"/>
        <w:gridCol w:w="1261"/>
        <w:gridCol w:w="253"/>
        <w:gridCol w:w="867"/>
        <w:gridCol w:w="18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GM Financial Receivables and Transactions </w:t>
      </w:r>
    </w:p>
    <w:tbl>
      <w:tblPr>
        <w:tblW w:w="10205" w:type="dxa"/>
        <w:jc w:val="left"/>
        <w:tblInd w:w="0" w:type="dxa"/>
        <w:tblLayout w:type="fixed"/>
        <w:tblCellMar>
          <w:top w:w="28" w:type="dxa"/>
          <w:left w:w="28" w:type="dxa"/>
          <w:bottom w:w="28" w:type="dxa"/>
          <w:right w:w="28" w:type="dxa"/>
        </w:tblCellMar>
      </w:tblPr>
      <w:tblGrid>
        <w:gridCol w:w="810"/>
        <w:gridCol w:w="683"/>
        <w:gridCol w:w="686"/>
        <w:gridCol w:w="211"/>
        <w:gridCol w:w="721"/>
        <w:gridCol w:w="109"/>
        <w:gridCol w:w="109"/>
        <w:gridCol w:w="109"/>
        <w:gridCol w:w="109"/>
        <w:gridCol w:w="220"/>
        <w:gridCol w:w="754"/>
        <w:gridCol w:w="114"/>
        <w:gridCol w:w="109"/>
        <w:gridCol w:w="109"/>
        <w:gridCol w:w="109"/>
        <w:gridCol w:w="211"/>
        <w:gridCol w:w="721"/>
        <w:gridCol w:w="109"/>
        <w:gridCol w:w="109"/>
        <w:gridCol w:w="109"/>
        <w:gridCol w:w="109"/>
        <w:gridCol w:w="211"/>
        <w:gridCol w:w="721"/>
        <w:gridCol w:w="109"/>
        <w:gridCol w:w="109"/>
        <w:gridCol w:w="109"/>
        <w:gridCol w:w="109"/>
        <w:gridCol w:w="220"/>
        <w:gridCol w:w="754"/>
        <w:gridCol w:w="114"/>
        <w:gridCol w:w="109"/>
        <w:gridCol w:w="109"/>
        <w:gridCol w:w="109"/>
        <w:gridCol w:w="211"/>
        <w:gridCol w:w="721"/>
        <w:gridCol w:w="160"/>
      </w:tblGrid>
      <w:tr>
        <w:trPr/>
        <w:tc>
          <w:tcPr>
            <w:tcW w:w="81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 Financial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loan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 Financial 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GM Financial receivables utilizing Level 2 inputs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GM Financial receivables utilizing Level 3 inputs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(a)Commercial finance receivables include dealer financing of $16.1 billion and $18.6 billion, and other financing of $519 million and $604 million at March 31, 2025 and December 31, 2024. Commercial finance receivables are presented net of dealer cash management balances of $3.2 billion and $3.4 billion at March 31, 2025 and December 31, 2024. Under the cash management program, subject to certain conditions, a dealer may choose to reduce the amount of interest on its floorplan line by making principal payments to GM Financial in advance.</w:t>
      </w:r>
    </w:p>
    <w:tbl>
      <w:tblPr>
        <w:tblW w:w="7375" w:type="dxa"/>
        <w:jc w:val="left"/>
        <w:tblInd w:w="0" w:type="dxa"/>
        <w:tblLayout w:type="fixed"/>
        <w:tblCellMar>
          <w:top w:w="28" w:type="dxa"/>
          <w:left w:w="28" w:type="dxa"/>
          <w:bottom w:w="28" w:type="dxa"/>
          <w:right w:w="28" w:type="dxa"/>
        </w:tblCellMar>
      </w:tblPr>
      <w:tblGrid>
        <w:gridCol w:w="1467"/>
        <w:gridCol w:w="1287"/>
        <w:gridCol w:w="1295"/>
        <w:gridCol w:w="284"/>
        <w:gridCol w:w="829"/>
        <w:gridCol w:w="146"/>
        <w:gridCol w:w="109"/>
        <w:gridCol w:w="109"/>
        <w:gridCol w:w="109"/>
        <w:gridCol w:w="284"/>
        <w:gridCol w:w="829"/>
        <w:gridCol w:w="146"/>
        <w:gridCol w:w="109"/>
        <w:gridCol w:w="109"/>
        <w:gridCol w:w="109"/>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at beginning of period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at end of period</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loan losses as a percentage of finance receivables was 2.7% and 2.6% at March 31, 2025 and December 31, 2024.</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color w:val="000000"/>
          <w:sz w:val="20"/>
        </w:rPr>
        <w:t>Retail Finance Receivables</w:t>
      </w:r>
      <w:r>
        <w:rPr>
          <w:color w:val="000000"/>
        </w:rPr>
        <w:t xml:space="preserve"> </w:t>
      </w:r>
      <w:r>
        <w:rPr>
          <w:rFonts w:ascii="Times New Roman;sans-serif" w:hAnsi="Times New Roman;sans-serif"/>
          <w:b w:val="false"/>
          <w:color w:val="000000"/>
          <w:sz w:val="20"/>
        </w:rPr>
        <w:t>GM Financial's retail finance receivable portfolio includes loans made to consumers and businesses to finance the purchase of vehicles for personal and commercial use. The following tables are consolidated summaries of the retail finance receivables by FICO score or its equivalent, determined at origination, for each vintage of the retail finance receivables portfolio at March 31, 2025 and December 31, 2024:</w:t>
      </w:r>
    </w:p>
    <w:tbl>
      <w:tblPr>
        <w:tblW w:w="11229" w:type="dxa"/>
        <w:jc w:val="left"/>
        <w:tblInd w:w="0" w:type="dxa"/>
        <w:tblLayout w:type="fixed"/>
        <w:tblCellMar>
          <w:top w:w="28" w:type="dxa"/>
          <w:left w:w="28" w:type="dxa"/>
          <w:bottom w:w="28" w:type="dxa"/>
          <w:right w:w="28" w:type="dxa"/>
        </w:tblCellMar>
      </w:tblPr>
      <w:tblGrid>
        <w:gridCol w:w="585"/>
        <w:gridCol w:w="225"/>
        <w:gridCol w:w="22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307"/>
        <w:gridCol w:w="309"/>
        <w:gridCol w:w="316"/>
      </w:tblGrid>
      <w:tr>
        <w:trPr/>
        <w:tc>
          <w:tcPr>
            <w:tcW w:w="5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Prime – FICO score 680 and greater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Near-prime – FICO score 620 to 679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Sub-prime – FICO score less than 620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finance receivables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1297" w:type="dxa"/>
        <w:jc w:val="left"/>
        <w:tblInd w:w="0" w:type="dxa"/>
        <w:tblLayout w:type="fixed"/>
        <w:tblCellMar>
          <w:top w:w="28" w:type="dxa"/>
          <w:left w:w="28" w:type="dxa"/>
          <w:bottom w:w="28" w:type="dxa"/>
          <w:right w:w="28" w:type="dxa"/>
        </w:tblCellMar>
      </w:tblPr>
      <w:tblGrid>
        <w:gridCol w:w="585"/>
        <w:gridCol w:w="225"/>
        <w:gridCol w:w="22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09"/>
        <w:gridCol w:w="109"/>
        <w:gridCol w:w="211"/>
        <w:gridCol w:w="721"/>
        <w:gridCol w:w="109"/>
        <w:gridCol w:w="109"/>
        <w:gridCol w:w="109"/>
        <w:gridCol w:w="109"/>
        <w:gridCol w:w="307"/>
        <w:gridCol w:w="309"/>
        <w:gridCol w:w="316"/>
      </w:tblGrid>
      <w:tr>
        <w:trPr/>
        <w:tc>
          <w:tcPr>
            <w:tcW w:w="5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Prime – FICO score 680 and greater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Near-prime – FICO score 620 to 679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Sub-prime – FICO score less than 620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finance receivables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$831 million and $958 million at March 31, 2025 and December 31, 2024. The following tables are consolidated summaries of the delinquency status of the outstanding amortized cost of retail finance receivables for each vintage of the portfolio at March 31, 2025 and December 31, 2024, as well as summary totals for March 31, 2024:</w:t>
      </w:r>
    </w:p>
    <w:tbl>
      <w:tblPr>
        <w:tblW w:w="13346" w:type="dxa"/>
        <w:jc w:val="left"/>
        <w:tblInd w:w="0" w:type="dxa"/>
        <w:tblLayout w:type="fixed"/>
        <w:tblCellMar>
          <w:top w:w="28" w:type="dxa"/>
          <w:left w:w="28" w:type="dxa"/>
          <w:bottom w:w="28" w:type="dxa"/>
          <w:right w:w="28" w:type="dxa"/>
        </w:tblCellMar>
      </w:tblPr>
      <w:tblGrid>
        <w:gridCol w:w="449"/>
        <w:gridCol w:w="397"/>
        <w:gridCol w:w="340"/>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278"/>
        <w:gridCol w:w="278"/>
        <w:gridCol w:w="357"/>
        <w:gridCol w:w="109"/>
        <w:gridCol w:w="109"/>
        <w:gridCol w:w="109"/>
        <w:gridCol w:w="196"/>
        <w:gridCol w:w="646"/>
        <w:gridCol w:w="109"/>
        <w:gridCol w:w="109"/>
        <w:gridCol w:w="109"/>
        <w:gridCol w:w="109"/>
        <w:gridCol w:w="278"/>
        <w:gridCol w:w="278"/>
        <w:gridCol w:w="410"/>
      </w:tblGrid>
      <w:tr>
        <w:trPr/>
        <w:tc>
          <w:tcPr>
            <w:tcW w:w="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0-to-30 days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31-to-60 days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Greater-than-60 days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more than 30 days delinquent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repossession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more than 30 days delinquent or in repossession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finance receivables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1121" w:type="dxa"/>
        <w:jc w:val="left"/>
        <w:tblInd w:w="0" w:type="dxa"/>
        <w:tblLayout w:type="fixed"/>
        <w:tblCellMar>
          <w:top w:w="28" w:type="dxa"/>
          <w:left w:w="28" w:type="dxa"/>
          <w:bottom w:w="28" w:type="dxa"/>
          <w:right w:w="28" w:type="dxa"/>
        </w:tblCellMar>
      </w:tblPr>
      <w:tblGrid>
        <w:gridCol w:w="449"/>
        <w:gridCol w:w="397"/>
        <w:gridCol w:w="34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09"/>
        <w:gridCol w:w="109"/>
        <w:gridCol w:w="196"/>
        <w:gridCol w:w="646"/>
        <w:gridCol w:w="109"/>
        <w:gridCol w:w="109"/>
        <w:gridCol w:w="109"/>
        <w:gridCol w:w="109"/>
        <w:gridCol w:w="278"/>
        <w:gridCol w:w="278"/>
        <w:gridCol w:w="357"/>
        <w:gridCol w:w="109"/>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of Origination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0-to-30 days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31-to-60 days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Greater-than-60 days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more than 30 days delinquent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repossession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more than 30 days delinquent or in repossession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finance receivables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color w:val="000000"/>
          <w:sz w:val="20"/>
        </w:rPr>
        <w:t>Commercial Finance Receivables</w:t>
      </w:r>
      <w:r>
        <w:rPr>
          <w:color w:val="000000"/>
        </w:rPr>
        <w:t xml:space="preserve"> </w:t>
      </w:r>
      <w:r>
        <w:rPr>
          <w:rFonts w:ascii="Times New Roman;sans-serif" w:hAnsi="Times New Roman;sans-serif"/>
          <w:b w:val="false"/>
          <w:color w:val="000000"/>
          <w:sz w:val="20"/>
        </w:rPr>
        <w:t>GM Financial's commercial finance receivables consist of dealer financing, primarily for dealer inventory purchases, 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Financial's dealer risk model and risk rating categories are as follows:</w:t>
      </w:r>
    </w:p>
    <w:tbl>
      <w:tblPr>
        <w:tblW w:w="10205" w:type="dxa"/>
        <w:jc w:val="center"/>
        <w:tblInd w:w="0" w:type="dxa"/>
        <w:tblLayout w:type="fixed"/>
        <w:tblCellMar>
          <w:top w:w="28" w:type="dxa"/>
          <w:left w:w="28" w:type="dxa"/>
          <w:bottom w:w="28" w:type="dxa"/>
          <w:right w:w="28" w:type="dxa"/>
        </w:tblCellMar>
      </w:tblPr>
      <w:tblGrid>
        <w:gridCol w:w="250"/>
        <w:gridCol w:w="220"/>
        <w:gridCol w:w="221"/>
        <w:gridCol w:w="109"/>
        <w:gridCol w:w="109"/>
        <w:gridCol w:w="109"/>
        <w:gridCol w:w="2733"/>
        <w:gridCol w:w="2661"/>
        <w:gridCol w:w="379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accounts with strong to acceptable financial metrics with at least satisfactory capacity to meet financial commitments.</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accounts experiencing potential weakness in financial metrics and repayment prospects resulting in increased monitoring.</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accounts with inadequate paying capacity for current obligations and have the distinct possibility of creating a loss if deficiencies are not corrected.</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accounts with inadequate paying capacity for current obligations and inherent weaknesses that make collection of liquidation in full highly questionable or improbable.</w:t>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Dealers with III and IV risk ratings are subject to additional monitoring and restrictions on funding, including suspension of lines of credit and liquidation of assets. The following tables summarize the dealer credit risk profile by dealer risk rating at March 31, 2025 and December 31, 2024:</w:t>
      </w:r>
    </w:p>
    <w:tbl>
      <w:tblPr>
        <w:tblW w:w="10745" w:type="dxa"/>
        <w:jc w:val="center"/>
        <w:tblInd w:w="0" w:type="dxa"/>
        <w:tblLayout w:type="fixed"/>
        <w:tblCellMar>
          <w:top w:w="28" w:type="dxa"/>
          <w:left w:w="28" w:type="dxa"/>
          <w:bottom w:w="28" w:type="dxa"/>
          <w:right w:w="28" w:type="dxa"/>
        </w:tblCellMar>
      </w:tblPr>
      <w:tblGrid>
        <w:gridCol w:w="264"/>
        <w:gridCol w:w="205"/>
        <w:gridCol w:w="207"/>
        <w:gridCol w:w="196"/>
        <w:gridCol w:w="646"/>
        <w:gridCol w:w="109"/>
        <w:gridCol w:w="109"/>
        <w:gridCol w:w="109"/>
        <w:gridCol w:w="109"/>
        <w:gridCol w:w="196"/>
        <w:gridCol w:w="33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646"/>
        <w:gridCol w:w="109"/>
        <w:gridCol w:w="109"/>
        <w:gridCol w:w="109"/>
        <w:gridCol w:w="109"/>
        <w:gridCol w:w="278"/>
        <w:gridCol w:w="278"/>
        <w:gridCol w:w="357"/>
        <w:gridCol w:w="109"/>
        <w:gridCol w:w="109"/>
        <w:gridCol w:w="154"/>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of Origination(a)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Dealer Risk Rating</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III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IV</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(a)Floorplan advances comprise 99.3% of the total revolving balance. Dealer term loans are presented by year of origination.</w:t>
      </w:r>
    </w:p>
    <w:tbl>
      <w:tblPr>
        <w:tblW w:w="11072" w:type="dxa"/>
        <w:jc w:val="left"/>
        <w:tblInd w:w="0" w:type="dxa"/>
        <w:tblLayout w:type="fixed"/>
        <w:tblCellMar>
          <w:top w:w="28" w:type="dxa"/>
          <w:left w:w="28" w:type="dxa"/>
          <w:bottom w:w="28" w:type="dxa"/>
          <w:right w:w="28" w:type="dxa"/>
        </w:tblCellMar>
      </w:tblPr>
      <w:tblGrid>
        <w:gridCol w:w="264"/>
        <w:gridCol w:w="205"/>
        <w:gridCol w:w="207"/>
        <w:gridCol w:w="196"/>
        <w:gridCol w:w="64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109"/>
        <w:gridCol w:w="109"/>
        <w:gridCol w:w="196"/>
        <w:gridCol w:w="646"/>
        <w:gridCol w:w="109"/>
        <w:gridCol w:w="109"/>
        <w:gridCol w:w="109"/>
        <w:gridCol w:w="109"/>
        <w:gridCol w:w="278"/>
        <w:gridCol w:w="278"/>
        <w:gridCol w:w="357"/>
        <w:gridCol w:w="109"/>
        <w:gridCol w:w="109"/>
        <w:gridCol w:w="109"/>
        <w:gridCol w:w="154"/>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of Origination(a)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Dealer Risk Rating</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III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IV</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(a)Floorplan advances comprise 99.5% of the total revolving balance. Dealer term loans are presented by year of origination.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commercial finance receivables on nonaccrual status at March 31, 2025 and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Transactions with GM Financial</w:t>
      </w:r>
      <w:r>
        <w:rPr>
          <w:color w:val="000000"/>
        </w:rPr>
        <w:t xml:space="preserve"> </w:t>
      </w:r>
      <w:r>
        <w:rPr>
          <w:rFonts w:ascii="Times New Roman;sans-serif" w:hAnsi="Times New Roman;sans-serif"/>
          <w:b w:val="false"/>
          <w:color w:val="000000"/>
          <w:sz w:val="20"/>
        </w:rPr>
        <w:t>The following tables show transactions between our Automotive or Cruise segments and GM Financial. These amounts are presented in GM Financial's condensed consolidated balance sheets and statements of income.</w:t>
      </w:r>
    </w:p>
    <w:tbl>
      <w:tblPr>
        <w:tblW w:w="8681" w:type="dxa"/>
        <w:jc w:val="center"/>
        <w:tblInd w:w="0" w:type="dxa"/>
        <w:tblLayout w:type="fixed"/>
        <w:tblCellMar>
          <w:top w:w="28" w:type="dxa"/>
          <w:left w:w="28" w:type="dxa"/>
          <w:bottom w:w="28" w:type="dxa"/>
          <w:right w:w="28" w:type="dxa"/>
        </w:tblCellMar>
      </w:tblPr>
      <w:tblGrid>
        <w:gridCol w:w="2012"/>
        <w:gridCol w:w="1767"/>
        <w:gridCol w:w="1771"/>
        <w:gridCol w:w="338"/>
        <w:gridCol w:w="747"/>
        <w:gridCol w:w="174"/>
        <w:gridCol w:w="109"/>
        <w:gridCol w:w="109"/>
        <w:gridCol w:w="109"/>
        <w:gridCol w:w="392"/>
        <w:gridCol w:w="866"/>
        <w:gridCol w:w="287"/>
      </w:tblGrid>
      <w:tr>
        <w:trPr/>
        <w:tc>
          <w:tcPr>
            <w:tcW w:w="201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Balance Sheets(a)</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finance receivables due from GM consolidated dealers</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finance receivables due from Cruise</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Subvention receivable from GM(b)</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 funding payable to GM</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tbl>
      <w:tblPr>
        <w:tblW w:w="7450" w:type="dxa"/>
        <w:jc w:val="center"/>
        <w:tblInd w:w="0" w:type="dxa"/>
        <w:tblLayout w:type="fixed"/>
        <w:tblCellMar>
          <w:top w:w="28" w:type="dxa"/>
          <w:left w:w="28" w:type="dxa"/>
          <w:bottom w:w="28" w:type="dxa"/>
          <w:right w:w="28" w:type="dxa"/>
        </w:tblCellMar>
      </w:tblPr>
      <w:tblGrid>
        <w:gridCol w:w="1494"/>
        <w:gridCol w:w="1313"/>
        <w:gridCol w:w="1317"/>
        <w:gridCol w:w="338"/>
        <w:gridCol w:w="747"/>
        <w:gridCol w:w="174"/>
        <w:gridCol w:w="109"/>
        <w:gridCol w:w="109"/>
        <w:gridCol w:w="109"/>
        <w:gridCol w:w="338"/>
        <w:gridCol w:w="747"/>
        <w:gridCol w:w="174"/>
        <w:gridCol w:w="109"/>
        <w:gridCol w:w="109"/>
        <w:gridCol w:w="109"/>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subvention earned on finance receivables</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vehicle subvention earned</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(a)All balance sheet amounts are eliminated upon consolidation.</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(b)Our Automotive segments made cash payments to GM Financial for subvention of $704 million and $777 million in the three months ended March 31, 2025 and 2024.</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shd w:fill="FFFFFF" w:val="clear"/>
        </w:rPr>
        <w:t>GM Financi</w:t>
      </w:r>
      <w:r>
        <w:rPr>
          <w:rFonts w:ascii="Times New Roman;sans-serif" w:hAnsi="Times New Roman;sans-serif"/>
          <w:b w:val="false"/>
          <w:color w:val="000000"/>
          <w:sz w:val="20"/>
        </w:rPr>
        <w:t>al's Board of Directors declared and paid dividends of $350 million and $450 million on its common stock in the three months ended March 31, 2025 and 2024.</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Inventories</w:t>
      </w:r>
    </w:p>
    <w:tbl>
      <w:tblPr>
        <w:tblW w:w="7737" w:type="dxa"/>
        <w:jc w:val="left"/>
        <w:tblInd w:w="0" w:type="dxa"/>
        <w:tblLayout w:type="fixed"/>
        <w:tblCellMar>
          <w:top w:w="28" w:type="dxa"/>
          <w:left w:w="28" w:type="dxa"/>
          <w:bottom w:w="28" w:type="dxa"/>
          <w:right w:w="28" w:type="dxa"/>
        </w:tblCellMar>
      </w:tblPr>
      <w:tblGrid>
        <w:gridCol w:w="1666"/>
        <w:gridCol w:w="1465"/>
        <w:gridCol w:w="1474"/>
        <w:gridCol w:w="255"/>
        <w:gridCol w:w="873"/>
        <w:gridCol w:w="132"/>
        <w:gridCol w:w="109"/>
        <w:gridCol w:w="109"/>
        <w:gridCol w:w="109"/>
        <w:gridCol w:w="300"/>
        <w:gridCol w:w="1026"/>
        <w:gridCol w:w="219"/>
      </w:tblGrid>
      <w:tr>
        <w:trPr/>
        <w:tc>
          <w:tcPr>
            <w:tcW w:w="166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productive material, supplies and work in process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 including service parts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reflected net of allowances totaling $2.2 billion and $2.0 billion, of which $1.6 billion and $1.4 billion are electric vehicle (EV)-related, to remeasure inventory on-hand to net realizable value at March 31, 2025 and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6. Equipment on Operating Leases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on operating leases consists of leases to retail customers of GM Financial. </w:t>
      </w:r>
    </w:p>
    <w:tbl>
      <w:tblPr>
        <w:tblW w:w="6102" w:type="dxa"/>
        <w:jc w:val="left"/>
        <w:tblInd w:w="0" w:type="dxa"/>
        <w:tblLayout w:type="fixed"/>
        <w:tblCellMar>
          <w:top w:w="28" w:type="dxa"/>
          <w:left w:w="28" w:type="dxa"/>
          <w:bottom w:w="28" w:type="dxa"/>
          <w:right w:w="28" w:type="dxa"/>
        </w:tblCellMar>
      </w:tblPr>
      <w:tblGrid>
        <w:gridCol w:w="1077"/>
        <w:gridCol w:w="945"/>
        <w:gridCol w:w="948"/>
        <w:gridCol w:w="255"/>
        <w:gridCol w:w="873"/>
        <w:gridCol w:w="132"/>
        <w:gridCol w:w="109"/>
        <w:gridCol w:w="109"/>
        <w:gridCol w:w="109"/>
        <w:gridCol w:w="300"/>
        <w:gridCol w:w="1026"/>
        <w:gridCol w:w="219"/>
      </w:tblGrid>
      <w:tr>
        <w:trPr/>
        <w:tc>
          <w:tcPr>
            <w:tcW w:w="107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on operating leases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on operating leases, net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residual value of our leased assets at the end of the lease term was $23.8 billion and $23.5 billion at March 31, 2025 and December 31, 2024.</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Equipment on operating leases, net was $1.2 billion in the three months ended March 31, 2025 and 2024.</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lease payments due to GM Financial on leases to retail customers:</w:t>
      </w:r>
    </w:p>
    <w:tbl>
      <w:tblPr>
        <w:tblW w:w="10205" w:type="dxa"/>
        <w:jc w:val="left"/>
        <w:tblInd w:w="0" w:type="dxa"/>
        <w:tblLayout w:type="fixed"/>
        <w:tblCellMar>
          <w:top w:w="28" w:type="dxa"/>
          <w:left w:w="28" w:type="dxa"/>
          <w:bottom w:w="28" w:type="dxa"/>
          <w:right w:w="28" w:type="dxa"/>
        </w:tblCellMar>
      </w:tblPr>
      <w:tblGrid>
        <w:gridCol w:w="760"/>
        <w:gridCol w:w="669"/>
        <w:gridCol w:w="67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256"/>
        <w:gridCol w:w="109"/>
        <w:gridCol w:w="109"/>
        <w:gridCol w:w="109"/>
        <w:gridCol w:w="109"/>
        <w:gridCol w:w="257"/>
        <w:gridCol w:w="495"/>
        <w:gridCol w:w="134"/>
        <w:gridCol w:w="109"/>
        <w:gridCol w:w="109"/>
        <w:gridCol w:w="109"/>
        <w:gridCol w:w="211"/>
        <w:gridCol w:w="721"/>
        <w:gridCol w:w="155"/>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Ending December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receipts under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Equity in Net Assets of Nonconsolidated Affiliates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tbl>
      <w:tblPr>
        <w:tblW w:w="7827" w:type="dxa"/>
        <w:jc w:val="left"/>
        <w:tblInd w:w="0" w:type="dxa"/>
        <w:tblLayout w:type="fixed"/>
        <w:tblCellMar>
          <w:top w:w="28" w:type="dxa"/>
          <w:left w:w="28" w:type="dxa"/>
          <w:bottom w:w="28" w:type="dxa"/>
          <w:right w:w="28" w:type="dxa"/>
        </w:tblCellMar>
      </w:tblPr>
      <w:tblGrid>
        <w:gridCol w:w="1630"/>
        <w:gridCol w:w="1433"/>
        <w:gridCol w:w="1437"/>
        <w:gridCol w:w="338"/>
        <w:gridCol w:w="747"/>
        <w:gridCol w:w="174"/>
        <w:gridCol w:w="109"/>
        <w:gridCol w:w="109"/>
        <w:gridCol w:w="109"/>
        <w:gridCol w:w="309"/>
        <w:gridCol w:w="792"/>
        <w:gridCol w:w="159"/>
        <w:gridCol w:w="109"/>
        <w:gridCol w:w="109"/>
        <w:gridCol w:w="109"/>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Automotive China joint ventures equity income (loss)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Ultium Cells Holdings LLC equity income (loss)(a)</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joint ventures equity income (loss)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income (loss)</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(a)Equity earnings related to Ultium Cells Holdings LLC, an equally owned joint venture with LG Energy Solution (LGES), are presented in Automotive and other cost of sales as this entity is integral to the operations of our business by providing battery cells for our EVs.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ownership changes in our Automotive China joint ventures (Automotive China JVs) or Ultium Cells Holdings LLC since December 31, 2024.</w:t>
      </w:r>
    </w:p>
    <w:tbl>
      <w:tblPr>
        <w:tblW w:w="8096" w:type="dxa"/>
        <w:jc w:val="left"/>
        <w:tblInd w:w="0" w:type="dxa"/>
        <w:tblLayout w:type="fixed"/>
        <w:tblCellMar>
          <w:top w:w="28" w:type="dxa"/>
          <w:left w:w="28" w:type="dxa"/>
          <w:bottom w:w="28" w:type="dxa"/>
          <w:right w:w="28" w:type="dxa"/>
        </w:tblCellMar>
      </w:tblPr>
      <w:tblGrid>
        <w:gridCol w:w="1728"/>
        <w:gridCol w:w="1517"/>
        <w:gridCol w:w="1525"/>
        <w:gridCol w:w="284"/>
        <w:gridCol w:w="829"/>
        <w:gridCol w:w="146"/>
        <w:gridCol w:w="109"/>
        <w:gridCol w:w="109"/>
        <w:gridCol w:w="109"/>
        <w:gridCol w:w="284"/>
        <w:gridCol w:w="829"/>
        <w:gridCol w:w="146"/>
        <w:gridCol w:w="109"/>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Summarized Operating Data of Automotive China JVs </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China JVs' net sales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China JVs' net income (loss)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but not paid from our nonconsolidated affiliates were $399 million and $395 million at March 31, 2025 and December 31, 2024. Dividends received from our nonconsolidated affiliates were $788 million and insignificant in the three months ended March 31, 2025 and 2024. We had undistributed losses from our nonconsolidated affiliates of $342 million at March 31, 2025 and insignificant undistributed earnings at December 31, 2024.</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Goodwill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$1.9 billion consisted of $1.3 billion in GM Financial at March 31, 2025 and December 31, 2024, and $571 million and an insignificant amount in GMNA at March 31, 2025 and December 31, 2024 and an insignificant amount and $569 million in Cruise at March 31, 2025 and December 31, 2024. During the three months ended March 31, 2025, $571 million of goodwill recorded in the Cruise segment was reallocated to the GMNA segment. The reallocation of the goodwill reflects the wind down of the Cruise robotaxi operations and combination of the GM and Cruise technical efforts in our GMNA Automotive segment to build on the success of Super Cruise and prioritize the development of advanced driver-assistance systems (ADAS) on a path to fully autonomous personal vehicles. We performed goodwill impairment tests prior to and after the reallocation and determined that the goodwill was not impaired.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Variable Interest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Consolidated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Automotive Financing – GM Financial</w:t>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assets and liabilities related to GM Financial's consolidated VIEs:</w:t>
      </w:r>
    </w:p>
    <w:tbl>
      <w:tblPr>
        <w:tblW w:w="8711" w:type="dxa"/>
        <w:jc w:val="left"/>
        <w:tblInd w:w="0" w:type="dxa"/>
        <w:tblLayout w:type="fixed"/>
        <w:tblCellMar>
          <w:top w:w="28" w:type="dxa"/>
          <w:left w:w="28" w:type="dxa"/>
          <w:bottom w:w="28" w:type="dxa"/>
          <w:right w:w="28" w:type="dxa"/>
        </w:tblCellMar>
      </w:tblPr>
      <w:tblGrid>
        <w:gridCol w:w="2016"/>
        <w:gridCol w:w="1778"/>
        <w:gridCol w:w="1785"/>
        <w:gridCol w:w="255"/>
        <w:gridCol w:w="873"/>
        <w:gridCol w:w="132"/>
        <w:gridCol w:w="109"/>
        <w:gridCol w:w="109"/>
        <w:gridCol w:w="109"/>
        <w:gridCol w:w="300"/>
        <w:gridCol w:w="1026"/>
        <w:gridCol w:w="219"/>
      </w:tblGrid>
      <w:tr>
        <w:trPr/>
        <w:tc>
          <w:tcPr>
            <w:tcW w:w="201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 current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 non-current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receivables – current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receivables – non-current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equipment on operating leases, net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short-term debt and current portion of long-term debt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long-term debt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Nonconsolidated VIEs</w:t>
      </w:r>
    </w:p>
    <w:p>
      <w:pPr>
        <w:pStyle w:val="TextBody"/>
        <w:bidi w:val="0"/>
        <w:spacing w:lineRule="auto" w:line="288" w:before="160" w:after="12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Automotive</w:t>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Nonconsolidated VIEs primarily include our battery cell manufacturing joint ventures to which we provided financial support to ensure that our supply needs for production are met or are not disrupted. Our variable interests in our automotive nonconsolidated VIEs include equity investments, accounts and loans receivable, committed financial support and other off-balance sheet arrangements. The carrying amounts of assets were approximately $4.1 billion and $4.3 billion and liabilities were insignificant related to our nonconsolidated VIEs at March 31, 2025 and December 31, 2024. Our maximum exposure to loss as a result of our involvement with these VIEs was approximately $7.5 billion and $7.0 billion, inclusive of approximately $2.2 billion and $2.3 billion in committed capital contributions to our battery cell manufacturing joint ventures, at March 31, 2025 and December 31, 2024. Our maximum exposure to loss, and required capital contributions, could vary depending on our battery cell manufacturing joint ventures' requirements and access to capital. We currently lack the power through voting or similar rights to direct the activities of these entities that most significantly affect their economic performance.</w:t>
      </w:r>
    </w:p>
    <w:p>
      <w:pPr>
        <w:pStyle w:val="TextBody"/>
        <w:bidi w:val="0"/>
        <w:spacing w:before="0" w:after="12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Debt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rPr>
        <w:t>Automotive</w:t>
      </w:r>
      <w:r>
        <w:rPr>
          <w:color w:val="000000"/>
        </w:rPr>
        <w:t xml:space="preserve"> </w:t>
      </w:r>
      <w:r>
        <w:rPr>
          <w:rFonts w:ascii="Times New Roman;sans-serif" w:hAnsi="Times New Roman;sans-serif"/>
          <w:b w:val="false"/>
          <w:color w:val="000000"/>
          <w:sz w:val="20"/>
        </w:rPr>
        <w:t>The following table presents debt in our automotive operations:</w:t>
      </w:r>
    </w:p>
    <w:tbl>
      <w:tblPr>
        <w:tblW w:w="9779" w:type="dxa"/>
        <w:jc w:val="left"/>
        <w:tblInd w:w="0" w:type="dxa"/>
        <w:tblLayout w:type="fixed"/>
        <w:tblCellMar>
          <w:top w:w="28" w:type="dxa"/>
          <w:left w:w="28" w:type="dxa"/>
          <w:bottom w:w="28" w:type="dxa"/>
          <w:right w:w="28" w:type="dxa"/>
        </w:tblCellMar>
      </w:tblPr>
      <w:tblGrid>
        <w:gridCol w:w="1410"/>
        <w:gridCol w:w="1242"/>
        <w:gridCol w:w="1246"/>
        <w:gridCol w:w="297"/>
        <w:gridCol w:w="1020"/>
        <w:gridCol w:w="153"/>
        <w:gridCol w:w="109"/>
        <w:gridCol w:w="109"/>
        <w:gridCol w:w="109"/>
        <w:gridCol w:w="316"/>
        <w:gridCol w:w="240"/>
        <w:gridCol w:w="436"/>
        <w:gridCol w:w="109"/>
        <w:gridCol w:w="109"/>
        <w:gridCol w:w="109"/>
        <w:gridCol w:w="285"/>
        <w:gridCol w:w="977"/>
        <w:gridCol w:w="147"/>
        <w:gridCol w:w="109"/>
        <w:gridCol w:w="109"/>
        <w:gridCol w:w="109"/>
        <w:gridCol w:w="308"/>
        <w:gridCol w:w="232"/>
        <w:gridCol w:w="489"/>
      </w:tblGrid>
      <w:tr>
        <w:trPr/>
        <w:tc>
          <w:tcPr>
            <w:tcW w:w="141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debt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debt(a)</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automotive debt(b)</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15,204</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utilizing Level 1 inputs</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utilizing Level 2 inputs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under credit facility agreements(c)</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13,793</w:t>
            </w:r>
          </w:p>
        </w:tc>
      </w:tr>
      <w:tr>
        <w:trPr/>
        <w:tc>
          <w:tcPr>
            <w:tcW w:w="53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interest rate on outstanding short-term debt(d)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interest rate on outstanding long-term debt(d)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(a)Primarily consists of senior notes.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(b)Includes net discount and debt issuance costs of $445 million and $439 million at March 31, 2025 and December 31,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(c)Excludes our 364-day, $2.0 billion facility allocated for exclusive use by GM Financial.</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(d)Includes coupon rates on debt denominated in various foreign currencies and interest free loans.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GM Financial</w:t>
      </w:r>
      <w:r>
        <w:rPr>
          <w:color w:val="000000"/>
        </w:rPr>
        <w:t xml:space="preserve"> </w:t>
      </w:r>
      <w:r>
        <w:rPr>
          <w:rFonts w:ascii="Times New Roman;sans-serif" w:hAnsi="Times New Roman;sans-serif"/>
          <w:b w:val="false"/>
          <w:color w:val="000000"/>
          <w:sz w:val="20"/>
        </w:rPr>
        <w:t>The following table presents debt of GM Financial:</w:t>
      </w:r>
    </w:p>
    <w:tbl>
      <w:tblPr>
        <w:tblW w:w="9032" w:type="dxa"/>
        <w:jc w:val="center"/>
        <w:tblInd w:w="0" w:type="dxa"/>
        <w:tblLayout w:type="fixed"/>
        <w:tblCellMar>
          <w:top w:w="28" w:type="dxa"/>
          <w:left w:w="28" w:type="dxa"/>
          <w:bottom w:w="28" w:type="dxa"/>
          <w:right w:w="28" w:type="dxa"/>
        </w:tblCellMar>
      </w:tblPr>
      <w:tblGrid>
        <w:gridCol w:w="1047"/>
        <w:gridCol w:w="923"/>
        <w:gridCol w:w="924"/>
        <w:gridCol w:w="259"/>
        <w:gridCol w:w="1017"/>
        <w:gridCol w:w="134"/>
        <w:gridCol w:w="109"/>
        <w:gridCol w:w="109"/>
        <w:gridCol w:w="109"/>
        <w:gridCol w:w="211"/>
        <w:gridCol w:w="826"/>
        <w:gridCol w:w="109"/>
        <w:gridCol w:w="109"/>
        <w:gridCol w:w="109"/>
        <w:gridCol w:w="109"/>
        <w:gridCol w:w="259"/>
        <w:gridCol w:w="1017"/>
        <w:gridCol w:w="134"/>
        <w:gridCol w:w="109"/>
        <w:gridCol w:w="109"/>
        <w:gridCol w:w="109"/>
        <w:gridCol w:w="211"/>
        <w:gridCol w:w="82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debt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debt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GM Financial debt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114,264 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utilizing Level 2 inputs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utilizing Level 3 inputs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 consists of revolving credit facilities and securitization notes payable. Most of the secured debt was issued by VIEs and is repayable only from proceeds related to the underlying pledged assets. Refer to Note 9 for additional information on GM Financial's involvement with VIEs. In the three months ended March 31, 2025, GM Financial renewed revolving credit facilities with total borrowing capacity of $2.5 billion and issued $7.9 billion in aggregate principal amount of securitization notes payable with an initial weighted-average interest rate of 4.8% and maturity dates ranging from 2027 to 2037.</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Unsecured debt consists of senior notes, credit facilities and other unsecured debt. In the three months ended March 31, 2025, GM Financial issued $6.1 billion in aggregate principal amount of senior notes with an initial weighted-average interest rate of 5.2% and maturity dates ranging from 2027 to 2035.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Derivative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fair value amounts of GM Financial's derivative financial instruments and the associated notional amounts:</w:t>
      </w:r>
    </w:p>
    <w:tbl>
      <w:tblPr>
        <w:tblW w:w="10205" w:type="dxa"/>
        <w:jc w:val="left"/>
        <w:tblInd w:w="0" w:type="dxa"/>
        <w:tblLayout w:type="fixed"/>
        <w:tblCellMar>
          <w:top w:w="28" w:type="dxa"/>
          <w:left w:w="28" w:type="dxa"/>
          <w:bottom w:w="28" w:type="dxa"/>
          <w:right w:w="28" w:type="dxa"/>
        </w:tblCellMar>
      </w:tblPr>
      <w:tblGrid>
        <w:gridCol w:w="529"/>
        <w:gridCol w:w="442"/>
        <w:gridCol w:w="443"/>
        <w:gridCol w:w="208"/>
        <w:gridCol w:w="208"/>
        <w:gridCol w:w="209"/>
        <w:gridCol w:w="109"/>
        <w:gridCol w:w="109"/>
        <w:gridCol w:w="109"/>
        <w:gridCol w:w="211"/>
        <w:gridCol w:w="826"/>
        <w:gridCol w:w="109"/>
        <w:gridCol w:w="109"/>
        <w:gridCol w:w="109"/>
        <w:gridCol w:w="109"/>
        <w:gridCol w:w="237"/>
        <w:gridCol w:w="523"/>
        <w:gridCol w:w="122"/>
        <w:gridCol w:w="109"/>
        <w:gridCol w:w="109"/>
        <w:gridCol w:w="109"/>
        <w:gridCol w:w="236"/>
        <w:gridCol w:w="690"/>
        <w:gridCol w:w="122"/>
        <w:gridCol w:w="109"/>
        <w:gridCol w:w="109"/>
        <w:gridCol w:w="109"/>
        <w:gridCol w:w="211"/>
        <w:gridCol w:w="826"/>
        <w:gridCol w:w="109"/>
        <w:gridCol w:w="109"/>
        <w:gridCol w:w="109"/>
        <w:gridCol w:w="109"/>
        <w:gridCol w:w="237"/>
        <w:gridCol w:w="523"/>
        <w:gridCol w:w="122"/>
        <w:gridCol w:w="109"/>
        <w:gridCol w:w="109"/>
        <w:gridCol w:w="109"/>
        <w:gridCol w:w="235"/>
        <w:gridCol w:w="686"/>
        <w:gridCol w:w="179"/>
      </w:tblGrid>
      <w:tr>
        <w:trPr/>
        <w:tc>
          <w:tcPr>
            <w:tcW w:w="5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Liabilities</w:t>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hedges(a)</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hedges</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swaps(b)</w:t>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swaps(c)</w:t>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hedges(a)</w:t>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financial instruments(d)</w:t>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(a)The gains/losses included in our condensed consolidated income statements and statements of comprehensive income for the three months ended March 31, 2025 and 2024 were insignificant, unless otherwise noted. Amounts accrued for interest payments in a net receivable position are included in Other assets. Amounts accrued for interest payments in a net payable position are included in Other liabilities.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(b)The effect of fair value hedges in the condensed consolidated income statements include insignificant losses for the three months ended March 31, 2025 and 2024. </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(c)The effect of foreign currency cash flow hedges in the condensed consolidated statements of comprehensive income include gains of $157 million and losses of $141 million recognized in Accumulated other comprehensive loss, and gains of $231 million and losses of $163 million reclassified from Accumulated other comprehensive loss into income for the three months ended March 31, 2025 and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(d)The fair value of derivative instruments that are classified as assets or liabilities available for offset was $693 million at March 31, 2025 and December 31, 2024. GM Financial held $104 million and $190 million of collateral from counterparties available for netting against GM Financial's asset positions and posted $898 million and $1.2 billion of collateral to counterparties available for netting against GM Financial's liability positions at March 31, 2025 and December 31, 2024.</w:t>
      </w:r>
    </w:p>
    <w:p>
      <w:pPr>
        <w:pStyle w:val="TextBody"/>
        <w:bidi w:val="0"/>
        <w:spacing w:before="0" w:after="0"/>
        <w:ind w:left="0" w:right="0" w:hanging="36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Level 2 instruments was derived using the market approach based on observable market inputs including quoted prices of similar instruments and foreign exchange and interest rate forward curves.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were recorded in the condensed consolidated balance sheets related to items designated and qualifying as hedged items in fair value hedging relationships:</w:t>
      </w:r>
    </w:p>
    <w:tbl>
      <w:tblPr>
        <w:tblW w:w="10205" w:type="dxa"/>
        <w:jc w:val="left"/>
        <w:tblInd w:w="0" w:type="dxa"/>
        <w:tblLayout w:type="fixed"/>
        <w:tblCellMar>
          <w:top w:w="28" w:type="dxa"/>
          <w:left w:w="28" w:type="dxa"/>
          <w:bottom w:w="28" w:type="dxa"/>
          <w:right w:w="28" w:type="dxa"/>
        </w:tblCellMar>
      </w:tblPr>
      <w:tblGrid>
        <w:gridCol w:w="618"/>
        <w:gridCol w:w="544"/>
        <w:gridCol w:w="545"/>
        <w:gridCol w:w="316"/>
        <w:gridCol w:w="1083"/>
        <w:gridCol w:w="163"/>
        <w:gridCol w:w="109"/>
        <w:gridCol w:w="109"/>
        <w:gridCol w:w="109"/>
        <w:gridCol w:w="577"/>
        <w:gridCol w:w="1278"/>
        <w:gridCol w:w="301"/>
        <w:gridCol w:w="109"/>
        <w:gridCol w:w="109"/>
        <w:gridCol w:w="109"/>
        <w:gridCol w:w="316"/>
        <w:gridCol w:w="1083"/>
        <w:gridCol w:w="163"/>
        <w:gridCol w:w="109"/>
        <w:gridCol w:w="109"/>
        <w:gridCol w:w="109"/>
        <w:gridCol w:w="479"/>
        <w:gridCol w:w="1400"/>
        <w:gridCol w:w="35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Carrying Amount of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Cumulative Amount of Fair Value Hedging Adjustments(a)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Carrying Amount of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Cumulative Amount of Fair Value Hedging Adjustments(a)</w:t>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unsecured debt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unsecured debt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 Financial unsecured debt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(a)Includes $669 million and $719 million of unamortized losses remaining on hedged items for which hedge accounting has been discontinued at March 31, 2025 and December 31,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Product Warranty and Related Liabilities</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22" w:type="dxa"/>
        <w:jc w:val="left"/>
        <w:tblInd w:w="0" w:type="dxa"/>
        <w:tblLayout w:type="fixed"/>
        <w:tblCellMar>
          <w:top w:w="28" w:type="dxa"/>
          <w:left w:w="28" w:type="dxa"/>
          <w:bottom w:w="28" w:type="dxa"/>
          <w:right w:w="28" w:type="dxa"/>
        </w:tblCellMar>
      </w:tblPr>
      <w:tblGrid>
        <w:gridCol w:w="1810"/>
        <w:gridCol w:w="1587"/>
        <w:gridCol w:w="1598"/>
        <w:gridCol w:w="255"/>
        <w:gridCol w:w="873"/>
        <w:gridCol w:w="132"/>
        <w:gridCol w:w="109"/>
        <w:gridCol w:w="109"/>
        <w:gridCol w:w="109"/>
        <w:gridCol w:w="284"/>
        <w:gridCol w:w="829"/>
        <w:gridCol w:w="146"/>
        <w:gridCol w:w="109"/>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Warranty and Related Liabilities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at beginning of period</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issued and assumed in period – recall campaigns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issued and assumed in period – product warranty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pre-existing warranties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and other</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at end of period</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Supplier recoveries balance at end of period(a)</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net of supplier recoveries at end of period</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(a)The current portion of supplier recoveries is recorded in Accounts and notes receivable, net of allowance and the non-current portion is recorded in Other assets.</w:t>
      </w:r>
    </w:p>
    <w:tbl>
      <w:tblPr>
        <w:tblW w:w="7440" w:type="dxa"/>
        <w:jc w:val="left"/>
        <w:tblInd w:w="0" w:type="dxa"/>
        <w:tblLayout w:type="fixed"/>
        <w:tblCellMar>
          <w:top w:w="28" w:type="dxa"/>
          <w:left w:w="28" w:type="dxa"/>
          <w:bottom w:w="28" w:type="dxa"/>
          <w:right w:w="28" w:type="dxa"/>
        </w:tblCellMar>
      </w:tblPr>
      <w:tblGrid>
        <w:gridCol w:w="1452"/>
        <w:gridCol w:w="1273"/>
        <w:gridCol w:w="1280"/>
        <w:gridCol w:w="284"/>
        <w:gridCol w:w="829"/>
        <w:gridCol w:w="146"/>
        <w:gridCol w:w="109"/>
        <w:gridCol w:w="109"/>
        <w:gridCol w:w="109"/>
        <w:gridCol w:w="284"/>
        <w:gridCol w:w="829"/>
        <w:gridCol w:w="146"/>
        <w:gridCol w:w="109"/>
        <w:gridCol w:w="109"/>
        <w:gridCol w:w="109"/>
        <w:gridCol w:w="109"/>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Product Warranty Expense, Net of Recoveries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issued and assumed in period</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Supplier recoveries accrued in period</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and 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Warranty expense, net of supplier recoveries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For estimates related to reasonably possible losses in excess of amounts accrued for recall campaigns, refer to Note 14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13. Pensions and Other Postretirement Benefits </w:t>
      </w:r>
    </w:p>
    <w:tbl>
      <w:tblPr>
        <w:tblW w:w="10205" w:type="dxa"/>
        <w:jc w:val="center"/>
        <w:tblInd w:w="0" w:type="dxa"/>
        <w:tblLayout w:type="fixed"/>
        <w:tblCellMar>
          <w:top w:w="28" w:type="dxa"/>
          <w:left w:w="28" w:type="dxa"/>
          <w:bottom w:w="28" w:type="dxa"/>
          <w:right w:w="28" w:type="dxa"/>
        </w:tblCellMar>
      </w:tblPr>
      <w:tblGrid>
        <w:gridCol w:w="1214"/>
        <w:gridCol w:w="931"/>
        <w:gridCol w:w="929"/>
        <w:gridCol w:w="212"/>
        <w:gridCol w:w="417"/>
        <w:gridCol w:w="109"/>
        <w:gridCol w:w="109"/>
        <w:gridCol w:w="109"/>
        <w:gridCol w:w="109"/>
        <w:gridCol w:w="237"/>
        <w:gridCol w:w="406"/>
        <w:gridCol w:w="123"/>
        <w:gridCol w:w="109"/>
        <w:gridCol w:w="109"/>
        <w:gridCol w:w="109"/>
        <w:gridCol w:w="376"/>
        <w:gridCol w:w="645"/>
        <w:gridCol w:w="194"/>
        <w:gridCol w:w="109"/>
        <w:gridCol w:w="109"/>
        <w:gridCol w:w="109"/>
        <w:gridCol w:w="212"/>
        <w:gridCol w:w="417"/>
        <w:gridCol w:w="109"/>
        <w:gridCol w:w="109"/>
        <w:gridCol w:w="109"/>
        <w:gridCol w:w="109"/>
        <w:gridCol w:w="237"/>
        <w:gridCol w:w="406"/>
        <w:gridCol w:w="123"/>
        <w:gridCol w:w="109"/>
        <w:gridCol w:w="109"/>
        <w:gridCol w:w="109"/>
        <w:gridCol w:w="366"/>
        <w:gridCol w:w="628"/>
        <w:gridCol w:w="279"/>
      </w:tblGrid>
      <w:tr>
        <w:trPr/>
        <w:tc>
          <w:tcPr>
            <w:tcW w:w="1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Global OPEB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Global OPEB Plans</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 (credit)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(gains) losses</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and OPEB (income) expense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bl>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non-service cost components of net periodic pension and other postretirement benefits (OPEB) income presented in Interest income and other non-operating income, net are insignificant in the three months ended March 31, 2025 and 2024.</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14. Commitments, Contingencies and Uncertainties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Litigation-Related Liability and Indirect Tax-Related Matters </w:t>
      </w:r>
      <w:r>
        <w:rPr>
          <w:rFonts w:ascii="Times New Roman;sans-serif" w:hAnsi="Times New Roman;sans-serif"/>
          <w:b w:val="false"/>
          <w:color w:val="000000"/>
          <w:sz w:val="20"/>
        </w:rPr>
        <w:t>In the normal course of our business, we are named from time to time as a defendant in 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March 31, 2025 and December 31, 2024, we had accruals of $1.2 billion and $1.1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Opel/Vauxhall Sale</w:t>
      </w:r>
      <w:r>
        <w:rPr>
          <w:color w:val="000000"/>
        </w:rPr>
        <w:t xml:space="preserve"> </w:t>
      </w:r>
      <w:r>
        <w:rPr>
          <w:rFonts w:ascii="Times New Roman;sans-serif" w:hAnsi="Times New Roman;sans-serif"/>
          <w:b w:val="false"/>
          <w:color w:val="000000"/>
          <w:sz w:val="20"/>
        </w:rPr>
        <w:t>In 2017, we sold the Opel and Vauxhall businesses and certain other assets in Europe (the Opel/Vauxhall Business) to PSA Group, now 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Currently, various consumer lawsuits have been filed against the Seller and Stellantis in Germany, the United Kingdom (UK),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Corporation (Takata) inflators in legacy Opel vehicles. We may in the future be required to further indemnify Stellantis relating to its Takata recalls, but we believe such further indemnification to be remote at this time.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European Commission and UK Competition and Markets Authority Matter</w:t>
      </w:r>
      <w:r>
        <w:rPr>
          <w:color w:val="000000"/>
        </w:rPr>
        <w:t xml:space="preserve"> </w:t>
      </w:r>
      <w:r>
        <w:rPr>
          <w:rFonts w:ascii="Times New Roman;sans-serif" w:hAnsi="Times New Roman;sans-serif"/>
          <w:b w:val="false"/>
          <w:color w:val="000000"/>
          <w:sz w:val="20"/>
        </w:rPr>
        <w:t>In March 2022, the European Commission (EC) and UK Competition and Markets Authority (CMA) conducted inspections at the premises of, and sent out formal requests for information to, several companies and associations active in the automotive sector. The investigations concerned suspected coordination of certain aspects of recycling of end-of-life vehicles. GM was not the subject of the inspections but received requests for information related to activities conducted by Opel, a former subsidiary business of GM that was sold to Stellantis in 2017.</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2025, following a settlement procedure in which all investigated parties (including GM) participated, the EC and CMA issued their decisions, finding that Opel was one of the participants in the investigated behavior. The EC and CMA confirmed that GM was not directly involved in the investigated behavior and that it was found liable only in its capacity as Opel’s former parent company. GM has accepted liability as Opel’s former parent only to end the investigations, and has been held by the EC to be solely liable and jointly and severally liable with Stellantis, and by the CMA to be jointly and severally liable with Stellantis, in each case for an insignificant fine.</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color w:val="000000"/>
          <w:sz w:val="20"/>
        </w:rPr>
        <w:t>Other Litigation-Related Liabilities</w:t>
      </w:r>
      <w:r>
        <w:rPr>
          <w:color w:val="000000"/>
        </w:rPr>
        <w:t xml:space="preserve"> </w:t>
      </w:r>
      <w:r>
        <w:rPr>
          <w:rFonts w:ascii="Times New Roman;sans-serif" w:hAnsi="Times New Roman;sans-serif"/>
          <w:b w:val="false"/>
          <w:color w:val="000000"/>
          <w:sz w:val="20"/>
        </w:rPr>
        <w:t>Various other legal actions, including class actions, governmental investigations, 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There ar</w:t>
      </w:r>
      <w:r>
        <w:rPr>
          <w:rFonts w:ascii="Times New Roman;sans-serif" w:hAnsi="Times New Roman;sans-serif"/>
          <w:b w:val="false"/>
          <w:color w:val="000000"/>
          <w:sz w:val="20"/>
          <w:shd w:fill="FFFFFF" w:val="clear"/>
        </w:rPr>
        <w:t>e several putat</w:t>
      </w:r>
      <w:r>
        <w:rPr>
          <w:rFonts w:ascii="Times New Roman;sans-serif" w:hAnsi="Times New Roman;sans-serif"/>
          <w:b w:val="false"/>
          <w:color w:val="000000"/>
          <w:sz w:val="20"/>
        </w:rPr>
        <w: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the dismissal in one of the cases. A different panel has yet to rule in the second class action.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several putative class actions and two certified class actions pending against GM in the U.S. alleging that various 2011–2014 model year vehicles are defective because they excessively consume oil. We have reached an agreement to resolve all of these pending matters and have accrued an immaterial amount related to these proceedings.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and GM appealed. In March 2025, the Sixth Circuit heard our appeal en banc. The putative class action concerning 2020–2022 model year vehicles is pending in front of a different judge that has not yet addressed class certification. We have similar cases pending in Canada concerning these vehicles. We are currently unable to estimate any reasonably possible or probable material loss or range of loss that may result from these proceedings in excess of amounts accrued.</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class action pending against GM in the U.S., and a putative class action in Canada, alleging that 2011–2016 model year Duramax Diesel Chevrolet Silverado and GMC Sierra vehicles are equipped with defective fuel pumps that are prone to failure. In March 2023, the U.S. court certified seven state subclasses. We reached an agreement to settle the U.S. matter on terms consistent with our accrual and the settlement agreement is pending final court approval.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Takata Matters </w:t>
      </w:r>
      <w:r>
        <w:rPr>
          <w:rFonts w:ascii="Times New Roman;sans-serif" w:hAnsi="Times New Roman;sans-serif"/>
          <w:b w:val="false"/>
          <w:color w:val="000000"/>
          <w:sz w:val="20"/>
        </w:rPr>
        <w:t>In November 2020, the National Highway Traffic Safety Administration (NHTSA) directed that we replace the Takata airbag inflators in 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March 31, 2025, our remaining accrual for these matters was $545 million, and we believe the currently accrued amount remains reasonable.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U.S. court granted class certification as to a Louisiana claim, but denied certification as to seven other states. At this stage of these proceedings, we are unable to provide an estimate of the amounts or range of reasonably possible material loss.</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color w:val="000000"/>
          <w:sz w:val="20"/>
        </w:rPr>
        <w:t>ARC Matters</w:t>
      </w:r>
      <w:r>
        <w:rPr>
          <w:color w:val="000000"/>
        </w:rPr>
        <w:t xml:space="preserve"> </w:t>
      </w:r>
      <w:r>
        <w:rPr>
          <w:rFonts w:ascii="Times New Roman;sans-serif" w:hAnsi="Times New Roman;sans-serif"/>
          <w:b w:val="false"/>
          <w:color w:val="000000"/>
          <w:sz w:val="20"/>
        </w:rPr>
        <w:t>In May 2023, we initiated a voluntary recall covering nearly one million 2014–2017 model year Buick Enclave, Chevrolet Traverse and 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Chevrolet Bolt Recall </w:t>
      </w:r>
      <w:r>
        <w:rPr>
          <w:rFonts w:ascii="Times New Roman;sans-serif" w:hAnsi="Times New Roman;sans-serif"/>
          <w:b w:val="false"/>
          <w:color w:val="000000"/>
          <w:sz w:val="20"/>
        </w:rPr>
        <w:t>In July 2021, we initiated a voluntary recall for certain 2017–2019 model year Chevrolet Bolt EVs due to the risk that two 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and LGES (collectively, LG), have agreed to reimburse GM for certain costs and expenses associated with the recall. The commercial negotiations with LG also resolved other commercial matters associated with our Ultium Cells Holdings LLC joint venture with LGES. Accordingly, as of March 31, 2025, we had accrued a total of $2.6 billion and recognized receivables totaling $1.6 billion in connection with these matters. At March 31, 2025, our remaining accrual for these matters was $0.2 billion. These charges reflect our current best estimate for the cost of the recall remedy, which includes non-traditional recall remedies provided by GM to enhance customer satisfaction. The actual costs of the recall could be materially higher or lower.</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agreement is pending final court approval.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Privacy and Consumer Protection Matters </w:t>
      </w:r>
      <w:r>
        <w:rPr>
          <w:rFonts w:ascii="Times New Roman;sans-serif" w:hAnsi="Times New Roman;sans-serif"/>
          <w:b w:val="false"/>
          <w:color w:val="000000"/>
          <w:sz w:val="20"/>
        </w:rPr>
        <w:t>There are putative class actions pending against GM in federal courts in the U.S. alleging violations of state 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several states have filed enforcement lawsuits against us, and other state attorneys general have opened investigations or made inquiries of us relating to these alleged consumer protection and privacy issues. The Company resolved a Federal Trade Commission investigation through an agreed administrative consent order. The Company is defending litigation filed against us and fully cooperating with agencies and attorneys general that are conducting investigations. At this stage, we are not able to estimate any reasonably possible or probable material loss or range of loss that may result from these actions.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Product Liability and Breach of Warranty </w:t>
      </w:r>
      <w:r>
        <w:rPr>
          <w:rFonts w:ascii="Times New Roman;sans-serif" w:hAnsi="Times New Roman;sans-serif"/>
          <w:b w:val="false"/>
          <w:color w:val="000000"/>
          <w:sz w:val="20"/>
        </w:rPr>
        <w:t>We record liabilities related to product liability claims in Accrued liabilities and Other liabilities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breach of warranty claims resulting from state and federal consumer protection laws that allow consumers to hold manufacturers legally responsible in situations where a product cannot be conformed to its warranties. Consumer relief can include, but is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Guarantees </w:t>
      </w:r>
      <w:r>
        <w:rPr>
          <w:rFonts w:ascii="Times New Roman;sans-serif" w:hAnsi="Times New Roman;sans-serif"/>
          <w:b w:val="false"/>
          <w:color w:val="000000"/>
          <w:sz w:val="20"/>
        </w:rPr>
        <w:t xml:space="preserve">We enter into indemnification agreements for liability claims involving products manufactured primarily by certain joint ventures. These guarantees terminate in years ranging from 2025 to 2030, or upon the occurrence of specific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are ongoing. We believe that the related potential costs incurred are adequately covered by our recorded accruals, which are insignificant. The maximum future undiscounted payments mainly based on royalties received associated with vehicles sold to date were $3.7 billion for these guarantees at March 31, 2025 and December 31, 2024, the majority of which relates to the indemnification agreements.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Supplier Finance Programs </w:t>
      </w:r>
      <w:r>
        <w:rPr>
          <w:rFonts w:ascii="Times New Roman;sans-serif" w:hAnsi="Times New Roman;sans-serif"/>
          <w:b w:val="false"/>
          <w:color w:val="000000"/>
          <w:sz w:val="20"/>
        </w:rPr>
        <w:t>Third-party finance providers offer certain suppliers the option for payment in advance of their invoice due date through 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$1.5 billion and $0.9 billion at March 31, 2025 and December 31, 2024, which are recorded in Accounts payable (principally trade).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Indirect Tax-Related Matters</w:t>
      </w:r>
      <w:r>
        <w:rPr>
          <w:color w:val="000000"/>
        </w:rPr>
        <w:t xml:space="preserve"> </w:t>
      </w:r>
      <w:r>
        <w:rPr>
          <w:rFonts w:ascii="Times New Roman;sans-serif" w:hAnsi="Times New Roman;sans-serif"/>
          <w:b w:val="false"/>
          <w:color w:val="000000"/>
          <w:sz w:val="20"/>
        </w:rPr>
        <w:t>Tax matters not subject to the provision of Accounting Standards Codification 740, "Income Taxes" that pertain to value added taxes, customs, duties, sales tax, property taxes and other non-income tax exposures are evaluated globally. For indirect tax-related matters, we estimate our reasonably possible loss in excess of amounts accrued to be up to $5.9 billion at March 31, 2025. Certain indirect tax-related administrative proceedings may require that we deposit funds in escrow or provide an alternative form of security. We are not able to estimate the timing or amount of potential deposits and currently believe any required amounts will not be material.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Emissions-Related Uncertainties </w:t>
      </w:r>
      <w:r>
        <w:rPr>
          <w:rFonts w:ascii="Times New Roman;sans-serif" w:hAnsi="Times New Roman;sans-serif"/>
          <w:b w:val="false"/>
          <w:color w:val="000000"/>
          <w:sz w:val="20"/>
        </w:rPr>
        <w:t>We are subject to state and federal governmental regulations, as well as regulations from governments outside of the U.S., relating to fuel economy standards and greenhouse gas (GHG) emissions. Based on our current and forecasted sales mix, we expect in the near-term to have shortfalls in complying with current U.S. regulations. There are several methods to comply with these regulations that we have utilized and may continue to utilize, including, but not limited to, increasing production and sales of certain vehicles, such as EVs; curtailing production of certain vehicles, such as internal combustion engine (ICE) vehicles; certain technology changes; payment of corporate average fuel economy (CAFE) penalties; and/or the purchase of CAFE and GHG credits from third parties. There is uncertainty around the future availability of credits and consumer demand for EVs, each of which could impact our ability to comply with these regulations. In addition, the U.S. Government has indicated it may take action to reduce the stringency and/or scope of these regulations, which could improve our compliance position. Under current regulations, shortfalls to the emissions and fuel economy standards could result in legal or regulatory proceedings, the recall or decertification of one or more of our products, negotiated remedial actions, fines and penalties, and/or restricted product offerings. In the three months ended March 31, 2025 and 2024, we recorded compliance-related costs of $0.2 billion in Automotive and other costs of sales. Additional compliance costs, including potential fines and penalties, are not reasonably estimable and could be substantial.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15.</w:t>
      </w:r>
      <w:r>
        <w:rPr>
          <w:color w:val="000000"/>
        </w:rPr>
        <w:t xml:space="preserve"> </w:t>
      </w: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In the three months ended March 31, 2025 and 2024, Income tax expense of $719 million and $762 million was </w:t>
      </w:r>
      <w:r>
        <w:rPr>
          <w:rFonts w:ascii="Times New Roman;sans-serif" w:hAnsi="Times New Roman;sans-serif"/>
          <w:b w:val="false"/>
          <w:color w:val="000000"/>
          <w:sz w:val="20"/>
          <w:shd w:fill="FFFFFF" w:val="clear"/>
        </w:rPr>
        <w:t xml:space="preserve">primarily due to </w:t>
      </w:r>
      <w:r>
        <w:rPr>
          <w:rFonts w:ascii="Times New Roman;sans-serif" w:hAnsi="Times New Roman;sans-serif"/>
          <w:b w:val="false"/>
          <w:color w:val="000000"/>
          <w:sz w:val="20"/>
        </w:rPr>
        <w:t>tax expense attributable to entities included in our effective tax rate calculation.</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Restructuring and Other Initiatives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generally recorded at the communication date. Related charges are recorded in Automotive and other cost of sales and Automotive and other selling, general and administrative expense.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reserves and charges related to restructuring and other initiatives, including postemployment benefit reserves and charges: </w:t>
      </w:r>
    </w:p>
    <w:tbl>
      <w:tblPr>
        <w:tblW w:w="7690" w:type="dxa"/>
        <w:jc w:val="left"/>
        <w:tblInd w:w="0" w:type="dxa"/>
        <w:tblLayout w:type="fixed"/>
        <w:tblCellMar>
          <w:top w:w="28" w:type="dxa"/>
          <w:left w:w="28" w:type="dxa"/>
          <w:bottom w:w="28" w:type="dxa"/>
          <w:right w:w="28" w:type="dxa"/>
        </w:tblCellMar>
      </w:tblPr>
      <w:tblGrid>
        <w:gridCol w:w="1581"/>
        <w:gridCol w:w="1389"/>
        <w:gridCol w:w="1394"/>
        <w:gridCol w:w="284"/>
        <w:gridCol w:w="829"/>
        <w:gridCol w:w="146"/>
        <w:gridCol w:w="109"/>
        <w:gridCol w:w="109"/>
        <w:gridCol w:w="109"/>
        <w:gridCol w:w="338"/>
        <w:gridCol w:w="747"/>
        <w:gridCol w:w="174"/>
        <w:gridCol w:w="109"/>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Additions, interest accretion and other</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Revisions to estimates and effect of foreign currency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no charges in the three months ended March 31, 2025 and incurred $160 million in cash outflows resulting from strategic restructuring activities in GMNA related to Buick dealerships. Cumulatively, we have incurred charges of approximately $2.0 billion and cash outflows of $1.5 billion related to this initiative. The remaining $559 million is expected to be paid by the end of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Cruise voluntarily paused all of its driverless, supervised and manual autonomous vehicle (AV) operations in the U.S. while it examined its processes, systems and tools. In conjunction with these actions, Cruise recorded charges before noncontrolling interest of $529 million in the year ended December 31, 2023, which included non-cash restructuring charges of $250 million. In June 2024, Cruise indefinitely delayed the Cruise Origin and recognized primarily non-cash charges before noncontrolling interest of $631 million. In December 2024, in conjunction with GM's announcement of its decision to no longer fund Cruise's robotaxi development work and its plans to combine the Cruise and GM technical efforts to advance autonomous and assisted driving, Cruise recorded net charges before noncontrolling interest of $522 million, which included net non-cash restructuring charges of $173 million. Cumulatively, we have incurred $380 million of cash outflows resulting from these restructuring activities and expect the remaining cash outflows related to these activities of $325 million to be completed by the end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17. Stockholders' Equity and Noncontrolling Interests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have 2.0 billion shares of preferred stock and 5.0 billion shares of common stock authorized for issuance. We had no shares of preferred stock issued and outstanding at March 31, 2025 and December 31, 2024. We had 966 million and 995 million shares of common stock issued and outstanding at March 31, 2025 and December 31, 2024.</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Holders of our common stock are entitled to dividends at the sole discretion of our Board of Directors. Our total dividends paid on common stock were $116 million and $139 million for the three months ended March 31, 2025 and 2024.</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shd w:fill="FFFFFF" w:val="clear"/>
        </w:rPr>
        <w:t xml:space="preserve">In February 2025, our Board of Directors increased the capacity under our existing share repurchase program by $6.0 billion to an aggregate of $6.3 billion and approved an accelerated share repurchase (ASR) program to repurchase an aggregate amount of $2.0 billion of our common stock. In February 2025, pursuant to the agreements entered into in connection with the ASR (collectively, the ASR Agreements), we advanced the $2.0 billion and received an initial delivery of approximately 33 million shares of our common stock with a value of $1.6 billion, which were immediately retired. The remaining $400 million of the prepayment of the ASR program was treated as an unsettled forward contract and was classified as a reduction to Additional paid-in capital within the condensed consolidated statement of equity at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The final number of shares </w:t>
      </w:r>
      <w:r>
        <w:rPr>
          <w:rFonts w:ascii="Times New Roman;sans-serif" w:hAnsi="Times New Roman;sans-serif"/>
          <w:b w:val="false"/>
          <w:color w:val="000000"/>
          <w:sz w:val="20"/>
        </w:rPr>
        <w:t xml:space="preserve">received under the ASR program will be based </w:t>
      </w:r>
      <w:r>
        <w:rPr>
          <w:rFonts w:ascii="Times New Roman;sans-serif" w:hAnsi="Times New Roman;sans-serif"/>
          <w:b w:val="false"/>
          <w:color w:val="000000"/>
          <w:sz w:val="20"/>
          <w:shd w:fill="FFFFFF" w:val="clear"/>
        </w:rPr>
        <w:t xml:space="preserve">on the average of the daily volume-weighted average prices of our common stock during the term of the ASR Agreements, less a discount pursuant to the terms and conditions of the ASR Agreements, and is expected to occur no later than June 30, 2025.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2025 and 2024, in addition to shares received under an ASR program, we repurchased an insignificant amount and 8 million shares of our outstanding common stock for $331 million. </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color w:val="000000"/>
          <w:sz w:val="20"/>
        </w:rPr>
        <w:t>Cruise Common and Preferred Shares</w:t>
      </w:r>
      <w:r>
        <w:rPr>
          <w:color w:val="000000"/>
        </w:rPr>
        <w:t xml:space="preserve"> </w:t>
      </w:r>
      <w:r>
        <w:rPr>
          <w:rFonts w:ascii="Times New Roman;sans-serif" w:hAnsi="Times New Roman;sans-serif"/>
          <w:b w:val="false"/>
          <w:color w:val="000000"/>
          <w:sz w:val="20"/>
        </w:rPr>
        <w:t xml:space="preserve">In February 2025, we acquired all of the Cruise common shares and Cruise Class F and Class G Preferred Shares held by noncontrolling shareholders for an insignificant amount. We have completed the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compensating a majority of the former Cruise shareholders. During the three months ended March 31, 2025, the effect on the equity attributable to us for changes in our ownership interest in Cruise was insignificant for Cruise common shares.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net income attributable to shareholders and transfers to the noncontrolling interest in Cruise and other subsidiaries were $3.3 billion, which includes a $538 million increase in equity attributable to us, mainly due to the redemption of Cruise preferred shares.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significant components of Accumulated other comprehensive loss: </w:t>
      </w:r>
    </w:p>
    <w:tbl>
      <w:tblPr>
        <w:tblW w:w="10205" w:type="dxa"/>
        <w:jc w:val="left"/>
        <w:tblInd w:w="0" w:type="dxa"/>
        <w:tblLayout w:type="fixed"/>
        <w:tblCellMar>
          <w:top w:w="28" w:type="dxa"/>
          <w:left w:w="28" w:type="dxa"/>
          <w:bottom w:w="28" w:type="dxa"/>
          <w:right w:w="28" w:type="dxa"/>
        </w:tblCellMar>
      </w:tblPr>
      <w:tblGrid>
        <w:gridCol w:w="2513"/>
        <w:gridCol w:w="2129"/>
        <w:gridCol w:w="2134"/>
        <w:gridCol w:w="109"/>
        <w:gridCol w:w="109"/>
        <w:gridCol w:w="109"/>
        <w:gridCol w:w="109"/>
        <w:gridCol w:w="131"/>
        <w:gridCol w:w="131"/>
        <w:gridCol w:w="254"/>
        <w:gridCol w:w="813"/>
        <w:gridCol w:w="131"/>
        <w:gridCol w:w="109"/>
        <w:gridCol w:w="109"/>
        <w:gridCol w:w="109"/>
        <w:gridCol w:w="243"/>
        <w:gridCol w:w="781"/>
        <w:gridCol w:w="182"/>
      </w:tblGrid>
      <w:tr>
        <w:trPr/>
        <w:tc>
          <w:tcPr>
            <w:tcW w:w="2513"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33" w:type="dxa"/>
            <w:gridSpan w:val="6"/>
            <w:tcBorders/>
          </w:tcPr>
          <w:p>
            <w:pPr>
              <w:pStyle w:val="TableContents"/>
              <w:bidi w:val="0"/>
              <w:spacing w:before="0" w:after="283"/>
              <w:jc w:val="left"/>
              <w:rPr>
                <w:sz w:val="4"/>
                <w:szCs w:val="4"/>
              </w:rPr>
            </w:pPr>
            <w:r>
              <w:rPr>
                <w:sz w:val="4"/>
                <w:szCs w:val="4"/>
              </w:rPr>
            </w:r>
          </w:p>
        </w:tc>
      </w:tr>
      <w:tr>
        <w:trPr/>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and noncontrolling interests, net of reclassification adjustment and tax(a)(b)(c)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Defined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and noncontrolling interests before reclassification adjustment, net of tax(a)(c)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net of tax(c)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(7,589)</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(a)The noncontrolling interests were insignificant in the three months ended March 31, 2025 and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(b)The reclassification adjustment was insignificant in the three months ended March 31, 2025 and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(c)The income tax effect was insignificant in the three months ended March 31, 2025 and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(d)Primarily consists of unamortized actuarial loss on our defined benefit plans. Refer to Note 2. Significant Accounting Policies of our 2024 Form 10-K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Earnings Per Share</w:t>
      </w:r>
    </w:p>
    <w:tbl>
      <w:tblPr>
        <w:tblW w:w="8666" w:type="dxa"/>
        <w:jc w:val="left"/>
        <w:tblInd w:w="0" w:type="dxa"/>
        <w:tblLayout w:type="fixed"/>
        <w:tblCellMar>
          <w:top w:w="28" w:type="dxa"/>
          <w:left w:w="28" w:type="dxa"/>
          <w:bottom w:w="28" w:type="dxa"/>
          <w:right w:w="28" w:type="dxa"/>
        </w:tblCellMar>
      </w:tblPr>
      <w:tblGrid>
        <w:gridCol w:w="1934"/>
        <w:gridCol w:w="1696"/>
        <w:gridCol w:w="1710"/>
        <w:gridCol w:w="284"/>
        <w:gridCol w:w="829"/>
        <w:gridCol w:w="146"/>
        <w:gridCol w:w="109"/>
        <w:gridCol w:w="109"/>
        <w:gridCol w:w="109"/>
        <w:gridCol w:w="284"/>
        <w:gridCol w:w="829"/>
        <w:gridCol w:w="146"/>
        <w:gridCol w:w="109"/>
        <w:gridCol w:w="109"/>
        <w:gridCol w:w="109"/>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stockholders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Adjustments(a)</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 – diluted</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awards under stock incentive plans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securities(b)</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(a)Includes a $593 million return from the preferred shareholders related to the redemption of Cruise preferred shares from noncontrolling interest holders in the three months ended March 31, 2025 and an insignificant amount in participating securities income from a subsidiary for the three months ended March 31, 2025 and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(b)Potentially dilutive securities attributable to outstanding stock options, Performance Stock Units (PSUs) and Restricted Stock Units (RSUs) at March 31, 2025 and 2024, were excluded from the computation of diluted earnings per share (EPS) because the securities would have had an antidilutive effect.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19. Segment Reporting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decision-maker, who is Chair and Chief Executive Officer, analyzes the results of our business through the following reportable segments: GMNA, GMI, Cruise and GM Financial. Our chief operating decision-maker evaluates the operating results and performance of our Automotive segments and Cruise through earnings before interest and income taxes (EBIT)-adjusted, which is presented net of noncontrolling interests. Our chief operating decision-maker evaluates GM Financial through earnings before income taxes-adjusted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GMNA meets the demands of customers in North America and GMI primarily meets the demands of customers outside North America with vehicles developed, manufactured and/or marketed under the Buick, Cadillac, Chevrolet and GMC brands.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have equity ownership stakes in entities that meet the demands of customers in other countries, primarily China, with vehicles developed, manufactured and/or marketed under the Baojun, Buick, Cadillac, Chevrolet and Wuling brands. Our Cruise business was pursuing the development and commercialization of AV technology until, in December 2024, we announced plans to refocus our autonomous driving strategy on personal vehicles and no longer fund Cruise's robotaxi development work. Cruise activity includes ongoing costs to be incurred related to the wind down of the robotaxi business. We have combined the GM and Cruise ongoing personal autonomous technical efforts in our GMNA Automotive segment. We provide automotive financing services through our GM Financial segment.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key financial information by segment:</w:t>
      </w:r>
    </w:p>
    <w:tbl>
      <w:tblPr>
        <w:tblW w:w="11751" w:type="dxa"/>
        <w:jc w:val="left"/>
        <w:tblInd w:w="0" w:type="dxa"/>
        <w:tblLayout w:type="fixed"/>
        <w:tblCellMar>
          <w:top w:w="28" w:type="dxa"/>
          <w:left w:w="28" w:type="dxa"/>
          <w:bottom w:w="28" w:type="dxa"/>
          <w:right w:w="28" w:type="dxa"/>
        </w:tblCellMar>
      </w:tblPr>
      <w:tblGrid>
        <w:gridCol w:w="732"/>
        <w:gridCol w:w="181"/>
        <w:gridCol w:w="183"/>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96"/>
        <w:gridCol w:w="109"/>
        <w:gridCol w:w="109"/>
        <w:gridCol w:w="109"/>
        <w:gridCol w:w="109"/>
        <w:gridCol w:w="181"/>
        <w:gridCol w:w="616"/>
        <w:gridCol w:w="109"/>
        <w:gridCol w:w="109"/>
        <w:gridCol w:w="109"/>
        <w:gridCol w:w="109"/>
        <w:gridCol w:w="181"/>
        <w:gridCol w:w="406"/>
        <w:gridCol w:w="109"/>
        <w:gridCol w:w="109"/>
        <w:gridCol w:w="109"/>
        <w:gridCol w:w="109"/>
        <w:gridCol w:w="181"/>
        <w:gridCol w:w="616"/>
        <w:gridCol w:w="109"/>
        <w:gridCol w:w="109"/>
        <w:gridCol w:w="109"/>
        <w:gridCol w:w="109"/>
        <w:gridCol w:w="264"/>
        <w:gridCol w:w="702"/>
        <w:gridCol w:w="160"/>
        <w:gridCol w:w="109"/>
        <w:gridCol w:w="109"/>
        <w:gridCol w:w="109"/>
        <w:gridCol w:w="181"/>
        <w:gridCol w:w="61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At and For the Three Months Ended March 31,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sales and revenue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Segment expenses and other items(a)</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Adjustments(b)</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Earnings (loss) before interest and taxes-adjusted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Adjustments(b)</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Automotive interest income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Automotive interest expense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 attributable to noncontrolling interests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(loss) before income taxes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benefit (expense)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 attributable to noncontrolling interests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 attributable to stockholders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in net assets of nonconsolidated affiliates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 and intangibles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income (loss)(c)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4"/>
          <w:shd w:fill="FFFFFF" w:val="clear"/>
        </w:rPr>
        <w:t>(a)</w:t>
      </w:r>
      <w:r>
        <w:rPr>
          <w:rFonts w:ascii="Times New Roman;sans-serif" w:hAnsi="Times New Roman;sans-serif"/>
          <w:b w:val="false"/>
          <w:color w:val="000000"/>
          <w:sz w:val="14"/>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ongoing costs incurred related to the wind down of Cruise robotaxi activities.</w:t>
      </w:r>
    </w:p>
    <w:p>
      <w:pPr>
        <w:pStyle w:val="TextBody"/>
        <w:bidi w:val="0"/>
        <w:spacing w:lineRule="auto" w:line="288" w:before="0" w:after="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(b)Consists of charges for strategic activities related to the headquarters relocation in Corporate. </w:t>
      </w:r>
    </w:p>
    <w:p>
      <w:pPr>
        <w:pStyle w:val="TextBody"/>
        <w:bidi w:val="0"/>
        <w:spacing w:lineRule="auto" w:line="288" w:before="0" w:after="0"/>
        <w:ind w:left="0" w:right="0" w:hanging="360"/>
        <w:jc w:val="both"/>
        <w:rPr/>
      </w:pPr>
      <w:r>
        <w:rPr>
          <w:rFonts w:ascii="Times New Roman;sans-serif" w:hAnsi="Times New Roman;sans-serif"/>
          <w:b w:val="false"/>
          <w:color w:val="000000"/>
          <w:sz w:val="14"/>
        </w:rPr>
        <w:t>(c)Equity earnings related to Ultium Cells Holdings LLC are presented in Automotive and other cost of sales as this entity is integral to the operations of our business by providing battery cells for our EVs. Refer t</w:t>
      </w:r>
      <w:r>
        <w:rPr>
          <w:rFonts w:ascii="Times New Roman;sans-serif" w:hAnsi="Times New Roman;sans-serif"/>
          <w:b w:val="false"/>
          <w:color w:val="000000"/>
          <w:sz w:val="14"/>
          <w:shd w:fill="FFFFFF" w:val="clear"/>
        </w:rPr>
        <w:t xml:space="preserve">o </w:t>
      </w:r>
      <w:r>
        <w:rPr>
          <w:rFonts w:ascii="Times New Roman;sans-serif" w:hAnsi="Times New Roman;sans-serif"/>
          <w:b w:val="false"/>
          <w:color w:val="000000"/>
          <w:sz w:val="14"/>
        </w:rPr>
        <w:t>Note 7</w:t>
      </w:r>
      <w:r>
        <w:rPr>
          <w:color w:val="000000"/>
          <w:shd w:fill="FFFFFF" w:val="clear"/>
        </w:rPr>
        <w:t xml:space="preserve"> </w:t>
      </w:r>
      <w:r>
        <w:rPr>
          <w:rFonts w:ascii="Times New Roman;sans-serif" w:hAnsi="Times New Roman;sans-serif"/>
          <w:b w:val="false"/>
          <w:color w:val="000000"/>
          <w:sz w:val="14"/>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tbl>
      <w:tblPr>
        <w:tblW w:w="11811" w:type="dxa"/>
        <w:jc w:val="left"/>
        <w:tblInd w:w="0" w:type="dxa"/>
        <w:tblLayout w:type="fixed"/>
        <w:tblCellMar>
          <w:top w:w="28" w:type="dxa"/>
          <w:left w:w="28" w:type="dxa"/>
          <w:bottom w:w="28" w:type="dxa"/>
          <w:right w:w="28" w:type="dxa"/>
        </w:tblCellMar>
      </w:tblPr>
      <w:tblGrid>
        <w:gridCol w:w="732"/>
        <w:gridCol w:w="181"/>
        <w:gridCol w:w="183"/>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96"/>
        <w:gridCol w:w="109"/>
        <w:gridCol w:w="109"/>
        <w:gridCol w:w="109"/>
        <w:gridCol w:w="109"/>
        <w:gridCol w:w="181"/>
        <w:gridCol w:w="616"/>
        <w:gridCol w:w="109"/>
        <w:gridCol w:w="109"/>
        <w:gridCol w:w="109"/>
        <w:gridCol w:w="109"/>
        <w:gridCol w:w="181"/>
        <w:gridCol w:w="466"/>
        <w:gridCol w:w="109"/>
        <w:gridCol w:w="109"/>
        <w:gridCol w:w="109"/>
        <w:gridCol w:w="109"/>
        <w:gridCol w:w="181"/>
        <w:gridCol w:w="616"/>
        <w:gridCol w:w="109"/>
        <w:gridCol w:w="109"/>
        <w:gridCol w:w="109"/>
        <w:gridCol w:w="109"/>
        <w:gridCol w:w="264"/>
        <w:gridCol w:w="702"/>
        <w:gridCol w:w="160"/>
        <w:gridCol w:w="109"/>
        <w:gridCol w:w="109"/>
        <w:gridCol w:w="109"/>
        <w:gridCol w:w="181"/>
        <w:gridCol w:w="61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At and For the Three Months Ended March 31, 2024</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sales and revenue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Segment expenses and other items(a)</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Adjustments(b)</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Earnings (loss) before interest and taxes-adjusted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Adjustments(b)</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Automotive interest income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Automotive interest expense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 attributable to noncontrolling interests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(loss) before income taxes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benefit (expense)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 attributable to noncontrolling interests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 attributable to stockholders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in net assets of nonconsolidated affiliates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 and intangibles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income (loss)(c)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(a)Segment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people-related costs.</w:t>
      </w:r>
    </w:p>
    <w:p>
      <w:pPr>
        <w:pStyle w:val="TextBody"/>
        <w:bidi w:val="0"/>
        <w:spacing w:lineRule="auto" w:line="288" w:before="0" w:after="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(b)Consists of charges for strategic activities related to Buick dealerships in GMNA.</w:t>
      </w:r>
    </w:p>
    <w:p>
      <w:pPr>
        <w:pStyle w:val="TextBody"/>
        <w:bidi w:val="0"/>
        <w:spacing w:lineRule="auto" w:line="288" w:before="0" w:after="0"/>
        <w:ind w:left="0" w:right="0" w:hanging="360"/>
        <w:jc w:val="both"/>
        <w:rPr/>
      </w:pPr>
      <w:r>
        <w:rPr>
          <w:rFonts w:ascii="Times New Roman;sans-serif" w:hAnsi="Times New Roman;sans-serif"/>
          <w:b w:val="false"/>
          <w:color w:val="000000"/>
          <w:sz w:val="14"/>
        </w:rPr>
        <w:t>(c)Equity earnings related to Ultium Cells Holdings LLC are presented in Automotive and other cost of sales as this entity is integral to the operations of our business by providing battery cells for our EVs. Refer to</w:t>
      </w:r>
      <w:r>
        <w:rPr>
          <w:color w:val="000000"/>
          <w:shd w:fill="FFFFFF" w:val="clear"/>
        </w:rPr>
        <w:t xml:space="preserve"> </w:t>
      </w:r>
      <w:r>
        <w:rPr>
          <w:rFonts w:ascii="Times New Roman;sans-serif" w:hAnsi="Times New Roman;sans-serif"/>
          <w:b w:val="false"/>
          <w:color w:val="000000"/>
          <w:sz w:val="14"/>
        </w:rPr>
        <w:t>Note 7</w:t>
      </w:r>
      <w:r>
        <w:rPr>
          <w:color w:val="000000"/>
          <w:shd w:fill="FFFFFF" w:val="clear"/>
        </w:rPr>
        <w:t xml:space="preserve"> </w:t>
      </w:r>
      <w:r>
        <w:rPr>
          <w:rFonts w:ascii="Times New Roman;sans-serif" w:hAnsi="Times New Roman;sans-serif"/>
          <w:b w:val="false"/>
          <w:color w:val="000000"/>
          <w:sz w:val="14"/>
        </w:rPr>
        <w:t>for additional information.</w:t>
      </w:r>
    </w:p>
    <w:tbl>
      <w:tblPr>
        <w:tblW w:w="59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7" w:type="dxa"/>
            <w:gridSpan w:val="4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59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7" w:type="dxa"/>
            <w:gridSpan w:val="4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Basis of Presentation </w:t>
      </w:r>
      <w:r>
        <w:rPr>
          <w:rFonts w:ascii="Times New Roman;sans-serif" w:hAnsi="Times New Roman;sans-serif"/>
          <w:b w:val="false"/>
          <w:color w:val="000000"/>
          <w:sz w:val="20"/>
        </w:rPr>
        <w:t>This Management's Discussion and Analysis of Financial Condition and Results of Operations (MD&amp;A) should be read in conjunction with the accompanying condensed consolidated financial statements and the notes thereto, and the audited consolidated financial statements and notes thereto included in our 2024 Form 10-K.</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MD&amp;A are not guarantees of future performance and may involve risks and uncertainties that could cause actual results to differ materially from those projected. Refer to the "Forward-Looking Statements" section of this MD&amp;A and Part I, Item 1A. Risk Factors of our 2024 Form 10-K for a discussion of these risks and uncertainties. Except for per share amounts or as otherwise specified, dollar amounts presented within tables are stated in millions. Certain columns and rows may not add due to rounding.</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Overview </w:t>
      </w:r>
      <w:r>
        <w:rPr>
          <w:rFonts w:ascii="Times New Roman;sans-serif" w:hAnsi="Times New Roman;sans-serif"/>
          <w:b w:val="false"/>
          <w:color w:val="000000"/>
          <w:sz w:val="20"/>
        </w:rPr>
        <w:t>Our vision for the future is a world with zero crashes, zero emissions and zero congestion. We will adapt to customer preferences while executing our growth-focused strategy to invest in EVs, hybrids, personal AV technology, software-enabled services and other new business opportunities. To support strong margins and cash flow during this transition, we continue to strengthen our market position in profitable ICE vehicles, such as trucks and SUVs. We plan to execute our strategy with a steadfast commitment to good corporate citizenship through more sustainable operations and a leading health and safety culture.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performance continues to be driven by the strength of our vehicle portfolio including high margin full-size pickup trucks and SUVs, strong consumer demand for our products and the execution of our core business strategy. We remain focused on maintaining an efficient cost structure and pricing discipline. We continue to prioritize driving down costs and building scale in our EV portfolio to improve profitability. In February 2025, we completed the acquisition of the noncontrolling interests in Cruise and are prioritizing the development of ADAS on a path to fully autonomous personal vehicles. We are monitoring industry pricing pressures, changing interest rates, inflation, warranty claims, consumer demand trends, potential changes to the regulatory environment, including with respect to fuel economy standards, GHG emissions regulations, corporate taxes and EV incentives.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the U.S. Government announced new tariffs, inclusive of vehicles and parts imported into the U.S. The tariff environment remains highly dynamic and the specific tariffs applicable to goods imported by GM and its suppliers into the U.S., including under the U.S.-Mexico-Canada Agreement, continue to evolve, as do import tariffs charged by other countries. Based on the current tariff environment, we estimate that impacts to EBIT-adjusted could range from $4.0 billion to $5.0 billion for the year ending December 31, 2025. Refer to Part II, Item 1A. Risk Factors for a full discussion of the risks associated with the U.S. tariff environment.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Refer to Part I, Item 1A. Risk Factors in our 2024 Form 10-K for a discussion of these challenges.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ending December 31, 2025, we expect Net income attributable to stockholders of between $8.2 billion and $10.1 billion, EBIT-adjusted of between $10.0 billion and $12.5 billion, EPS-diluted of between $8.82 and $10.57 and EPS-diluted-adjusted of between $8.25 and $10.00. Refer to the "Non-GAAP Measures" section of this MD&amp;A for additional information.</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expected Net income attributable to stockholders to expected EBIT-adjusted (dollars in billions):</w:t>
      </w:r>
    </w:p>
    <w:tbl>
      <w:tblPr>
        <w:tblW w:w="6052" w:type="dxa"/>
        <w:jc w:val="left"/>
        <w:tblInd w:w="0" w:type="dxa"/>
        <w:tblLayout w:type="fixed"/>
        <w:tblCellMar>
          <w:top w:w="28" w:type="dxa"/>
          <w:left w:w="28" w:type="dxa"/>
          <w:bottom w:w="28" w:type="dxa"/>
          <w:right w:w="28" w:type="dxa"/>
        </w:tblCellMar>
      </w:tblPr>
      <w:tblGrid>
        <w:gridCol w:w="1207"/>
        <w:gridCol w:w="1060"/>
        <w:gridCol w:w="1063"/>
        <w:gridCol w:w="109"/>
        <w:gridCol w:w="109"/>
        <w:gridCol w:w="732"/>
        <w:gridCol w:w="732"/>
        <w:gridCol w:w="1040"/>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Year Ending 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$ 8.2-10.1</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$ 10.0-12.5</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(a)Refer to the reconciliation of Net income (loss) attributable to stockholders to EBIT-adjusted within the MD&amp;A for adjustment details. These expected financial results do not include the potential impact of future adjustments related to special items.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The following table reconciles expected EPS-diluted to expected EPS-diluted-adjusted</w:t>
      </w:r>
      <w:r>
        <w:rPr>
          <w:rFonts w:ascii="Times New Roman;sans-serif" w:hAnsi="Times New Roman;sans-serif"/>
          <w:b w:val="false"/>
          <w:color w:val="000000"/>
          <w:sz w:val="18"/>
        </w:rPr>
        <w:t>:</w:t>
      </w:r>
    </w:p>
    <w:tbl>
      <w:tblPr>
        <w:tblW w:w="5706" w:type="dxa"/>
        <w:jc w:val="left"/>
        <w:tblInd w:w="0" w:type="dxa"/>
        <w:tblLayout w:type="fixed"/>
        <w:tblCellMar>
          <w:top w:w="28" w:type="dxa"/>
          <w:left w:w="28" w:type="dxa"/>
          <w:bottom w:w="28" w:type="dxa"/>
          <w:right w:w="28" w:type="dxa"/>
        </w:tblCellMar>
      </w:tblPr>
      <w:tblGrid>
        <w:gridCol w:w="1080"/>
        <w:gridCol w:w="950"/>
        <w:gridCol w:w="954"/>
        <w:gridCol w:w="109"/>
        <w:gridCol w:w="109"/>
        <w:gridCol w:w="732"/>
        <w:gridCol w:w="732"/>
        <w:gridCol w:w="1040"/>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Year Ending December 31, 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$ 8.82-10.57</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EPS-diluted-adjusted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$ 8.25-10.00</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(a)Refer to the reconciliation of diluted earnings per common share to EPS-diluted-adjusted within the MD&amp;A for adjustment details. These expected financial results do not include the potential impact of future adjustments related to special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GMNA </w:t>
      </w:r>
      <w:r>
        <w:rPr>
          <w:rFonts w:ascii="Times New Roman;sans-serif" w:hAnsi="Times New Roman;sans-serif"/>
          <w:b w:val="false"/>
          <w:color w:val="000000"/>
          <w:sz w:val="20"/>
        </w:rPr>
        <w:t>Industry sales in North America were 5.0 million units in the three months ended March 31, 2025, representing an increase of 4.7% compared to the corresponding period in 2024. U.S. industry sales were 4.0 million units in the three months ended March 31, 2025, representing an increase of 4.6% compared to the corresponding period in 2024.</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Our total vehicle sales in the U.S., our largest market in North America, were 0.7 million units for market share of 17.2% in the three months ended March 31, 2025, representing an increase of 1.8 percentage points compared to the corresponding period in 2024.</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achieved strong margins in the three months ended March 31, 2025 driven by the strength of our product portfolio and ongoing cost discipline. However, the evolving tariff and policy landscape could have a material impact on our profitability going forward. We remain focused on improving our EV profitability while maintaining our focus on cost. In addition, our outlook is dependent on continued supply chain availability, the resiliency of the U.S. economy and overall economic conditions, including the imposition of tariffs or other trade restrictions by the U.S. or its trading partners.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GMI </w:t>
      </w:r>
      <w:r>
        <w:rPr>
          <w:rFonts w:ascii="Times New Roman;sans-serif" w:hAnsi="Times New Roman;sans-serif"/>
          <w:b w:val="false"/>
          <w:color w:val="000000"/>
          <w:sz w:val="20"/>
        </w:rPr>
        <w:t>Industry sales in China were 5.8 million units in the three months ended March 31, 2025, representing an increase of 2.9% compared to the corresponding period in 2024. Our total vehicle sales in China were 0.4 million units for market share of 7.6% in the three months ended March 31, 2025, representing a decrease of 0.2 percentage points compared to the corresponding period in 2024. Our Automotive China JVs generated insignificant equity income in the three months ended March 31, 2025. We continue to focus on executing restructuring plans which may result in additional restructuring charges and enhancing the competitiveness of our products in the Chinese market going forward.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China, industry sales were 6.5 million units in the three months ended March 31, 2025, representing an increase of 3.6% compared to the corresponding period in 2024. Our total vehicle sales outside of China were 0.2 million units for market share of 2.9% in the three months ended March 31, 2025, representing a decrease of 0.3 percentage points compared to the corresponding period in 2024.</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Cruise </w:t>
      </w:r>
      <w:r>
        <w:rPr>
          <w:rFonts w:ascii="Times New Roman;sans-serif" w:hAnsi="Times New Roman;sans-serif"/>
          <w:b w:val="false"/>
          <w:color w:val="000000"/>
          <w:sz w:val="20"/>
          <w:shd w:fill="FFFFFF" w:val="clear"/>
        </w:rPr>
        <w:t>Our Cruise business was pursuing the development and robotaxi commercialization of AV technology. In December 2024, we announced plans to refocus our autonomous driving strategy on personal vehicles and no longer fund Cruise's robotaxi development work. In February 2025, we completed the acquisition of the noncontrolling interests in Cruise and began to wind down the Cruise robotaxi operations. In the three months ended March 31, 2025, we combined the GM and Cruise technical efforts to build on the success of Super Cruise and prioritize the development of ADAS on a path to fully autonomous personal vehicles. Such ongoing activities are reflected in our GMNA Automotive segment. Refer to Part I, Item 1A. Risk Factors of our 2024 Form 10-K for a further discussion of the risks associated with Cruise and our AV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Vehicle Sales </w:t>
      </w:r>
      <w:r>
        <w:rPr>
          <w:rFonts w:ascii="Times New Roman;sans-serif" w:hAnsi="Times New Roman;sans-serif"/>
          <w:b w:val="false"/>
          <w:color w:val="000000"/>
          <w:sz w:val="20"/>
        </w:rPr>
        <w:t>The principal factors that determine consumer vehicle preferences in the markets in which we operate include overall vehicle design, price, quality, available options, safety, reliability, fuel economy or range and functionality. Market leadership in individual countries in which we compete varies widely.</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three months ended March 31, 2025, 24.5% of our wholesale vehicle sales volume was generated outside the U.S. The following table summarizes wholesale vehicle sales by our Automotive segments (vehicles in thousands): </w:t>
      </w:r>
    </w:p>
    <w:tbl>
      <w:tblPr>
        <w:tblW w:w="6106" w:type="dxa"/>
        <w:jc w:val="left"/>
        <w:tblInd w:w="0" w:type="dxa"/>
        <w:tblLayout w:type="fixed"/>
        <w:tblCellMar>
          <w:top w:w="28" w:type="dxa"/>
          <w:left w:w="28" w:type="dxa"/>
          <w:bottom w:w="28" w:type="dxa"/>
          <w:right w:w="28" w:type="dxa"/>
        </w:tblCellMar>
      </w:tblPr>
      <w:tblGrid>
        <w:gridCol w:w="255"/>
        <w:gridCol w:w="225"/>
        <w:gridCol w:w="226"/>
        <w:gridCol w:w="233"/>
        <w:gridCol w:w="233"/>
        <w:gridCol w:w="120"/>
        <w:gridCol w:w="120"/>
        <w:gridCol w:w="120"/>
        <w:gridCol w:w="120"/>
        <w:gridCol w:w="307"/>
        <w:gridCol w:w="309"/>
        <w:gridCol w:w="298"/>
        <w:gridCol w:w="109"/>
        <w:gridCol w:w="109"/>
        <w:gridCol w:w="109"/>
        <w:gridCol w:w="233"/>
        <w:gridCol w:w="233"/>
        <w:gridCol w:w="120"/>
        <w:gridCol w:w="120"/>
        <w:gridCol w:w="120"/>
        <w:gridCol w:w="120"/>
        <w:gridCol w:w="307"/>
        <w:gridCol w:w="309"/>
        <w:gridCol w:w="298"/>
        <w:gridCol w:w="109"/>
        <w:gridCol w:w="109"/>
        <w:gridCol w:w="109"/>
        <w:gridCol w:w="109"/>
        <w:gridCol w:w="109"/>
        <w:gridCol w:w="109"/>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GMNA</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GMI</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industry and GM total vehicle sales and our related competitive position by geographic region (vehicles in thousands):</w:t>
      </w:r>
    </w:p>
    <w:tbl>
      <w:tblPr>
        <w:tblW w:w="10205" w:type="dxa"/>
        <w:jc w:val="left"/>
        <w:tblInd w:w="0" w:type="dxa"/>
        <w:tblLayout w:type="fixed"/>
        <w:tblCellMar>
          <w:top w:w="28" w:type="dxa"/>
          <w:left w:w="28" w:type="dxa"/>
          <w:bottom w:w="28" w:type="dxa"/>
          <w:right w:w="28" w:type="dxa"/>
        </w:tblCellMar>
      </w:tblPr>
      <w:tblGrid>
        <w:gridCol w:w="851"/>
        <w:gridCol w:w="636"/>
        <w:gridCol w:w="640"/>
        <w:gridCol w:w="323"/>
        <w:gridCol w:w="323"/>
        <w:gridCol w:w="241"/>
        <w:gridCol w:w="109"/>
        <w:gridCol w:w="109"/>
        <w:gridCol w:w="109"/>
        <w:gridCol w:w="277"/>
        <w:gridCol w:w="279"/>
        <w:gridCol w:w="131"/>
        <w:gridCol w:w="109"/>
        <w:gridCol w:w="109"/>
        <w:gridCol w:w="109"/>
        <w:gridCol w:w="254"/>
        <w:gridCol w:w="234"/>
        <w:gridCol w:w="481"/>
        <w:gridCol w:w="109"/>
        <w:gridCol w:w="109"/>
        <w:gridCol w:w="109"/>
        <w:gridCol w:w="323"/>
        <w:gridCol w:w="323"/>
        <w:gridCol w:w="241"/>
        <w:gridCol w:w="109"/>
        <w:gridCol w:w="109"/>
        <w:gridCol w:w="109"/>
        <w:gridCol w:w="277"/>
        <w:gridCol w:w="279"/>
        <w:gridCol w:w="131"/>
        <w:gridCol w:w="109"/>
        <w:gridCol w:w="109"/>
        <w:gridCol w:w="109"/>
        <w:gridCol w:w="254"/>
        <w:gridCol w:w="234"/>
        <w:gridCol w:w="481"/>
        <w:gridCol w:w="109"/>
        <w:gridCol w:w="109"/>
        <w:gridCol w:w="109"/>
        <w:gridCol w:w="109"/>
        <w:gridCol w:w="109"/>
        <w:gridCol w:w="109"/>
        <w:gridCol w:w="109"/>
        <w:gridCol w:w="109"/>
        <w:gridCol w:w="109"/>
        <w:gridCol w:w="109"/>
        <w:gridCol w:w="109"/>
        <w:gridCol w:w="158"/>
      </w:tblGrid>
      <w:tr>
        <w:trPr/>
        <w:tc>
          <w:tcPr>
            <w:tcW w:w="85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10"/>
            <w:tcBorders/>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8"/>
            <w:tcBorders/>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North America</w:t>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North America</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Asia/Pacific, Middle East and Africa</w:t>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China(a)</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Asia/Pacific, Middle East and Africa</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South America</w:t>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South America</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 GM markets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Europe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Worldwide(b)</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United States</w:t>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Trucks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Crossovers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United States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China(a)</w:t>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SGMS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SGMW</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China</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(a)Includes sales by the Automotive China JVs: SAIC General Motors Sales Co., Ltd. (SGMS) and SAIC GM Wuling Automobile Co., Ltd. (SGMW).</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(b)Cuba, Iran, North Korea, Syria and certain regions of Ukraine are subject to broad economic sanctions. Accordingly, these countries are excluded from industry sales data and corresponding calculation of market share.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tbl>
      <w:tblPr>
        <w:tblW w:w="7347" w:type="dxa"/>
        <w:jc w:val="left"/>
        <w:tblInd w:w="0" w:type="dxa"/>
        <w:tblLayout w:type="fixed"/>
        <w:tblCellMar>
          <w:top w:w="28" w:type="dxa"/>
          <w:left w:w="28" w:type="dxa"/>
          <w:bottom w:w="28" w:type="dxa"/>
          <w:right w:w="28" w:type="dxa"/>
        </w:tblCellMar>
      </w:tblPr>
      <w:tblGrid>
        <w:gridCol w:w="1426"/>
        <w:gridCol w:w="1256"/>
        <w:gridCol w:w="1262"/>
        <w:gridCol w:w="281"/>
        <w:gridCol w:w="281"/>
        <w:gridCol w:w="698"/>
        <w:gridCol w:w="134"/>
        <w:gridCol w:w="134"/>
        <w:gridCol w:w="134"/>
        <w:gridCol w:w="281"/>
        <w:gridCol w:w="281"/>
        <w:gridCol w:w="698"/>
        <w:gridCol w:w="109"/>
        <w:gridCol w:w="109"/>
        <w:gridCol w:w="109"/>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GMNA</w:t>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GMI</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fleet sales</w:t>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Fleet sales as a percentage of total vehicle sales</w:t>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GM Financial </w:t>
      </w:r>
      <w:r>
        <w:rPr>
          <w:rFonts w:ascii="Times New Roman;sans-serif" w:hAnsi="Times New Roman;sans-serif"/>
          <w:b w:val="false"/>
          <w:color w:val="000000"/>
          <w:sz w:val="20"/>
        </w:rPr>
        <w:t>We believe that offering a comprehensive suite of financing products will generate incremental sales of our vehicles, drive incremental GM Financial earnings and help support our sales throughout various economic cycles. GM Financial's penetration of our retail sales in the U.S. was 36% in the three months ended March 31, 2025 and 40% in the corresponding period in 2024. Penetration levels vary depending on incentive financing programs available and competing third-party financing products in the market. GM Financial's prime loan originations as a percentage of total loan originations in North America increased to 81% in the three months ended March 31, 2025 from 79% in the corresponding period in 2024. In the three months ended March 31, 2025, GM Financial's revenue consisted of leased vehicle income of 46%, retail finance charge income of 41% and commercial finance charge income of 8%.</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GM Financial's leasing program is exposed to residual values, which are heavily dependent on used vehicle prices. Gains on terminations of leased vehicles of $0.2 billion were included in GM Financial interest, operating and other expenses for the three months ended March 31, 2025 and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The following table summarizes the estimated residual value based on GM Financial's most recent estimates and the number of units included in GM Financial Equipment on operating leases, net by vehicle type (units in thousands):</w:t>
      </w:r>
    </w:p>
    <w:tbl>
      <w:tblPr>
        <w:tblW w:w="8574" w:type="dxa"/>
        <w:jc w:val="left"/>
        <w:tblInd w:w="0" w:type="dxa"/>
        <w:tblLayout w:type="fixed"/>
        <w:tblCellMar>
          <w:top w:w="28" w:type="dxa"/>
          <w:left w:w="28" w:type="dxa"/>
          <w:bottom w:w="28" w:type="dxa"/>
          <w:right w:w="28" w:type="dxa"/>
        </w:tblCellMar>
      </w:tblPr>
      <w:tblGrid>
        <w:gridCol w:w="364"/>
        <w:gridCol w:w="320"/>
        <w:gridCol w:w="322"/>
        <w:gridCol w:w="240"/>
        <w:gridCol w:w="821"/>
        <w:gridCol w:w="124"/>
        <w:gridCol w:w="109"/>
        <w:gridCol w:w="109"/>
        <w:gridCol w:w="109"/>
        <w:gridCol w:w="233"/>
        <w:gridCol w:w="233"/>
        <w:gridCol w:w="161"/>
        <w:gridCol w:w="109"/>
        <w:gridCol w:w="109"/>
        <w:gridCol w:w="109"/>
        <w:gridCol w:w="307"/>
        <w:gridCol w:w="309"/>
        <w:gridCol w:w="508"/>
        <w:gridCol w:w="109"/>
        <w:gridCol w:w="109"/>
        <w:gridCol w:w="109"/>
        <w:gridCol w:w="240"/>
        <w:gridCol w:w="821"/>
        <w:gridCol w:w="124"/>
        <w:gridCol w:w="109"/>
        <w:gridCol w:w="109"/>
        <w:gridCol w:w="109"/>
        <w:gridCol w:w="233"/>
        <w:gridCol w:w="233"/>
        <w:gridCol w:w="161"/>
        <w:gridCol w:w="109"/>
        <w:gridCol w:w="109"/>
        <w:gridCol w:w="109"/>
        <w:gridCol w:w="307"/>
        <w:gridCol w:w="309"/>
        <w:gridCol w:w="56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Residual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Residual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Crossovers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Trucks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SUVs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Consolidated Results </w:t>
      </w:r>
      <w:r>
        <w:rPr>
          <w:rFonts w:ascii="Times New Roman;sans-serif" w:hAnsi="Times New Roman;sans-serif"/>
          <w:b w:val="false"/>
          <w:color w:val="000000"/>
          <w:sz w:val="20"/>
        </w:rPr>
        <w:t>We review changes in our results of operations under five categories: Volume, Mix, Price, Cost and Other. Volume measures the 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Total Net Sales and Revenue</w:t>
      </w:r>
    </w:p>
    <w:tbl>
      <w:tblPr>
        <w:tblW w:w="10355" w:type="dxa"/>
        <w:jc w:val="left"/>
        <w:tblInd w:w="0" w:type="dxa"/>
        <w:tblLayout w:type="fixed"/>
        <w:tblCellMar>
          <w:top w:w="28" w:type="dxa"/>
          <w:left w:w="28" w:type="dxa"/>
          <w:bottom w:w="28" w:type="dxa"/>
          <w:right w:w="28" w:type="dxa"/>
        </w:tblCellMar>
      </w:tblPr>
      <w:tblGrid>
        <w:gridCol w:w="448"/>
        <w:gridCol w:w="394"/>
        <w:gridCol w:w="404"/>
        <w:gridCol w:w="196"/>
        <w:gridCol w:w="646"/>
        <w:gridCol w:w="109"/>
        <w:gridCol w:w="109"/>
        <w:gridCol w:w="109"/>
        <w:gridCol w:w="109"/>
        <w:gridCol w:w="196"/>
        <w:gridCol w:w="646"/>
        <w:gridCol w:w="109"/>
        <w:gridCol w:w="109"/>
        <w:gridCol w:w="109"/>
        <w:gridCol w:w="109"/>
        <w:gridCol w:w="205"/>
        <w:gridCol w:w="581"/>
        <w:gridCol w:w="115"/>
        <w:gridCol w:w="109"/>
        <w:gridCol w:w="109"/>
        <w:gridCol w:w="109"/>
        <w:gridCol w:w="240"/>
        <w:gridCol w:w="241"/>
        <w:gridCol w:w="256"/>
        <w:gridCol w:w="109"/>
        <w:gridCol w:w="109"/>
        <w:gridCol w:w="109"/>
        <w:gridCol w:w="109"/>
        <w:gridCol w:w="109"/>
        <w:gridCol w:w="109"/>
        <w:gridCol w:w="196"/>
        <w:gridCol w:w="391"/>
        <w:gridCol w:w="109"/>
        <w:gridCol w:w="109"/>
        <w:gridCol w:w="109"/>
        <w:gridCol w:w="109"/>
        <w:gridCol w:w="196"/>
        <w:gridCol w:w="406"/>
        <w:gridCol w:w="109"/>
        <w:gridCol w:w="109"/>
        <w:gridCol w:w="109"/>
        <w:gridCol w:w="109"/>
        <w:gridCol w:w="196"/>
        <w:gridCol w:w="376"/>
        <w:gridCol w:w="109"/>
        <w:gridCol w:w="109"/>
        <w:gridCol w:w="109"/>
        <w:gridCol w:w="109"/>
        <w:gridCol w:w="196"/>
        <w:gridCol w:w="406"/>
        <w:gridCol w:w="109"/>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 Due To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billions)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GMNA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Cruise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 Financial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Eliminations/reclassifications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sales and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3"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97" w:type="dxa"/>
            <w:gridSpan w:val="2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regional sections of this MD&amp;A for additional information on Volume, Mix, Price and Other.</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Automotive and Other Cost of Sales</w:t>
      </w:r>
    </w:p>
    <w:tbl>
      <w:tblPr>
        <w:tblW w:w="10205" w:type="dxa"/>
        <w:jc w:val="left"/>
        <w:tblInd w:w="0" w:type="dxa"/>
        <w:tblLayout w:type="fixed"/>
        <w:tblCellMar>
          <w:top w:w="28" w:type="dxa"/>
          <w:left w:w="28" w:type="dxa"/>
          <w:bottom w:w="28" w:type="dxa"/>
          <w:right w:w="28" w:type="dxa"/>
        </w:tblCellMar>
      </w:tblPr>
      <w:tblGrid>
        <w:gridCol w:w="395"/>
        <w:gridCol w:w="348"/>
        <w:gridCol w:w="355"/>
        <w:gridCol w:w="199"/>
        <w:gridCol w:w="656"/>
        <w:gridCol w:w="110"/>
        <w:gridCol w:w="109"/>
        <w:gridCol w:w="109"/>
        <w:gridCol w:w="109"/>
        <w:gridCol w:w="199"/>
        <w:gridCol w:w="656"/>
        <w:gridCol w:w="110"/>
        <w:gridCol w:w="109"/>
        <w:gridCol w:w="109"/>
        <w:gridCol w:w="109"/>
        <w:gridCol w:w="206"/>
        <w:gridCol w:w="632"/>
        <w:gridCol w:w="114"/>
        <w:gridCol w:w="109"/>
        <w:gridCol w:w="109"/>
        <w:gridCol w:w="109"/>
        <w:gridCol w:w="232"/>
        <w:gridCol w:w="234"/>
        <w:gridCol w:w="256"/>
        <w:gridCol w:w="109"/>
        <w:gridCol w:w="109"/>
        <w:gridCol w:w="109"/>
        <w:gridCol w:w="109"/>
        <w:gridCol w:w="109"/>
        <w:gridCol w:w="109"/>
        <w:gridCol w:w="196"/>
        <w:gridCol w:w="393"/>
        <w:gridCol w:w="109"/>
        <w:gridCol w:w="109"/>
        <w:gridCol w:w="109"/>
        <w:gridCol w:w="109"/>
        <w:gridCol w:w="196"/>
        <w:gridCol w:w="408"/>
        <w:gridCol w:w="109"/>
        <w:gridCol w:w="109"/>
        <w:gridCol w:w="109"/>
        <w:gridCol w:w="109"/>
        <w:gridCol w:w="196"/>
        <w:gridCol w:w="408"/>
        <w:gridCol w:w="109"/>
        <w:gridCol w:w="109"/>
        <w:gridCol w:w="109"/>
        <w:gridCol w:w="109"/>
        <w:gridCol w:w="196"/>
        <w:gridCol w:w="406"/>
        <w:gridCol w:w="161"/>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 Due To</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r>
      <w:tr>
        <w:trPr/>
        <w:tc>
          <w:tcPr>
            <w:tcW w:w="1098"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3536"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billions)</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GMNA</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Cruise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automotive and other cost of sales</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tbl>
      <w:tblPr>
        <w:tblW w:w="5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increased Cost was primarily due to: (1) increased manufacturing costs of $0.4 billion; (2) increased material and freight costs of $0.2 billion; and (3) increased warranty-related costs of $0.2 billion; partially offset by (4) decreased engineering costs of $0.2 billion, driven primarily by the wind down of Cruise robotaxi operations. In the three months ended March 31, 2025, favorable Other was primarily due to net foreign currency changes in the Mexican peso, Brazilian real and other currencies.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regional sections of this MD&amp;A for additional information on Volume and Mix.</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Automotive and Other Selling, General and Administrative Expense</w:t>
      </w:r>
    </w:p>
    <w:tbl>
      <w:tblPr>
        <w:tblW w:w="10205" w:type="dxa"/>
        <w:jc w:val="left"/>
        <w:tblInd w:w="0" w:type="dxa"/>
        <w:tblLayout w:type="fixed"/>
        <w:tblCellMar>
          <w:top w:w="28" w:type="dxa"/>
          <w:left w:w="28" w:type="dxa"/>
          <w:bottom w:w="28" w:type="dxa"/>
          <w:right w:w="28" w:type="dxa"/>
        </w:tblCellMar>
      </w:tblPr>
      <w:tblGrid>
        <w:gridCol w:w="1354"/>
        <w:gridCol w:w="1189"/>
        <w:gridCol w:w="1192"/>
        <w:gridCol w:w="253"/>
        <w:gridCol w:w="740"/>
        <w:gridCol w:w="130"/>
        <w:gridCol w:w="109"/>
        <w:gridCol w:w="109"/>
        <w:gridCol w:w="109"/>
        <w:gridCol w:w="253"/>
        <w:gridCol w:w="740"/>
        <w:gridCol w:w="130"/>
        <w:gridCol w:w="109"/>
        <w:gridCol w:w="109"/>
        <w:gridCol w:w="109"/>
        <w:gridCol w:w="409"/>
        <w:gridCol w:w="909"/>
        <w:gridCol w:w="214"/>
        <w:gridCol w:w="109"/>
        <w:gridCol w:w="109"/>
        <w:gridCol w:w="109"/>
        <w:gridCol w:w="203"/>
        <w:gridCol w:w="203"/>
        <w:gridCol w:w="271"/>
        <w:gridCol w:w="109"/>
        <w:gridCol w:w="109"/>
        <w:gridCol w:w="109"/>
        <w:gridCol w:w="109"/>
        <w:gridCol w:w="109"/>
        <w:gridCol w:w="109"/>
        <w:gridCol w:w="109"/>
        <w:gridCol w:w="109"/>
        <w:gridCol w:w="16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and other selling, general and administrative expense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In the three months ended March 31, 2025, Automotive and other selling, general and administrative expense decreased</w:t>
      </w:r>
      <w:r>
        <w:rPr>
          <w:color w:val="000000"/>
          <w:shd w:fill="FFFFFF" w:val="clear"/>
        </w:rPr>
        <w:t xml:space="preserve"> </w:t>
      </w:r>
      <w:r>
        <w:rPr>
          <w:rFonts w:ascii="Times New Roman;sans-serif" w:hAnsi="Times New Roman;sans-serif"/>
          <w:b w:val="false"/>
          <w:color w:val="000000"/>
          <w:sz w:val="20"/>
          <w:shd w:fill="FFFFFF" w:val="clear"/>
        </w:rPr>
        <w:t>primarily due</w:t>
      </w:r>
      <w:r>
        <w:rPr>
          <w:color w:val="000000"/>
        </w:rPr>
        <w:t xml:space="preserve"> </w:t>
      </w:r>
      <w:r>
        <w:rPr>
          <w:rFonts w:ascii="Times New Roman;sans-serif" w:hAnsi="Times New Roman;sans-serif"/>
          <w:b w:val="false"/>
          <w:color w:val="000000"/>
          <w:sz w:val="20"/>
        </w:rPr>
        <w:t>to several insignificant items.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Income and Other Non-operating Income, net</w:t>
      </w:r>
    </w:p>
    <w:tbl>
      <w:tblPr>
        <w:tblW w:w="10205" w:type="dxa"/>
        <w:jc w:val="left"/>
        <w:tblInd w:w="0" w:type="dxa"/>
        <w:tblLayout w:type="fixed"/>
        <w:tblCellMar>
          <w:top w:w="28" w:type="dxa"/>
          <w:left w:w="28" w:type="dxa"/>
          <w:bottom w:w="28" w:type="dxa"/>
          <w:right w:w="28" w:type="dxa"/>
        </w:tblCellMar>
      </w:tblPr>
      <w:tblGrid>
        <w:gridCol w:w="1286"/>
        <w:gridCol w:w="1131"/>
        <w:gridCol w:w="1136"/>
        <w:gridCol w:w="304"/>
        <w:gridCol w:w="673"/>
        <w:gridCol w:w="156"/>
        <w:gridCol w:w="109"/>
        <w:gridCol w:w="109"/>
        <w:gridCol w:w="109"/>
        <w:gridCol w:w="304"/>
        <w:gridCol w:w="673"/>
        <w:gridCol w:w="156"/>
        <w:gridCol w:w="109"/>
        <w:gridCol w:w="109"/>
        <w:gridCol w:w="109"/>
        <w:gridCol w:w="621"/>
        <w:gridCol w:w="753"/>
        <w:gridCol w:w="321"/>
        <w:gridCol w:w="109"/>
        <w:gridCol w:w="109"/>
        <w:gridCol w:w="109"/>
        <w:gridCol w:w="203"/>
        <w:gridCol w:w="203"/>
        <w:gridCol w:w="271"/>
        <w:gridCol w:w="109"/>
        <w:gridCol w:w="109"/>
        <w:gridCol w:w="109"/>
        <w:gridCol w:w="109"/>
        <w:gridCol w:w="109"/>
        <w:gridCol w:w="109"/>
        <w:gridCol w:w="109"/>
        <w:gridCol w:w="109"/>
        <w:gridCol w:w="161"/>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non-operating income, net</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tbl>
      <w:tblPr>
        <w:tblW w:w="8906" w:type="dxa"/>
        <w:jc w:val="left"/>
        <w:tblInd w:w="0" w:type="dxa"/>
        <w:tblLayout w:type="fixed"/>
        <w:tblCellMar>
          <w:top w:w="28" w:type="dxa"/>
          <w:left w:w="28" w:type="dxa"/>
          <w:bottom w:w="28" w:type="dxa"/>
          <w:right w:w="28" w:type="dxa"/>
        </w:tblCellMar>
      </w:tblPr>
      <w:tblGrid>
        <w:gridCol w:w="625"/>
        <w:gridCol w:w="548"/>
        <w:gridCol w:w="552"/>
        <w:gridCol w:w="338"/>
        <w:gridCol w:w="747"/>
        <w:gridCol w:w="174"/>
        <w:gridCol w:w="109"/>
        <w:gridCol w:w="109"/>
        <w:gridCol w:w="109"/>
        <w:gridCol w:w="338"/>
        <w:gridCol w:w="747"/>
        <w:gridCol w:w="174"/>
        <w:gridCol w:w="109"/>
        <w:gridCol w:w="109"/>
        <w:gridCol w:w="109"/>
        <w:gridCol w:w="613"/>
        <w:gridCol w:w="1048"/>
        <w:gridCol w:w="318"/>
        <w:gridCol w:w="109"/>
        <w:gridCol w:w="109"/>
        <w:gridCol w:w="109"/>
        <w:gridCol w:w="203"/>
        <w:gridCol w:w="203"/>
        <w:gridCol w:w="271"/>
        <w:gridCol w:w="109"/>
        <w:gridCol w:w="109"/>
        <w:gridCol w:w="109"/>
        <w:gridCol w:w="109"/>
        <w:gridCol w:w="109"/>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our effective tax rate-adjusted (ETR-adjusted) was 20.1%.</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Refer to Note 15</w:t>
      </w:r>
      <w:r>
        <w:rPr>
          <w:color w:val="000000"/>
          <w:shd w:fill="FFFFFF" w:val="clear"/>
        </w:rPr>
        <w:t xml:space="preserve"> </w:t>
      </w:r>
      <w:r>
        <w:rPr>
          <w:rFonts w:ascii="Times New Roman;sans-serif" w:hAnsi="Times New Roman;sans-serif"/>
          <w:b w:val="false"/>
          <w:color w:val="000000"/>
          <w:sz w:val="20"/>
        </w:rPr>
        <w:t>to our condensed consolidated financial statements for additional information related to Income tax expense.</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GM North America </w:t>
      </w:r>
    </w:p>
    <w:tbl>
      <w:tblPr>
        <w:tblW w:w="12270" w:type="dxa"/>
        <w:jc w:val="left"/>
        <w:tblInd w:w="0" w:type="dxa"/>
        <w:tblLayout w:type="fixed"/>
        <w:tblCellMar>
          <w:top w:w="28" w:type="dxa"/>
          <w:left w:w="28" w:type="dxa"/>
          <w:bottom w:w="28" w:type="dxa"/>
          <w:right w:w="28" w:type="dxa"/>
        </w:tblCellMar>
      </w:tblPr>
      <w:tblGrid>
        <w:gridCol w:w="817"/>
        <w:gridCol w:w="244"/>
        <w:gridCol w:w="245"/>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63"/>
        <w:gridCol w:w="263"/>
        <w:gridCol w:w="271"/>
        <w:gridCol w:w="109"/>
        <w:gridCol w:w="109"/>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09"/>
        <w:gridCol w:w="109"/>
        <w:gridCol w:w="109"/>
        <w:gridCol w:w="109"/>
        <w:gridCol w:w="211"/>
        <w:gridCol w:w="421"/>
        <w:gridCol w:w="109"/>
        <w:gridCol w:w="109"/>
        <w:gridCol w:w="109"/>
        <w:gridCol w:w="109"/>
        <w:gridCol w:w="211"/>
        <w:gridCol w:w="421"/>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EBIT-adjusted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vehicle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bl>
    <w:tbl>
      <w:tblPr>
        <w:tblW w:w="6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GMNA Total Net Sales and Revenue </w:t>
      </w:r>
      <w:r>
        <w:rPr>
          <w:rFonts w:ascii="Times New Roman;sans-serif" w:hAnsi="Times New Roman;sans-serif"/>
          <w:b w:val="false"/>
          <w:color w:val="000000"/>
          <w:sz w:val="20"/>
        </w:rPr>
        <w:t>In the three months ended March 31, 2025, Total net sales and revenue increased primarily due to:</w:t>
      </w:r>
      <w:r>
        <w:rPr>
          <w:color w:val="000000"/>
          <w:shd w:fill="FFFFFF" w:val="clear"/>
        </w:rPr>
        <w:t xml:space="preserve"> </w:t>
      </w:r>
      <w:r>
        <w:rPr>
          <w:rFonts w:ascii="Times New Roman;sans-serif" w:hAnsi="Times New Roman;sans-serif"/>
          <w:b w:val="false"/>
          <w:color w:val="000000"/>
          <w:sz w:val="20"/>
        </w:rPr>
        <w:t>(1) increased net wholesale volumes due to increased sales of crossover vehicles, including EVs, mid-size pickup trucks and vans, and full-size SUVs, partially offset by decreased sales of full-size pickup trucks, due to lower planned production for product upgrades, and cars; and (2) favorable Price as a result of stable dealer inventory levels and strong demand for our products; partially offset by (3) unfavorable Mix associated with increased sales of crossover vehicles, including EVs, and decreased sales of full-size pickup trucks, partially offset by increased sales of full-size SUVs and decreased sales of cars; and (4) unfavorable Other due to net foreign currency changes primarily in the Mexican peso.</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GMNA EBIT-Adjusted</w:t>
      </w:r>
      <w:r>
        <w:rPr>
          <w:color w:val="000000"/>
        </w:rPr>
        <w:t xml:space="preserve"> </w:t>
      </w:r>
      <w:r>
        <w:rPr>
          <w:rFonts w:ascii="Times New Roman;sans-serif" w:hAnsi="Times New Roman;sans-serif"/>
          <w:b w:val="false"/>
          <w:color w:val="000000"/>
          <w:sz w:val="20"/>
        </w:rPr>
        <w:t>In the three months ended March 31, 2025, EBIT-adjusted decreased primarily due to: (1) unfavorable Mix; (2) unfavorable Cost primarily due to increased manufacturing costs of $0.4 billion, increased warranty-related costs of $0.2 billion and increased material and freight costs of $0.2 billion; and (3) unfavorable Other due to net foreign currency changes primarily in the Mexican peso; partially offset by (4) favorable Price; and (5) increased net wholesale volumes.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GM International</w:t>
      </w:r>
    </w:p>
    <w:tbl>
      <w:tblPr>
        <w:tblW w:w="11760" w:type="dxa"/>
        <w:jc w:val="left"/>
        <w:tblInd w:w="0" w:type="dxa"/>
        <w:tblLayout w:type="fixed"/>
        <w:tblCellMar>
          <w:top w:w="28" w:type="dxa"/>
          <w:left w:w="28" w:type="dxa"/>
          <w:bottom w:w="28" w:type="dxa"/>
          <w:right w:w="28" w:type="dxa"/>
        </w:tblCellMar>
      </w:tblPr>
      <w:tblGrid>
        <w:gridCol w:w="667"/>
        <w:gridCol w:w="244"/>
        <w:gridCol w:w="245"/>
        <w:gridCol w:w="211"/>
        <w:gridCol w:w="616"/>
        <w:gridCol w:w="271"/>
        <w:gridCol w:w="109"/>
        <w:gridCol w:w="109"/>
        <w:gridCol w:w="109"/>
        <w:gridCol w:w="211"/>
        <w:gridCol w:w="616"/>
        <w:gridCol w:w="271"/>
        <w:gridCol w:w="109"/>
        <w:gridCol w:w="109"/>
        <w:gridCol w:w="109"/>
        <w:gridCol w:w="211"/>
        <w:gridCol w:w="481"/>
        <w:gridCol w:w="271"/>
        <w:gridCol w:w="109"/>
        <w:gridCol w:w="109"/>
        <w:gridCol w:w="109"/>
        <w:gridCol w:w="263"/>
        <w:gridCol w:w="263"/>
        <w:gridCol w:w="271"/>
        <w:gridCol w:w="109"/>
        <w:gridCol w:w="109"/>
        <w:gridCol w:w="109"/>
        <w:gridCol w:w="109"/>
        <w:gridCol w:w="109"/>
        <w:gridCol w:w="109"/>
        <w:gridCol w:w="211"/>
        <w:gridCol w:w="421"/>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2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 Due To</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billions)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 (loss)-adjusted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 (loss)-adjusted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income (loss) — Automotive China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EBIT (loss)-adjusted — excluding Equity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vehicle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tbl>
      <w:tblPr>
        <w:tblW w:w="6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vehicle sales of our Automotive China JVs are not recorded in Total net sales and revenue. The results of our joint ventures are recorded in Equity income (loss), which is included in EBIT (loss)-adjusted above.</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GMI Total Net Sales and Revenue </w:t>
      </w:r>
      <w:r>
        <w:rPr>
          <w:rFonts w:ascii="Times New Roman;sans-serif" w:hAnsi="Times New Roman;sans-serif"/>
          <w:b w:val="false"/>
          <w:color w:val="000000"/>
          <w:sz w:val="20"/>
        </w:rPr>
        <w:t>In the three months ended March 31, 2025, Total net sales and revenue decreased primarily due to: (1) decreased net wholesale volumes in Brazil and in the Middle East primarily due to decreased passenger cars, crossover vehicles and trucks, partially offset by increased volumes in Argentina primarily due to increased sales of crossover vehicles; and (2) unfavorable Other primarily due to the net foreign currency change in the Brazilian real, Argentine peso and Egyptian pound; partially offset by (3) favorable Price across multiple vehicle lines in Argentina.</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GMI EBIT (Loss)-Adjusted </w:t>
      </w:r>
      <w:r>
        <w:rPr>
          <w:rFonts w:ascii="Times New Roman;sans-serif" w:hAnsi="Times New Roman;sans-serif"/>
          <w:b w:val="false"/>
          <w:color w:val="000000"/>
          <w:sz w:val="20"/>
        </w:rPr>
        <w:t>In the three months ended March 31, 2025, EBIT-adjusted increased primarily due to: (1) favorable Price; and (2) favorable Other primarily due to increased Automotive China JVs equity income (loss); partially offset by (3) decreased net wholesale volumes.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certain key operational and financial data for the Automotive China JVs (vehicles in thousands): </w:t>
      </w:r>
    </w:p>
    <w:tbl>
      <w:tblPr>
        <w:tblW w:w="10205" w:type="dxa"/>
        <w:jc w:val="left"/>
        <w:tblInd w:w="0" w:type="dxa"/>
        <w:tblLayout w:type="fixed"/>
        <w:tblCellMar>
          <w:top w:w="28" w:type="dxa"/>
          <w:left w:w="28" w:type="dxa"/>
          <w:bottom w:w="28" w:type="dxa"/>
          <w:right w:w="28" w:type="dxa"/>
        </w:tblCellMar>
      </w:tblPr>
      <w:tblGrid>
        <w:gridCol w:w="2340"/>
        <w:gridCol w:w="2061"/>
        <w:gridCol w:w="2068"/>
        <w:gridCol w:w="281"/>
        <w:gridCol w:w="820"/>
        <w:gridCol w:w="144"/>
        <w:gridCol w:w="109"/>
        <w:gridCol w:w="109"/>
        <w:gridCol w:w="109"/>
        <w:gridCol w:w="281"/>
        <w:gridCol w:w="820"/>
        <w:gridCol w:w="144"/>
        <w:gridCol w:w="109"/>
        <w:gridCol w:w="109"/>
        <w:gridCol w:w="109"/>
        <w:gridCol w:w="109"/>
        <w:gridCol w:w="109"/>
        <w:gridCol w:w="109"/>
        <w:gridCol w:w="109"/>
        <w:gridCol w:w="156"/>
      </w:tblGrid>
      <w:tr>
        <w:trPr/>
        <w:tc>
          <w:tcPr>
            <w:tcW w:w="2340"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vehicle sales, including vehicles exported to markets outside of China</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 and revenue</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Cruise</w:t>
      </w:r>
    </w:p>
    <w:tbl>
      <w:tblPr>
        <w:tblW w:w="9898" w:type="dxa"/>
        <w:jc w:val="left"/>
        <w:tblInd w:w="0" w:type="dxa"/>
        <w:tblLayout w:type="fixed"/>
        <w:tblCellMar>
          <w:top w:w="28" w:type="dxa"/>
          <w:left w:w="28" w:type="dxa"/>
          <w:bottom w:w="28" w:type="dxa"/>
          <w:right w:w="28" w:type="dxa"/>
        </w:tblCellMar>
      </w:tblPr>
      <w:tblGrid>
        <w:gridCol w:w="917"/>
        <w:gridCol w:w="807"/>
        <w:gridCol w:w="810"/>
        <w:gridCol w:w="309"/>
        <w:gridCol w:w="792"/>
        <w:gridCol w:w="159"/>
        <w:gridCol w:w="109"/>
        <w:gridCol w:w="109"/>
        <w:gridCol w:w="109"/>
        <w:gridCol w:w="309"/>
        <w:gridCol w:w="792"/>
        <w:gridCol w:w="159"/>
        <w:gridCol w:w="109"/>
        <w:gridCol w:w="109"/>
        <w:gridCol w:w="109"/>
        <w:gridCol w:w="529"/>
        <w:gridCol w:w="1174"/>
        <w:gridCol w:w="277"/>
        <w:gridCol w:w="109"/>
        <w:gridCol w:w="109"/>
        <w:gridCol w:w="109"/>
        <w:gridCol w:w="293"/>
        <w:gridCol w:w="293"/>
        <w:gridCol w:w="271"/>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 and revenue(a)</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 (loss)-adjusted</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(a)Primarily reclassified to Interest income and other non-operating income, net in our condensed consolidated income statements in the three months ended March 31, 2024.</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Cruise EBIT (Loss)-Adjusted </w:t>
      </w:r>
      <w:r>
        <w:rPr>
          <w:rFonts w:ascii="Times New Roman;sans-serif" w:hAnsi="Times New Roman;sans-serif"/>
          <w:b w:val="false"/>
          <w:color w:val="000000"/>
          <w:sz w:val="20"/>
        </w:rPr>
        <w:t>In the three months ended March 31, 2025, EBIT (loss)-adjusted decreased primarily due to the commencement of the wind down of the Cruise robotaxi operations and the combination within our GMNA Automotive segment of the GM and Cruise technical efforts to build on the success of Super Cruise and prioritize the development of ADAS on a path to fully autonomous personal vehicles.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GM Financial</w:t>
      </w:r>
    </w:p>
    <w:tbl>
      <w:tblPr>
        <w:tblW w:w="10205" w:type="dxa"/>
        <w:jc w:val="left"/>
        <w:tblInd w:w="0" w:type="dxa"/>
        <w:tblLayout w:type="fixed"/>
        <w:tblCellMar>
          <w:top w:w="28" w:type="dxa"/>
          <w:left w:w="28" w:type="dxa"/>
          <w:bottom w:w="28" w:type="dxa"/>
          <w:right w:w="28" w:type="dxa"/>
        </w:tblCellMar>
      </w:tblPr>
      <w:tblGrid>
        <w:gridCol w:w="1295"/>
        <w:gridCol w:w="1079"/>
        <w:gridCol w:w="1086"/>
        <w:gridCol w:w="237"/>
        <w:gridCol w:w="694"/>
        <w:gridCol w:w="305"/>
        <w:gridCol w:w="109"/>
        <w:gridCol w:w="109"/>
        <w:gridCol w:w="109"/>
        <w:gridCol w:w="237"/>
        <w:gridCol w:w="694"/>
        <w:gridCol w:w="305"/>
        <w:gridCol w:w="109"/>
        <w:gridCol w:w="109"/>
        <w:gridCol w:w="109"/>
        <w:gridCol w:w="314"/>
        <w:gridCol w:w="761"/>
        <w:gridCol w:w="404"/>
        <w:gridCol w:w="109"/>
        <w:gridCol w:w="109"/>
        <w:gridCol w:w="109"/>
        <w:gridCol w:w="255"/>
        <w:gridCol w:w="256"/>
        <w:gridCol w:w="271"/>
        <w:gridCol w:w="109"/>
        <w:gridCol w:w="109"/>
        <w:gridCol w:w="109"/>
        <w:gridCol w:w="109"/>
        <w:gridCol w:w="109"/>
        <w:gridCol w:w="109"/>
        <w:gridCol w:w="109"/>
        <w:gridCol w:w="109"/>
        <w:gridCol w:w="159"/>
      </w:tblGrid>
      <w:tr>
        <w:trPr/>
        <w:tc>
          <w:tcPr>
            <w:tcW w:w="129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EBT-adjusted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debt outstanding (dollars in billions)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rate of interest paid</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GM Financial Revenue </w:t>
      </w:r>
      <w:r>
        <w:rPr>
          <w:rFonts w:ascii="Times New Roman;sans-serif" w:hAnsi="Times New Roman;sans-serif"/>
          <w:b w:val="false"/>
          <w:color w:val="000000"/>
          <w:sz w:val="20"/>
        </w:rPr>
        <w:t>In the three months ended March 31, 2025, total revenue increased primarily due to: (1) increased finance charge income of $0.2 billion primarily due to growth in the size of the portfolio and an increase in the retail effective yield resulting from higher average interest rates on new loan originations; and (2) increased leased vehicle income of $0.1 billion primarily due to an increase in the average balance of the leased vehicles portfolio.</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GM Financial EBT-Adjusted </w:t>
      </w:r>
      <w:r>
        <w:rPr>
          <w:rFonts w:ascii="Times New Roman;sans-serif" w:hAnsi="Times New Roman;sans-serif"/>
          <w:b w:val="false"/>
          <w:color w:val="000000"/>
          <w:sz w:val="20"/>
        </w:rPr>
        <w:t>In the three months ended March 31, 2025, EBT-adjusted decreased primarily due to: (1) increased interest expense of $0.2 billion primarily due to an increase in average debt outstanding, as well as an increase in the effective rate of interest on debt, resulting from higher benchmark interest rates on new issuances relative to maturing debt; (2) increased provision for loan losses of $0.1 billion primarily due to increased loan origination volume and moderating credit performance; partially offset by (3) increased finance charge income of $0.2 billion primarily due to growth in the size of the portfolio and an increase in the retail effective yield resulting from higher average interest rates on new loan originations; and (4) increased leased vehicle income of $0.1 billion primarily due to an increase in the average balance of the leased vehicles portfolio.</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Liquidity and Capital Resources </w:t>
      </w:r>
      <w:r>
        <w:rPr>
          <w:rFonts w:ascii="Times New Roman;sans-serif" w:hAnsi="Times New Roman;sans-serif"/>
          <w:b w:val="false"/>
          <w:color w:val="000000"/>
          <w:sz w:val="20"/>
        </w:rPr>
        <w:t>We believe our current levels of cash, cash equivalents, marketable debt securities, available borrowing capacity under our credit facilities and other available liquidity actions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Our known current material uses of cash include, among other possible demands: </w:t>
      </w:r>
      <w:r>
        <w:rPr>
          <w:rFonts w:ascii="Times New Roman;sans-serif" w:hAnsi="Times New Roman;sans-serif"/>
          <w:b w:val="false"/>
          <w:color w:val="000000"/>
          <w:sz w:val="20"/>
          <w:shd w:fill="FFFFFF" w:val="clear"/>
        </w:rPr>
        <w:t>(1) capital spending and our investments in our battery cell manufacturing joint ventures</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(2) payments for engineering and product development activities, including the development of AV technology and software-enabled services; (3) payments associated with previously announced warranty claims, vehicle recalls and any other recall-related contingencies; (4) payments to service debt and other long-term obligations, including discretionary and mandatory contributions to our pension plans; (5) dividend payments on our common stock that are declared by our Board of Directors; (6) payments to purchase shares of our common stock authorized by our Board of Directors; and (7) payments of emissions-related regulatory compliance costs.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and evaluate opportunities to strengthen our competitive position over the long term while maintaining a strong investment-grade balance sheet. These actions may include opportunistic payments to reduce our long-term obligations, and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plans are subject to a number of risks and uncertainties, including those described in the "Forward-Looking Statements" section of this MD&amp;A and Part I, Item 1A. Risk Factors of our 2024 Form 10-K, some of which are outside of our control.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our Board of Directors increased the capacity under our existing share repurchase program by $6.0 billion to an aggregate of $6.3 billion and approved an ASR program to repurchase an aggregate amount of $2.0 billion of our common stock. In February 2025, pursuant to the ASR Agreements, we advanced the $2.0 billion and received an initial delivery of approximately 33 million shares of our common stock with a value of $1.6 billion, which were immediately retired. The final number of shares received under the ASR program will be based on the average of the daily volume-weighted average prices of our common stock during the term of the ASR Agreements, less a discount pursuant to the terms and conditions of the ASR Agreements, and is expected to occur no later than June 30,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In the three months ended March 31, 2025, </w:t>
      </w:r>
      <w:r>
        <w:rPr>
          <w:rFonts w:ascii="Times New Roman;sans-serif" w:hAnsi="Times New Roman;sans-serif"/>
          <w:b w:val="false"/>
          <w:color w:val="000000"/>
          <w:sz w:val="20"/>
          <w:shd w:fill="FFFFFF" w:val="clear"/>
        </w:rPr>
        <w:t xml:space="preserve">in addition to shares received under the ASR program, we repurchased an insignificant amount of our outstanding common stock. </w:t>
      </w:r>
      <w:r>
        <w:rPr>
          <w:rFonts w:ascii="Times New Roman;sans-serif" w:hAnsi="Times New Roman;sans-serif"/>
          <w:b w:val="false"/>
          <w:color w:val="000000"/>
          <w:sz w:val="20"/>
        </w:rPr>
        <w:t>We have $4.3 billion in capacity remaining under our share repurchase program as of March 31, 2025, with no expiration date.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In the three months ended March 31, 2025, </w:t>
      </w:r>
      <w:r>
        <w:rPr>
          <w:rFonts w:ascii="Times New Roman;sans-serif" w:hAnsi="Times New Roman;sans-serif"/>
          <w:b w:val="false"/>
          <w:color w:val="000000"/>
          <w:sz w:val="20"/>
          <w:shd w:fill="FFFFFF" w:val="clear"/>
        </w:rPr>
        <w:t>we paid dividends of $0.1 billion to holders of our common stock. In February 2025, our Board of Directors approved an increase in the quarterly common stock dividend of $0.03 to $0.15 per share beginning with the quarterly dividen</w:t>
      </w:r>
      <w:r>
        <w:rPr>
          <w:rFonts w:ascii="Times New Roman;sans-serif" w:hAnsi="Times New Roman;sans-serif"/>
          <w:b w:val="false"/>
          <w:color w:val="000000"/>
          <w:sz w:val="20"/>
        </w:rPr>
        <w:t xml:space="preserve">d declared </w:t>
      </w:r>
      <w:r>
        <w:rPr>
          <w:rFonts w:ascii="Times New Roman;sans-serif" w:hAnsi="Times New Roman;sans-serif"/>
          <w:b w:val="false"/>
          <w:color w:val="000000"/>
          <w:sz w:val="20"/>
          <w:shd w:fill="FFFFFF" w:val="clear"/>
        </w:rPr>
        <w:t>in April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April 2025, we entered into an agreement with Ultium Cells LLC to fund $1.8 billion as a 5-year term loan to facilitate full voluntary prepayment of loans Ultium Cells LLC received under the U.S. Department of Energy's Advanced Technology Vehicles Manufacturing program.</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i/>
          <w:color w:val="000000"/>
          <w:sz w:val="20"/>
        </w:rPr>
        <w:t>Automotive Liquidity</w:t>
      </w:r>
      <w:r>
        <w:rPr>
          <w:color w:val="000000"/>
        </w:rPr>
        <w:t xml:space="preserve"> </w:t>
      </w:r>
      <w:r>
        <w:rPr>
          <w:rFonts w:ascii="Times New Roman;sans-serif" w:hAnsi="Times New Roman;sans-serif"/>
          <w:b w:val="false"/>
          <w:color w:val="000000"/>
          <w:sz w:val="20"/>
        </w:rPr>
        <w:t xml:space="preserve">Total available liquidity includes cash, cash equivalents, marketable debt securities and funds available under credit facilities. The amount of available liquidity is subject to seasonal fluctuations and includes balances held by various business units and subsidiaries worldwide that are needed to fund their operations. </w:t>
      </w:r>
      <w:r>
        <w:rPr>
          <w:rFonts w:ascii="Times New Roman;sans-serif" w:hAnsi="Times New Roman;sans-serif"/>
          <w:b w:val="false"/>
          <w:color w:val="000000"/>
          <w:sz w:val="20"/>
          <w:shd w:fill="FFFFFF" w:val="clear"/>
        </w:rPr>
        <w:t xml:space="preserve">We have not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changed the management of our liquidity</w:t>
      </w:r>
      <w:r>
        <w:rPr>
          <w:rFonts w:ascii="Times New Roman;sans-serif" w:hAnsi="Times New Roman;sans-serif"/>
          <w:b w:val="false"/>
          <w:color w:val="000000"/>
          <w:sz w:val="20"/>
        </w:rPr>
        <w:t>, including our allocation of available liquidity, our portfolio composition and our investment guidelines since December 31, 2024. Refer to Part II, Item 7. MD&amp;A of our 2024 Form 10-K.</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We use credit facilities as a mechanism to provide additional flexibility in managing our global liquidity. Our Automotive borrowing capacity under credit facilities totaled </w:t>
      </w:r>
      <w:r>
        <w:rPr>
          <w:rFonts w:ascii="Times New Roman;sans-serif" w:hAnsi="Times New Roman;sans-serif"/>
          <w:b w:val="false"/>
          <w:color w:val="000000"/>
          <w:sz w:val="20"/>
          <w:shd w:fill="FFFFFF" w:val="clear"/>
        </w:rPr>
        <w:t>$14.4 billion and $14.3 billion</w:t>
      </w:r>
      <w:r>
        <w:rPr>
          <w:color w:val="000000"/>
        </w:rPr>
        <w:t xml:space="preserve"> </w:t>
      </w:r>
      <w:r>
        <w:rPr>
          <w:rFonts w:ascii="Times New Roman;sans-serif" w:hAnsi="Times New Roman;sans-serif"/>
          <w:b w:val="false"/>
          <w:color w:val="000000"/>
          <w:sz w:val="20"/>
        </w:rPr>
        <w:t xml:space="preserve">at March 31, 2025 and December 31, 2024, which consisted primarily of </w:t>
      </w:r>
      <w:r>
        <w:rPr>
          <w:rFonts w:ascii="Times New Roman;sans-serif" w:hAnsi="Times New Roman;sans-serif"/>
          <w:b w:val="false"/>
          <w:color w:val="000000"/>
          <w:sz w:val="20"/>
          <w:shd w:fill="FFFFFF" w:val="clear"/>
        </w:rPr>
        <w:t>two</w:t>
      </w:r>
      <w:r>
        <w:rPr>
          <w:color w:val="000000"/>
        </w:rPr>
        <w:t xml:space="preserve"> </w:t>
      </w:r>
      <w:r>
        <w:rPr>
          <w:rFonts w:ascii="Times New Roman;sans-serif" w:hAnsi="Times New Roman;sans-serif"/>
          <w:b w:val="false"/>
          <w:color w:val="000000"/>
          <w:sz w:val="20"/>
        </w:rPr>
        <w:t xml:space="preserve">credit facilities. Total Automotive borrowing capacity under our credit facilities does not include our </w:t>
      </w:r>
      <w:r>
        <w:rPr>
          <w:rFonts w:ascii="Times New Roman;sans-serif" w:hAnsi="Times New Roman;sans-serif"/>
          <w:b w:val="false"/>
          <w:color w:val="000000"/>
          <w:sz w:val="20"/>
          <w:shd w:fill="FFFFFF" w:val="clear"/>
        </w:rPr>
        <w:t xml:space="preserve">364-day, $2.0 billion </w:t>
      </w:r>
      <w:r>
        <w:rPr>
          <w:rFonts w:ascii="Times New Roman;sans-serif" w:hAnsi="Times New Roman;sans-serif"/>
          <w:b w:val="false"/>
          <w:color w:val="000000"/>
          <w:sz w:val="20"/>
        </w:rPr>
        <w:t xml:space="preserve">facility allocated for exclusive use of GM Financial. We </w:t>
      </w:r>
      <w:r>
        <w:rPr>
          <w:rFonts w:ascii="Times New Roman;sans-serif" w:hAnsi="Times New Roman;sans-serif"/>
          <w:b w:val="false"/>
          <w:color w:val="000000"/>
          <w:sz w:val="20"/>
          <w:shd w:fill="FFFFFF" w:val="clear"/>
        </w:rPr>
        <w:t xml:space="preserve">did not have </w:t>
      </w:r>
      <w:r>
        <w:rPr>
          <w:rFonts w:ascii="Times New Roman;sans-serif" w:hAnsi="Times New Roman;sans-serif"/>
          <w:b w:val="false"/>
          <w:color w:val="000000"/>
          <w:sz w:val="20"/>
        </w:rPr>
        <w:t xml:space="preserve">any borrowings against our primary facilities, but had letters of credit outstanding under our sub-facility of </w:t>
      </w:r>
      <w:r>
        <w:rPr>
          <w:rFonts w:ascii="Times New Roman;sans-serif" w:hAnsi="Times New Roman;sans-serif"/>
          <w:b w:val="false"/>
          <w:color w:val="000000"/>
          <w:sz w:val="20"/>
          <w:shd w:fill="FFFFFF" w:val="clear"/>
        </w:rPr>
        <w:t xml:space="preserve">$0.6 billion </w:t>
      </w:r>
      <w:r>
        <w:rPr>
          <w:rFonts w:ascii="Times New Roman;sans-serif" w:hAnsi="Times New Roman;sans-serif"/>
          <w:b w:val="false"/>
          <w:color w:val="000000"/>
          <w:sz w:val="20"/>
        </w:rPr>
        <w:t>and $0.5 billion at March 31, 2025 and December 31, 2024.</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If available capacity permits, GM Financial continues to have access to our automotive credit facilities. GM Financial </w:t>
      </w:r>
      <w:r>
        <w:rPr>
          <w:rFonts w:ascii="Times New Roman;sans-serif" w:hAnsi="Times New Roman;sans-serif"/>
          <w:b w:val="false"/>
          <w:color w:val="000000"/>
          <w:sz w:val="20"/>
          <w:shd w:fill="FFFFFF" w:val="clear"/>
        </w:rPr>
        <w:t>did not</w:t>
      </w:r>
      <w:r>
        <w:rPr>
          <w:color w:val="000000"/>
        </w:rPr>
        <w:t xml:space="preserve"> </w:t>
      </w:r>
      <w:r>
        <w:rPr>
          <w:rFonts w:ascii="Times New Roman;sans-serif" w:hAnsi="Times New Roman;sans-serif"/>
          <w:b w:val="false"/>
          <w:color w:val="000000"/>
          <w:sz w:val="20"/>
          <w:shd w:fill="FFFFFF" w:val="clear"/>
        </w:rPr>
        <w:t>have</w:t>
      </w:r>
      <w:r>
        <w:rPr>
          <w:color w:val="000000"/>
        </w:rPr>
        <w:t xml:space="preserve"> </w:t>
      </w:r>
      <w:r>
        <w:rPr>
          <w:rFonts w:ascii="Times New Roman;sans-serif" w:hAnsi="Times New Roman;sans-serif"/>
          <w:b w:val="false"/>
          <w:color w:val="000000"/>
          <w:sz w:val="20"/>
        </w:rPr>
        <w:t xml:space="preserve">borrowings outstanding against any of these facilities at March 31, 2025 and December 31, 2024. We had intercompany loans from GM Financial of $0.3 billion at March 31, 2025 and December 31, 2024, which primarily consisted of commercial loans to dealers we consolidate. We </w:t>
      </w:r>
      <w:r>
        <w:rPr>
          <w:rFonts w:ascii="Times New Roman;sans-serif" w:hAnsi="Times New Roman;sans-serif"/>
          <w:b w:val="false"/>
          <w:color w:val="000000"/>
          <w:sz w:val="20"/>
          <w:shd w:fill="FFFFFF" w:val="clear"/>
        </w:rPr>
        <w:t>did not</w:t>
      </w:r>
      <w:r>
        <w:rPr>
          <w:color w:val="000000"/>
        </w:rPr>
        <w:t xml:space="preserve"> </w:t>
      </w:r>
      <w:r>
        <w:rPr>
          <w:rFonts w:ascii="Times New Roman;sans-serif" w:hAnsi="Times New Roman;sans-serif"/>
          <w:b w:val="false"/>
          <w:color w:val="000000"/>
          <w:sz w:val="20"/>
          <w:shd w:fill="FFFFFF" w:val="clear"/>
        </w:rPr>
        <w:t>have</w:t>
      </w:r>
      <w:r>
        <w:rPr>
          <w:color w:val="000000"/>
        </w:rPr>
        <w:t xml:space="preserve"> </w:t>
      </w:r>
      <w:r>
        <w:rPr>
          <w:rFonts w:ascii="Times New Roman;sans-serif" w:hAnsi="Times New Roman;sans-serif"/>
          <w:b w:val="false"/>
          <w:color w:val="000000"/>
          <w:sz w:val="20"/>
        </w:rPr>
        <w:t>intercompany loans to GM Financial at March 31, 2025 and December 31, 2024. Refer to Note 4</w:t>
      </w:r>
      <w:r>
        <w:rPr>
          <w:color w:val="000000"/>
          <w:shd w:fill="FFFFFF" w:val="clear"/>
        </w:rPr>
        <w:t xml:space="preserve"> </w:t>
      </w:r>
      <w:r>
        <w:rPr>
          <w:rFonts w:ascii="Times New Roman;sans-serif" w:hAnsi="Times New Roman;sans-serif"/>
          <w:b w:val="false"/>
          <w:color w:val="000000"/>
          <w:sz w:val="20"/>
        </w:rPr>
        <w:t>to our condensed consolidated financial statements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Several of our loan facilities, including our revolving credit facilities, require compliance with certain financial and operational covenants as well as regular reporting to lenders. We have reviewed our covenants in effect as of March 31, 2025 and determined we are </w:t>
      </w:r>
      <w:r>
        <w:rPr>
          <w:rFonts w:ascii="Times New Roman;sans-serif" w:hAnsi="Times New Roman;sans-serif"/>
          <w:b w:val="false"/>
          <w:color w:val="000000"/>
          <w:sz w:val="20"/>
          <w:shd w:fill="FFFFFF" w:val="clear"/>
        </w:rPr>
        <w:t>in compliance and expect to remain in compliance</w:t>
      </w:r>
      <w:r>
        <w:rPr>
          <w:color w:val="000000"/>
        </w:rPr>
        <w:t xml:space="preserve"> </w:t>
      </w:r>
      <w:r>
        <w:rPr>
          <w:rFonts w:ascii="Times New Roman;sans-serif" w:hAnsi="Times New Roman;sans-serif"/>
          <w:b w:val="false"/>
          <w:color w:val="000000"/>
          <w:sz w:val="20"/>
        </w:rPr>
        <w:t>in the future.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GM Financial's Board of Directors declared and paid dividends of </w:t>
      </w:r>
      <w:r>
        <w:rPr>
          <w:rFonts w:ascii="Times New Roman;sans-serif" w:hAnsi="Times New Roman;sans-serif"/>
          <w:b w:val="false"/>
          <w:color w:val="000000"/>
          <w:sz w:val="20"/>
          <w:shd w:fill="FFFFFF" w:val="clear"/>
        </w:rPr>
        <w:t>$0.4 billion</w:t>
      </w:r>
      <w:r>
        <w:rPr>
          <w:color w:val="000000"/>
        </w:rPr>
        <w:t xml:space="preserve"> </w:t>
      </w:r>
      <w:r>
        <w:rPr>
          <w:rFonts w:ascii="Times New Roman;sans-serif" w:hAnsi="Times New Roman;sans-serif"/>
          <w:b w:val="false"/>
          <w:color w:val="000000"/>
          <w:sz w:val="20"/>
        </w:rPr>
        <w:t>on its common stock in the three months ended March 31, 2025. Future dividends from GM Financial will depend on several factors including business and economic conditions, its financial condition, earnings, liquidity requirements and leverage ratio.</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Automotive available liquidity (dollars in billions):</w:t>
      </w:r>
    </w:p>
    <w:tbl>
      <w:tblPr>
        <w:tblW w:w="8576" w:type="dxa"/>
        <w:jc w:val="left"/>
        <w:tblInd w:w="0" w:type="dxa"/>
        <w:tblLayout w:type="fixed"/>
        <w:tblCellMar>
          <w:top w:w="28" w:type="dxa"/>
          <w:left w:w="28" w:type="dxa"/>
          <w:bottom w:w="28" w:type="dxa"/>
          <w:right w:w="28" w:type="dxa"/>
        </w:tblCellMar>
      </w:tblPr>
      <w:tblGrid>
        <w:gridCol w:w="1972"/>
        <w:gridCol w:w="1735"/>
        <w:gridCol w:w="1738"/>
        <w:gridCol w:w="320"/>
        <w:gridCol w:w="775"/>
        <w:gridCol w:w="165"/>
        <w:gridCol w:w="109"/>
        <w:gridCol w:w="109"/>
        <w:gridCol w:w="109"/>
        <w:gridCol w:w="372"/>
        <w:gridCol w:w="901"/>
        <w:gridCol w:w="271"/>
      </w:tblGrid>
      <w:tr>
        <w:trPr/>
        <w:tc>
          <w:tcPr>
            <w:tcW w:w="1972"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cash and cash equivalents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debt securities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cash, cash equivalents and marketable debt securities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under credit facilities(a)</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Automotive available liquidity</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8"/>
        </w:rPr>
        <w:t xml:space="preserve">(a)We had letters of credit outstanding under our sub-facility of </w:t>
      </w:r>
      <w:r>
        <w:rPr>
          <w:rFonts w:ascii="Times New Roman;sans-serif" w:hAnsi="Times New Roman;sans-serif"/>
          <w:b w:val="false"/>
          <w:color w:val="000000"/>
          <w:sz w:val="18"/>
          <w:shd w:fill="FFFFFF" w:val="clear"/>
        </w:rPr>
        <w:t>$0.6 billion</w:t>
      </w:r>
      <w:r>
        <w:rPr>
          <w:color w:val="000000"/>
        </w:rPr>
        <w:t xml:space="preserve"> </w:t>
      </w:r>
      <w:r>
        <w:rPr>
          <w:rFonts w:ascii="Times New Roman;sans-serif" w:hAnsi="Times New Roman;sans-serif"/>
          <w:b w:val="false"/>
          <w:color w:val="000000"/>
          <w:sz w:val="18"/>
        </w:rPr>
        <w:t>and $0.5 billion at March 31, 2025 and December 31, 2024.</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changes in our Automotive available liquidity (dollars in billions): </w:t>
      </w:r>
    </w:p>
    <w:tbl>
      <w:tblPr>
        <w:tblW w:w="6778" w:type="dxa"/>
        <w:jc w:val="center"/>
        <w:tblInd w:w="0" w:type="dxa"/>
        <w:tblLayout w:type="fixed"/>
        <w:tblCellMar>
          <w:top w:w="28" w:type="dxa"/>
          <w:left w:w="28" w:type="dxa"/>
          <w:bottom w:w="28" w:type="dxa"/>
          <w:right w:w="28" w:type="dxa"/>
        </w:tblCellMar>
      </w:tblPr>
      <w:tblGrid>
        <w:gridCol w:w="1423"/>
        <w:gridCol w:w="1248"/>
        <w:gridCol w:w="1258"/>
        <w:gridCol w:w="711"/>
        <w:gridCol w:w="1620"/>
        <w:gridCol w:w="518"/>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ASR and dividends paid</w:t>
            </w:r>
          </w:p>
        </w:tc>
        <w:tc>
          <w:tcPr>
            <w:tcW w:w="2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Cruise robotaxi operations wind down</w:t>
            </w:r>
          </w:p>
        </w:tc>
        <w:tc>
          <w:tcPr>
            <w:tcW w:w="2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nonconsolidated affiliates</w:t>
            </w:r>
          </w:p>
        </w:tc>
        <w:tc>
          <w:tcPr>
            <w:tcW w:w="2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w:t>
            </w:r>
          </w:p>
        </w:tc>
        <w:tc>
          <w:tcPr>
            <w:tcW w:w="2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automotive available liquidity</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Cash Flow (dollars in billions)</w:t>
      </w:r>
    </w:p>
    <w:tbl>
      <w:tblPr>
        <w:tblW w:w="9434" w:type="dxa"/>
        <w:jc w:val="center"/>
        <w:tblInd w:w="0" w:type="dxa"/>
        <w:tblLayout w:type="fixed"/>
        <w:tblCellMar>
          <w:top w:w="28" w:type="dxa"/>
          <w:left w:w="28" w:type="dxa"/>
          <w:bottom w:w="28" w:type="dxa"/>
          <w:right w:w="28" w:type="dxa"/>
        </w:tblCellMar>
      </w:tblPr>
      <w:tblGrid>
        <w:gridCol w:w="1962"/>
        <w:gridCol w:w="1722"/>
        <w:gridCol w:w="1730"/>
        <w:gridCol w:w="366"/>
        <w:gridCol w:w="705"/>
        <w:gridCol w:w="189"/>
        <w:gridCol w:w="109"/>
        <w:gridCol w:w="109"/>
        <w:gridCol w:w="109"/>
        <w:gridCol w:w="366"/>
        <w:gridCol w:w="705"/>
        <w:gridCol w:w="189"/>
        <w:gridCol w:w="109"/>
        <w:gridCol w:w="109"/>
        <w:gridCol w:w="109"/>
        <w:gridCol w:w="211"/>
        <w:gridCol w:w="481"/>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 charges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OPEB activities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 and income taxes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Other(a)</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automotive cash provided by (used in) operating activities(b)</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8"/>
        </w:rPr>
        <w:t>(a)Includes $0.8 billion in dividends received from our nonconsolidated affiliates in the three months ended March 31, 2025; $0.4 billion and $0.5 billion in dividends received from GM Financial in the three months ended March 31, 2025 and 2024</w:t>
      </w:r>
      <w:r>
        <w:rPr>
          <w:rFonts w:ascii="Times New Roman;sans-serif" w:hAnsi="Times New Roman;sans-serif"/>
          <w:b w:val="false"/>
          <w:color w:val="000000"/>
          <w:sz w:val="18"/>
          <w:shd w:fill="FFFFFF" w:val="clear"/>
        </w:rPr>
        <w:t>; and changes</w:t>
      </w:r>
      <w:r>
        <w:rPr>
          <w:color w:val="000000"/>
        </w:rPr>
        <w:t xml:space="preserve"> </w:t>
      </w:r>
      <w:r>
        <w:rPr>
          <w:rFonts w:ascii="Times New Roman;sans-serif" w:hAnsi="Times New Roman;sans-serif"/>
          <w:b w:val="false"/>
          <w:color w:val="000000"/>
          <w:sz w:val="18"/>
        </w:rPr>
        <w:t>in other assets and liabilities in the three months ended March 31, 2025 and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(b)Includes $2.3 billion and $1.3 billion in the three months ended March 31, 2025 and 2024, which are eliminated within the condensed consolidated statements of cash flows. Amounts eliminated primarily relate to purchases of, and collections on, wholesale finance receivables provided by GM Financial to our dealers and dividends issued by GM Financial to us.</w:t>
      </w:r>
    </w:p>
    <w:tbl>
      <w:tblPr>
        <w:tblW w:w="9345" w:type="dxa"/>
        <w:jc w:val="left"/>
        <w:tblInd w:w="0" w:type="dxa"/>
        <w:tblLayout w:type="fixed"/>
        <w:tblCellMar>
          <w:top w:w="28" w:type="dxa"/>
          <w:left w:w="28" w:type="dxa"/>
          <w:bottom w:w="28" w:type="dxa"/>
          <w:right w:w="28" w:type="dxa"/>
        </w:tblCellMar>
      </w:tblPr>
      <w:tblGrid>
        <w:gridCol w:w="1957"/>
        <w:gridCol w:w="1717"/>
        <w:gridCol w:w="1726"/>
        <w:gridCol w:w="332"/>
        <w:gridCol w:w="757"/>
        <w:gridCol w:w="171"/>
        <w:gridCol w:w="109"/>
        <w:gridCol w:w="109"/>
        <w:gridCol w:w="109"/>
        <w:gridCol w:w="332"/>
        <w:gridCol w:w="757"/>
        <w:gridCol w:w="171"/>
        <w:gridCol w:w="109"/>
        <w:gridCol w:w="109"/>
        <w:gridCol w:w="109"/>
        <w:gridCol w:w="211"/>
        <w:gridCol w:w="406"/>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and liquidations of marketable securities,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Other(a)</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automotive cash provided by (used in) investing activities(b)</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8"/>
        </w:rPr>
        <w:t xml:space="preserve">(a)Includes $0.3 billion and $0.2 billion of GM's investment in nonconsolidated affiliates in the </w:t>
      </w:r>
      <w:r>
        <w:rPr>
          <w:rFonts w:ascii="Times New Roman;sans-serif" w:hAnsi="Times New Roman;sans-serif"/>
          <w:b w:val="false"/>
          <w:color w:val="000000"/>
          <w:sz w:val="18"/>
          <w:shd w:fill="FFFFFF" w:val="clear"/>
        </w:rPr>
        <w:t>three months ended March 31, 2025 and 2024; and $</w:t>
      </w:r>
      <w:r>
        <w:rPr>
          <w:rFonts w:ascii="Times New Roman;sans-serif" w:hAnsi="Times New Roman;sans-serif"/>
          <w:b w:val="false"/>
          <w:color w:val="000000"/>
          <w:sz w:val="18"/>
        </w:rPr>
        <w:t>0.7 billion funding to wind down Cruise robotaxi operations in the three months ended March 31, 2025.</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(b)Includes $0.7 billion funding to wind down Cruise robotaxi operations in the three months ended March 31, 2025, which is eliminated within the condensed consolidated statements of cash flows. </w:t>
      </w:r>
    </w:p>
    <w:tbl>
      <w:tblPr>
        <w:tblW w:w="9210" w:type="dxa"/>
        <w:jc w:val="left"/>
        <w:tblInd w:w="0" w:type="dxa"/>
        <w:tblLayout w:type="fixed"/>
        <w:tblCellMar>
          <w:top w:w="28" w:type="dxa"/>
          <w:left w:w="28" w:type="dxa"/>
          <w:bottom w:w="28" w:type="dxa"/>
          <w:right w:w="28" w:type="dxa"/>
        </w:tblCellMar>
      </w:tblPr>
      <w:tblGrid>
        <w:gridCol w:w="1877"/>
        <w:gridCol w:w="1654"/>
        <w:gridCol w:w="1659"/>
        <w:gridCol w:w="332"/>
        <w:gridCol w:w="757"/>
        <w:gridCol w:w="171"/>
        <w:gridCol w:w="109"/>
        <w:gridCol w:w="109"/>
        <w:gridCol w:w="109"/>
        <w:gridCol w:w="332"/>
        <w:gridCol w:w="757"/>
        <w:gridCol w:w="171"/>
        <w:gridCol w:w="109"/>
        <w:gridCol w:w="109"/>
        <w:gridCol w:w="109"/>
        <w:gridCol w:w="211"/>
        <w:gridCol w:w="481"/>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(payments) from short-term debt</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Other(a) </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automotive cash provided by (used in) financing activities</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8"/>
        </w:rPr>
        <w:t xml:space="preserve">(a)Includes $2.0 billion in payments related to the ASR in the three months ended March 31, 2025 and $0.3 billion for payments to purchase common stock in the three months ended March 31, 2024; and $0.1 billion for dividends paid in the three months ended March 31, 2025 and </w:t>
      </w:r>
      <w:r>
        <w:rPr>
          <w:rFonts w:ascii="Times New Roman;sans-serif" w:hAnsi="Times New Roman;sans-serif"/>
          <w:b w:val="false"/>
          <w:color w:val="000000"/>
          <w:sz w:val="18"/>
          <w:shd w:fill="FFFFFF" w:val="clear"/>
        </w:rPr>
        <w:t>2024</w:t>
      </w:r>
      <w:r>
        <w:rPr>
          <w:rFonts w:ascii="Times New Roman;sans-serif" w:hAnsi="Times New Roman;sans-serif"/>
          <w:b w:val="false"/>
          <w:color w:val="000000"/>
          <w:sz w:val="18"/>
        </w:rPr>
        <w:t>.</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 xml:space="preserve">Adjusted Automotive Free Cash Flow </w:t>
      </w:r>
      <w:r>
        <w:rPr>
          <w:rFonts w:ascii="Times New Roman;sans-serif" w:hAnsi="Times New Roman;sans-serif"/>
          <w:b w:val="false"/>
          <w:color w:val="000000"/>
          <w:sz w:val="20"/>
        </w:rPr>
        <w:t>We measure adjusted automotive free cash flow as automotive operating cash flow from operations less capital expenditures adjusted for management actions. In the three months ended March 31, 2025, net automotive cash provided by operating activities was $2.4 billion, capital expenditures were $1.8 billion and adjustments for management actions were $0.2 billion.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net automotive cash provided by operating activities was $3.6 billion, capital expenditures were $2.7 billion and adjustments for management actions were $0.2 billion.</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 xml:space="preserve">Status of Credit Ratings </w:t>
      </w:r>
      <w:r>
        <w:rPr>
          <w:rFonts w:ascii="Times New Roman;sans-serif" w:hAnsi="Times New Roman;sans-serif"/>
          <w:b w:val="false"/>
          <w:color w:val="000000"/>
          <w:sz w:val="20"/>
        </w:rPr>
        <w:t>We receive ratings from four independent credit rating agencies: DBRS Limited, Fitch Ratings, Moody's Investor Service and Standard &amp; Poor's. All four credit rating agencies currently rate our corporate credit at investment grade. As of April 15, 2025, all credit ratings remained unchanged since December 31, 2024.</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Cruise Liquidity </w:t>
      </w:r>
      <w:r>
        <w:rPr>
          <w:rFonts w:ascii="Times New Roman;sans-serif" w:hAnsi="Times New Roman;sans-serif"/>
          <w:b w:val="false"/>
          <w:color w:val="000000"/>
          <w:sz w:val="20"/>
          <w:shd w:fill="FFFFFF" w:val="clear"/>
        </w:rPr>
        <w:t>Cruise available liquidity of $0.1 billion and $0.3 billion at March 31, 2025 and December 31, 2024 consists primarily of cash and cash equivalents. At March 31, 2025, Cruise no longer had any borrowings with GM Financial. The costs to wind down the Cruise robotaxi operations are expected to be funded by Cruise's available liquidity and by us. Cruise's future funding needs to continue winding down the robotaxi operations are not expected to be material.</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Cruise Cash Flow (dollars in billions)</w:t>
      </w:r>
    </w:p>
    <w:tbl>
      <w:tblPr>
        <w:tblW w:w="8369" w:type="dxa"/>
        <w:jc w:val="left"/>
        <w:tblInd w:w="0" w:type="dxa"/>
        <w:tblLayout w:type="fixed"/>
        <w:tblCellMar>
          <w:top w:w="28" w:type="dxa"/>
          <w:left w:w="28" w:type="dxa"/>
          <w:bottom w:w="28" w:type="dxa"/>
          <w:right w:w="28" w:type="dxa"/>
        </w:tblCellMar>
      </w:tblPr>
      <w:tblGrid>
        <w:gridCol w:w="1600"/>
        <w:gridCol w:w="1407"/>
        <w:gridCol w:w="1417"/>
        <w:gridCol w:w="332"/>
        <w:gridCol w:w="757"/>
        <w:gridCol w:w="171"/>
        <w:gridCol w:w="109"/>
        <w:gridCol w:w="109"/>
        <w:gridCol w:w="109"/>
        <w:gridCol w:w="332"/>
        <w:gridCol w:w="757"/>
        <w:gridCol w:w="171"/>
        <w:gridCol w:w="109"/>
        <w:gridCol w:w="109"/>
        <w:gridCol w:w="109"/>
        <w:gridCol w:w="211"/>
        <w:gridCol w:w="406"/>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activities(a)</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(a)Includes intercompany funding activity from GM and GM Financial in the three months ended March 31, 2025, which is eliminated within the condensed consolidated statements of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Automotive Financing – GM Financial Liquidity </w:t>
      </w:r>
      <w:r>
        <w:rPr>
          <w:rFonts w:ascii="Times New Roman;sans-serif" w:hAnsi="Times New Roman;sans-serif"/>
          <w:b w:val="false"/>
          <w:color w:val="000000"/>
          <w:sz w:val="20"/>
        </w:rPr>
        <w:t>GM Financial's primary sources of cash are finance charge income, leasing income and proceeds from 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GM Financial's available liquidity (dollars in billions): </w:t>
      </w:r>
    </w:p>
    <w:tbl>
      <w:tblPr>
        <w:tblW w:w="9341" w:type="dxa"/>
        <w:jc w:val="left"/>
        <w:tblInd w:w="0" w:type="dxa"/>
        <w:tblLayout w:type="fixed"/>
        <w:tblCellMar>
          <w:top w:w="28" w:type="dxa"/>
          <w:left w:w="28" w:type="dxa"/>
          <w:bottom w:w="28" w:type="dxa"/>
          <w:right w:w="28" w:type="dxa"/>
        </w:tblCellMar>
      </w:tblPr>
      <w:tblGrid>
        <w:gridCol w:w="2250"/>
        <w:gridCol w:w="1974"/>
        <w:gridCol w:w="1986"/>
        <w:gridCol w:w="320"/>
        <w:gridCol w:w="775"/>
        <w:gridCol w:w="165"/>
        <w:gridCol w:w="109"/>
        <w:gridCol w:w="109"/>
        <w:gridCol w:w="109"/>
        <w:gridCol w:w="372"/>
        <w:gridCol w:w="901"/>
        <w:gridCol w:w="271"/>
      </w:tblGrid>
      <w:tr>
        <w:trPr/>
        <w:tc>
          <w:tcPr>
            <w:tcW w:w="225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capacity on unpledged eligible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capacity on committed unsecured lines of credit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capacity on revolving credit facility, exclusive to GM Financial</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GM Financial available liquidity</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GM Financial Cash Flow (dollars in billions)</w:t>
      </w:r>
    </w:p>
    <w:tbl>
      <w:tblPr>
        <w:tblW w:w="8384" w:type="dxa"/>
        <w:jc w:val="left"/>
        <w:tblInd w:w="0" w:type="dxa"/>
        <w:tblLayout w:type="fixed"/>
        <w:tblCellMar>
          <w:top w:w="28" w:type="dxa"/>
          <w:left w:w="28" w:type="dxa"/>
          <w:bottom w:w="28" w:type="dxa"/>
          <w:right w:w="28" w:type="dxa"/>
        </w:tblCellMar>
      </w:tblPr>
      <w:tblGrid>
        <w:gridCol w:w="1606"/>
        <w:gridCol w:w="1411"/>
        <w:gridCol w:w="1422"/>
        <w:gridCol w:w="366"/>
        <w:gridCol w:w="705"/>
        <w:gridCol w:w="189"/>
        <w:gridCol w:w="109"/>
        <w:gridCol w:w="109"/>
        <w:gridCol w:w="109"/>
        <w:gridCol w:w="332"/>
        <w:gridCol w:w="757"/>
        <w:gridCol w:w="171"/>
        <w:gridCol w:w="109"/>
        <w:gridCol w:w="109"/>
        <w:gridCol w:w="109"/>
        <w:gridCol w:w="211"/>
        <w:gridCol w:w="40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activities(a)</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activities(b)</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(a)Includes $2.6 billion and $0.9 billion in the three months ended March 31, 2025 and 2024 primarily driven by purchases of, and collections on, wholesale finance receivables and intercompany loans to Cruise which are eliminated within the condensed consolidated statements of cash flows.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(b)Includes $0.4 billion and $0.5 billion in the three months ended March 31, 2025 and 2024 for dividends to GM which are eliminated within the condensed consolidated statements of cash flows.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tbl>
      <w:tblPr>
        <w:tblW w:w="8234" w:type="dxa"/>
        <w:jc w:val="center"/>
        <w:tblInd w:w="0" w:type="dxa"/>
        <w:tblLayout w:type="fixed"/>
        <w:tblCellMar>
          <w:top w:w="28" w:type="dxa"/>
          <w:left w:w="28" w:type="dxa"/>
          <w:bottom w:w="28" w:type="dxa"/>
          <w:right w:w="28" w:type="dxa"/>
        </w:tblCellMar>
      </w:tblPr>
      <w:tblGrid>
        <w:gridCol w:w="1554"/>
        <w:gridCol w:w="1364"/>
        <w:gridCol w:w="1371"/>
        <w:gridCol w:w="366"/>
        <w:gridCol w:w="705"/>
        <w:gridCol w:w="189"/>
        <w:gridCol w:w="109"/>
        <w:gridCol w:w="109"/>
        <w:gridCol w:w="109"/>
        <w:gridCol w:w="366"/>
        <w:gridCol w:w="705"/>
        <w:gridCol w:w="189"/>
        <w:gridCol w:w="109"/>
        <w:gridCol w:w="109"/>
        <w:gridCol w:w="109"/>
        <w:gridCol w:w="211"/>
        <w:gridCol w:w="40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and amortization of loan and leasing fees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income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structures liquidity to support at least six months of GM Financial's expected net cash flows, including new originations, without access to new debt financing transactions or other capital markets activity. At March 31, 2025, available liquidity exceeded GM Financial's liquidity targets.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GM Financial did not have any borrowings outstanding against our credit facility designated for their exclusive use or the remainder of our revolving credit facilities at March 31, 2025 and December 31, 2024. Refer to the "Automotive Liquidity" section of this MD&amp;A for additional details.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 xml:space="preserve">Credit Facilities </w:t>
      </w:r>
      <w:r>
        <w:rPr>
          <w:rFonts w:ascii="Times New Roman;sans-serif" w:hAnsi="Times New Roman;sans-serif"/>
          <w:b w:val="false"/>
          <w:color w:val="000000"/>
          <w:sz w:val="20"/>
        </w:rPr>
        <w:t>In the normal course of business, in addition to using its available cash, GM Financial utilizes borrowings under its credit facilities, which may be secured or unsecured, and GM Financial repays these borrowings as appropriate under its cash management strategy. At March 31, 2025, secured, committed unsecured and uncommitted unsecured credit facilities totaled $27.1 billion, $0.8 billion and $1.9 billion with advances outstanding of $1.4 billion, an insignificant amount and $1.9 billion.</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Critical Accounting Estimates </w:t>
      </w:r>
      <w:r>
        <w:rPr>
          <w:rFonts w:ascii="Times New Roman;sans-serif" w:hAnsi="Times New Roman;sans-serif"/>
          <w:b w:val="false"/>
          <w:color w:val="000000"/>
          <w:sz w:val="20"/>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2024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Non-GAAP Measures </w:t>
      </w:r>
      <w:r>
        <w:rPr>
          <w:rFonts w:ascii="Times New Roman;sans-serif" w:hAnsi="Times New Roman;sans-serif"/>
          <w:b w:val="false"/>
          <w:color w:val="000000"/>
          <w:sz w:val="20"/>
        </w:rPr>
        <w:t xml:space="preserve">We use both GAAP and non-GAAP financial measures for operational and financial decision making, and to assess Company and 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 xml:space="preserve">EBIT-adjusted </w:t>
      </w:r>
      <w:r>
        <w:rPr>
          <w:rFonts w:ascii="Times New Roman;sans-serif" w:hAnsi="Times New Roman;sans-serif"/>
          <w:b w:val="false"/>
          <w:i/>
          <w:color w:val="000000"/>
          <w:sz w:val="20"/>
        </w:rPr>
        <w:t xml:space="preserve">(Most comparable GAAP measure: Net income attributable to stockholders) </w:t>
      </w:r>
      <w:r>
        <w:rPr>
          <w:rFonts w:ascii="Times New Roman;sans-serif" w:hAnsi="Times New Roman;sans-serif"/>
          <w:b w:val="false"/>
          <w:color w:val="000000"/>
          <w:sz w:val="20"/>
        </w:rPr>
        <w:t xml:space="preserve">EBIT-adjusted is presented net of noncontrolling interests and is used by management and can be used by investors to review our consolidated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EPS-diluted-adjusted</w:t>
      </w:r>
      <w:r>
        <w:rPr>
          <w:color w:val="000000"/>
        </w:rPr>
        <w:t xml:space="preserve"> </w:t>
      </w:r>
      <w:r>
        <w:rPr>
          <w:rFonts w:ascii="Times New Roman;sans-serif" w:hAnsi="Times New Roman;sans-serif"/>
          <w:b w:val="false"/>
          <w:i/>
          <w:color w:val="000000"/>
          <w:sz w:val="20"/>
        </w:rPr>
        <w:t xml:space="preserve">(Most comparable GAAP measure: Diluted earnings per common share) </w:t>
      </w:r>
      <w:r>
        <w:rPr>
          <w:rFonts w:ascii="Times New Roman;sans-serif" w:hAnsi="Times New Roman;sans-serif"/>
          <w:b w:val="false"/>
          <w:color w:val="000000"/>
          <w:sz w:val="20"/>
        </w:rPr>
        <w:t xml:space="preserve">EPS-diluted-adjusted is used by management and can be 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ETR-adjusted</w:t>
      </w:r>
      <w:r>
        <w:rPr>
          <w:color w:val="000000"/>
        </w:rPr>
        <w:t xml:space="preserve"> </w:t>
      </w:r>
      <w:r>
        <w:rPr>
          <w:rFonts w:ascii="Times New Roman;sans-serif" w:hAnsi="Times New Roman;sans-serif"/>
          <w:b w:val="false"/>
          <w:i/>
          <w:color w:val="000000"/>
          <w:sz w:val="20"/>
        </w:rPr>
        <w:t>(Most comparable GAAP measure: Effective tax rate)</w:t>
      </w:r>
      <w:r>
        <w:rPr>
          <w:color w:val="000000"/>
        </w:rPr>
        <w:t xml:space="preserve"> </w:t>
      </w:r>
      <w:r>
        <w:rPr>
          <w:rFonts w:ascii="Times New Roman;sans-serif" w:hAnsi="Times New Roman;sans-serif"/>
          <w:b w:val="false"/>
          <w:color w:val="000000"/>
          <w:sz w:val="20"/>
        </w:rPr>
        <w:t xml:space="preserve">ETR-adjusted is used by management and can be used 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ROIC-adjusted</w:t>
      </w:r>
      <w:r>
        <w:rPr>
          <w:color w:val="000000"/>
        </w:rPr>
        <w:t xml:space="preserve"> </w:t>
      </w:r>
      <w:r>
        <w:rPr>
          <w:rFonts w:ascii="Times New Roman;sans-serif" w:hAnsi="Times New Roman;sans-serif"/>
          <w:b w:val="false"/>
          <w:i/>
          <w:color w:val="000000"/>
          <w:sz w:val="20"/>
        </w:rPr>
        <w:t>(Most comparable GAAP measure: Return on equity)</w:t>
      </w:r>
      <w:r>
        <w:rPr>
          <w:color w:val="000000"/>
        </w:rPr>
        <w:t xml:space="preserve"> </w:t>
      </w:r>
      <w:r>
        <w:rPr>
          <w:rFonts w:ascii="Times New Roman;sans-serif" w:hAnsi="Times New Roman;sans-serif"/>
          <w:b w:val="false"/>
          <w:color w:val="000000"/>
          <w:sz w:val="20"/>
        </w:rPr>
        <w:t>ROIC-adjusted is used by management and can be used by investors to review our 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OPEB liabilities; and average automotive net income tax assets during the same period.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Adjusted automotive free cash flow</w:t>
      </w:r>
      <w:r>
        <w:rPr>
          <w:color w:val="000000"/>
        </w:rPr>
        <w:t xml:space="preserve"> </w:t>
      </w:r>
      <w:r>
        <w:rPr>
          <w:rFonts w:ascii="Times New Roman;sans-serif" w:hAnsi="Times New Roman;sans-serif"/>
          <w:b w:val="false"/>
          <w:i/>
          <w:color w:val="000000"/>
          <w:sz w:val="20"/>
        </w:rPr>
        <w:t>(Most comparable GAAP measure: Net automotive cash provided by operating activities)</w:t>
      </w:r>
      <w:r>
        <w:rPr>
          <w:color w:val="000000"/>
        </w:rPr>
        <w:t xml:space="preserve"> </w:t>
      </w:r>
      <w:r>
        <w:rPr>
          <w:rFonts w:ascii="Times New Roman;sans-serif" w:hAnsi="Times New Roman;sans-serif"/>
          <w:b w:val="false"/>
          <w:color w:val="000000"/>
          <w:sz w:val="20"/>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(loss) attributable to stockholders to EBIT-adjusted:</w:t>
      </w:r>
    </w:p>
    <w:tbl>
      <w:tblPr>
        <w:tblW w:w="11248" w:type="dxa"/>
        <w:jc w:val="center"/>
        <w:tblInd w:w="0" w:type="dxa"/>
        <w:tblLayout w:type="fixed"/>
        <w:tblCellMar>
          <w:top w:w="28" w:type="dxa"/>
          <w:left w:w="28" w:type="dxa"/>
          <w:bottom w:w="28" w:type="dxa"/>
          <w:right w:w="28" w:type="dxa"/>
        </w:tblCellMar>
      </w:tblPr>
      <w:tblGrid>
        <w:gridCol w:w="674"/>
        <w:gridCol w:w="368"/>
        <w:gridCol w:w="36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7"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Headquarters relocation(a)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Buick dealer strategy(b)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China JV restructuring actions(c)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Cruise restructuring(d)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actions(e)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GMI plant wind down(f)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Voluntary separation program(g)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GM Korea wage litigation(h)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India asset sales(i)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EBIT-adjusted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(a)These adjustments were excluded because they relate to the GM headquarters relocation, primarily consisting of accelerated depreciation.</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(b)These adjustments were excluded because they relate to strategic activities to transition certain Buick dealers out of our dealer network as part of Buick’s EV strategy.</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(c)These adjustments were excluded because they relate to the other-than-temporary impairment and our portion of restructuring charges recorded in equity earnings associated with our Automotive China JVs.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(d)These adjustments were excluded because they relate to restructuring charges resulting from the plan to combine the Cruise and GM technical efforts to advance autonomous and assisted driving, the indefinite delay of the Cruise Origin and the voluntarily pausing in 2023 of Cruise's driverless, supervised and manual AV operations in the U.S. The adjustments primarily consist of non-cash restructuring charges, supplier-related charges and employee separation costs. </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(e)These adjustments were excluded because they relate to employee separation charges primarily in North America.</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(f)These adjustments were excluded because they relate to the wind down of our manufacturing operations in Colombia and Ecuador.</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(g)These adjustments were excluded because they relate to the acceleration of attrition as part of the cost reduction program announced in January 2023, primarily in the U.S.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(h)These adjustments were excluded because they relate to the partial resolution of subcontractor matters in Korea.</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(i)These adjustments were excluded because they relate to an asset sale resulting from our strategic decision in 2020 to exit India.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left"/>
        <w:rPr/>
      </w:pPr>
      <w:r>
        <w:rPr>
          <w:rFonts w:ascii="Times New Roman;sans-serif" w:hAnsi="Times New Roman;sans-serif"/>
          <w:b w:val="false"/>
          <w:color w:val="000000"/>
          <w:sz w:val="20"/>
        </w:rPr>
        <w:t>The following table reconciles diluted earnin</w:t>
      </w:r>
      <w:r>
        <w:rPr>
          <w:rFonts w:ascii="Times New Roman;sans-serif" w:hAnsi="Times New Roman;sans-serif"/>
          <w:b w:val="false"/>
          <w:color w:val="000000"/>
          <w:sz w:val="20"/>
          <w:shd w:fill="FFFFFF" w:val="clear"/>
        </w:rPr>
        <w:t>gs pe</w:t>
      </w:r>
      <w:r>
        <w:rPr>
          <w:rFonts w:ascii="Times New Roman;sans-serif" w:hAnsi="Times New Roman;sans-serif"/>
          <w:b w:val="false"/>
          <w:color w:val="000000"/>
          <w:sz w:val="20"/>
        </w:rPr>
        <w:t xml:space="preserve">r common share to EPS-diluted-adjusted: </w:t>
      </w:r>
    </w:p>
    <w:tbl>
      <w:tblPr>
        <w:tblW w:w="8567" w:type="dxa"/>
        <w:jc w:val="center"/>
        <w:tblInd w:w="0" w:type="dxa"/>
        <w:tblLayout w:type="fixed"/>
        <w:tblCellMar>
          <w:top w:w="28" w:type="dxa"/>
          <w:left w:w="28" w:type="dxa"/>
          <w:bottom w:w="28" w:type="dxa"/>
          <w:right w:w="28" w:type="dxa"/>
        </w:tblCellMar>
      </w:tblPr>
      <w:tblGrid>
        <w:gridCol w:w="1135"/>
        <w:gridCol w:w="998"/>
        <w:gridCol w:w="1002"/>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109"/>
        <w:gridCol w:w="109"/>
        <w:gridCol w:w="109"/>
        <w:gridCol w:w="109"/>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on adjustments(b)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from preferred shareholders(c)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EPS-diluted-adjusted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(a)Refer to the reconciliation of Net income (loss) attributable to stockholders to EBIT-adjusted within this section of MD&amp;A for the details of each individual adjustment.</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(b)The tax effect of each adjustment is determined based on the tax laws and valuation allowance status of the jurisdiction to which the adjustment relates.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(c)This adjustment consists of a return from the preferred shareholders related to the redemption of Cruise preferred shares from noncontrolling interest holders in the three months ended March 31, 2025.</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our effective tax rate to ETR-adjusted: </w:t>
      </w:r>
    </w:p>
    <w:tbl>
      <w:tblPr>
        <w:tblW w:w="10205" w:type="dxa"/>
        <w:jc w:val="center"/>
        <w:tblInd w:w="0" w:type="dxa"/>
        <w:tblLayout w:type="fixed"/>
        <w:tblCellMar>
          <w:top w:w="28" w:type="dxa"/>
          <w:left w:w="28" w:type="dxa"/>
          <w:bottom w:w="28" w:type="dxa"/>
          <w:right w:w="28" w:type="dxa"/>
        </w:tblCellMar>
      </w:tblPr>
      <w:tblGrid>
        <w:gridCol w:w="543"/>
        <w:gridCol w:w="437"/>
        <w:gridCol w:w="311"/>
        <w:gridCol w:w="243"/>
        <w:gridCol w:w="712"/>
        <w:gridCol w:w="125"/>
        <w:gridCol w:w="109"/>
        <w:gridCol w:w="109"/>
        <w:gridCol w:w="109"/>
        <w:gridCol w:w="259"/>
        <w:gridCol w:w="573"/>
        <w:gridCol w:w="134"/>
        <w:gridCol w:w="109"/>
        <w:gridCol w:w="109"/>
        <w:gridCol w:w="109"/>
        <w:gridCol w:w="255"/>
        <w:gridCol w:w="256"/>
        <w:gridCol w:w="401"/>
        <w:gridCol w:w="109"/>
        <w:gridCol w:w="109"/>
        <w:gridCol w:w="109"/>
        <w:gridCol w:w="243"/>
        <w:gridCol w:w="712"/>
        <w:gridCol w:w="125"/>
        <w:gridCol w:w="109"/>
        <w:gridCol w:w="109"/>
        <w:gridCol w:w="109"/>
        <w:gridCol w:w="259"/>
        <w:gridCol w:w="573"/>
        <w:gridCol w:w="134"/>
        <w:gridCol w:w="109"/>
        <w:gridCol w:w="109"/>
        <w:gridCol w:w="109"/>
        <w:gridCol w:w="255"/>
        <w:gridCol w:w="256"/>
        <w:gridCol w:w="401"/>
        <w:gridCol w:w="109"/>
        <w:gridCol w:w="109"/>
        <w:gridCol w:w="109"/>
        <w:gridCol w:w="109"/>
        <w:gridCol w:w="109"/>
        <w:gridCol w:w="109"/>
        <w:gridCol w:w="109"/>
        <w:gridCol w:w="109"/>
        <w:gridCol w:w="109"/>
        <w:gridCol w:w="109"/>
        <w:gridCol w:w="109"/>
        <w:gridCol w:w="164"/>
      </w:tblGrid>
      <w:tr>
        <w:trPr/>
        <w:tc>
          <w:tcPr>
            <w:tcW w:w="5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10"/>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8"/>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Adjustments(a)</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ETR-adjusted</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(a)Refer to the reconciliation of Net income (loss) attributable to stockholders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pStyle w:val="TextBody"/>
        <w:bidi w:val="0"/>
        <w:spacing w:before="0" w:after="0"/>
        <w:ind w:left="0" w:right="0" w:hanging="36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tbl>
      <w:tblPr>
        <w:tblW w:w="6401" w:type="dxa"/>
        <w:jc w:val="center"/>
        <w:tblInd w:w="0" w:type="dxa"/>
        <w:tblLayout w:type="fixed"/>
        <w:tblCellMar>
          <w:top w:w="28" w:type="dxa"/>
          <w:left w:w="28" w:type="dxa"/>
          <w:bottom w:w="28" w:type="dxa"/>
          <w:right w:w="28" w:type="dxa"/>
        </w:tblCellMar>
      </w:tblPr>
      <w:tblGrid>
        <w:gridCol w:w="1207"/>
        <w:gridCol w:w="1060"/>
        <w:gridCol w:w="1063"/>
        <w:gridCol w:w="267"/>
        <w:gridCol w:w="649"/>
        <w:gridCol w:w="343"/>
        <w:gridCol w:w="127"/>
        <w:gridCol w:w="127"/>
        <w:gridCol w:w="127"/>
        <w:gridCol w:w="127"/>
        <w:gridCol w:w="265"/>
        <w:gridCol w:w="642"/>
        <w:gridCol w:w="397"/>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 Quarters Ended</w:t>
            </w:r>
          </w:p>
        </w:tc>
        <w:tc>
          <w:tcPr>
            <w:tcW w:w="1304" w:type="dxa"/>
            <w:gridSpan w:val="3"/>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equity(a)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(a)Includes equity of noncontrolling interests where the corresponding earnings (loss) are included in Net income attributable to stockholders.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ROIC-adjusted (dollars in billions):</w:t>
      </w:r>
    </w:p>
    <w:tbl>
      <w:tblPr>
        <w:tblW w:w="9490" w:type="dxa"/>
        <w:jc w:val="left"/>
        <w:tblInd w:w="0" w:type="dxa"/>
        <w:tblLayout w:type="fixed"/>
        <w:tblCellMar>
          <w:top w:w="28" w:type="dxa"/>
          <w:left w:w="28" w:type="dxa"/>
          <w:bottom w:w="28" w:type="dxa"/>
          <w:right w:w="28" w:type="dxa"/>
        </w:tblCellMar>
      </w:tblPr>
      <w:tblGrid>
        <w:gridCol w:w="2392"/>
        <w:gridCol w:w="2102"/>
        <w:gridCol w:w="2106"/>
        <w:gridCol w:w="267"/>
        <w:gridCol w:w="648"/>
        <w:gridCol w:w="344"/>
        <w:gridCol w:w="109"/>
        <w:gridCol w:w="109"/>
        <w:gridCol w:w="109"/>
        <w:gridCol w:w="265"/>
        <w:gridCol w:w="642"/>
        <w:gridCol w:w="397"/>
      </w:tblGrid>
      <w:tr>
        <w:trPr/>
        <w:tc>
          <w:tcPr>
            <w:tcW w:w="239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 Quarters Ended</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EBIT-adjusted(a)</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equity(b)</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Average automotive debt and interest liabilities (excluding finance leases)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Average automotive net pension &amp; OPEB liability</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Average automotive and other net income tax asset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ROIC-adjusted average net assets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ROIC-adjusted</w:t>
            </w:r>
          </w:p>
        </w:tc>
        <w:tc>
          <w:tcPr>
            <w:tcW w:w="9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(a)Refer to the reconciliation of Net income (loss) attributable to stockholders to EBIT-adjusted within this section of MD&amp;A. </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(b)Includes equity of noncontrolling interests where the corresponding earnings (loss) are included in EBIT-adjusted.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Forward-Looking Statements </w:t>
      </w:r>
      <w:r>
        <w:rPr>
          <w:rFonts w:ascii="Times New Roman;sans-serif" w:hAnsi="Times New Roman;sans-serif"/>
          <w:b w:val="false"/>
          <w:color w:val="000000"/>
          <w:sz w:val="20"/>
        </w:rPr>
        <w:t xml:space="preserve">This report and the other reports filed by us with the SEC from time to time, as well as 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adoptions of EVs by consumers; (6) 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operations and products, including those relating to fuel economy, emissions and AVs; (23) costs and risks associated with litigation and government investigations;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A further discussion of these risks, uncertainties and other factors can be found in Part I, Item 1A. Risk Factors of our 2024 Form 10-K and our subsequent filings with the SEC.</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exposure to market risk since December 31, 2024. For further discussion on market risk, refer to Part II, Item 7A. of our 2024 Form 10-K.</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shd w:fill="FFFFFF" w:val="clear"/>
        </w:rPr>
        <w:t xml:space="preserve">Disclosure Controls and Procedures </w:t>
      </w:r>
      <w:r>
        <w:rPr>
          <w:rFonts w:ascii="Times New Roman;sans-serif" w:hAnsi="Times New Roman;sans-serif"/>
          <w:b w:val="false"/>
          <w:color w:val="000000"/>
          <w:sz w:val="20"/>
          <w:shd w:fill="FFFFFF" w:val="clear"/>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pStyle w:val="TextBody"/>
        <w:bidi w:val="0"/>
        <w:spacing w:before="0" w:after="0"/>
        <w:ind w:left="0" w:right="0" w:firstLine="225"/>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shd w:fill="FFFFFF" w:val="clear"/>
        </w:rPr>
        <w:t>Our management, with the participation of our CEO and CFO, evaluated the effectiveness of our disclosure controls and procedures (as defined in Rules 13a-15(e) or 15d-15(e) promulgated under the Exchange Act) as of March 31, 2025 as required by paragraph (b) of Rules 13a-15 or 15d-15. Based on this evaluation, our CEO and CFO concluded that our disclosure controls and procedu</w:t>
      </w:r>
      <w:r>
        <w:rPr>
          <w:rFonts w:ascii="Times New Roman;sans-serif" w:hAnsi="Times New Roman;sans-serif"/>
          <w:b w:val="false"/>
          <w:color w:val="000000"/>
          <w:sz w:val="20"/>
        </w:rPr>
        <w:t>res were effective as of March 31, 2025.</w:t>
      </w:r>
    </w:p>
    <w:p>
      <w:pPr>
        <w:pStyle w:val="TextBody"/>
        <w:bidi w:val="0"/>
        <w:spacing w:before="0" w:after="0"/>
        <w:ind w:left="0" w:right="0" w:firstLine="225"/>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Changes in Internal Control over Financial Reporting </w:t>
      </w:r>
      <w:r>
        <w:rPr>
          <w:rFonts w:ascii="Times New Roman;sans-serif" w:hAnsi="Times New Roman;sans-serif"/>
          <w:b w:val="false"/>
          <w:color w:val="000000"/>
          <w:sz w:val="20"/>
        </w:rPr>
        <w:t>There have not been any changes in</w:t>
      </w:r>
      <w:r>
        <w:rPr>
          <w:color w:val="000000"/>
          <w:shd w:fill="FFFFFF" w:val="clear"/>
        </w:rPr>
        <w:t xml:space="preserve"> </w:t>
      </w:r>
      <w:r>
        <w:rPr>
          <w:rFonts w:ascii="Times New Roman;sans-serif" w:hAnsi="Times New Roman;sans-serif"/>
          <w:b w:val="false"/>
          <w:color w:val="000000"/>
          <w:sz w:val="20"/>
          <w:shd w:fill="FFFFFF" w:val="clear"/>
        </w:rPr>
        <w:t>our internal control over financial reporting during the three months ended March 31, 2025 that have materially affected, or are r</w:t>
      </w:r>
      <w:r>
        <w:rPr>
          <w:rFonts w:ascii="Times New Roman;sans-serif" w:hAnsi="Times New Roman;sans-serif"/>
          <w:b w:val="false"/>
          <w:color w:val="000000"/>
          <w:sz w:val="20"/>
        </w:rPr>
        <w:t>easonably likely to materially affect, our internal control over financial reporting.</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0"/>
        </w:rPr>
        <w:t>PART II</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20"/>
          <w:shd w:fill="FFFFFF" w:val="clear"/>
        </w:rPr>
        <w:t xml:space="preserve">The discussion under </w:t>
      </w:r>
      <w:r>
        <w:rPr>
          <w:rFonts w:ascii="Times New Roman;sans-serif" w:hAnsi="Times New Roman;sans-serif"/>
          <w:b w:val="false"/>
          <w:color w:val="000000"/>
          <w:sz w:val="20"/>
        </w:rPr>
        <w:t>Note 14</w:t>
      </w:r>
      <w:r>
        <w:rPr>
          <w:color w:val="000000"/>
          <w:shd w:fill="FFFFFF" w:val="clear"/>
        </w:rPr>
        <w:t xml:space="preserve"> </w:t>
      </w:r>
      <w:r>
        <w:rPr>
          <w:rFonts w:ascii="Times New Roman;sans-serif" w:hAnsi="Times New Roman;sans-serif"/>
          <w:b w:val="false"/>
          <w:color w:val="000000"/>
          <w:sz w:val="20"/>
        </w:rPr>
        <w:t>to our condensed consolidated financial statements is incorporated by reference into this Part II, Item 1.</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2024 Form 10-K, other than as set forth below in this Item 1A.</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212121"/>
          <w:sz w:val="20"/>
        </w:rPr>
        <w:t xml:space="preserve">The U.S. Government has introduced new tariffs applicable to the automotive industry. Such tariffs, and similar tariffs imposed by other governments, could have a material adverse effect on our financial condition and results of operations. </w:t>
      </w:r>
      <w:r>
        <w:rPr>
          <w:rFonts w:ascii="Times New Roman;sans-serif" w:hAnsi="Times New Roman;sans-serif"/>
          <w:b w:val="false"/>
          <w:color w:val="000000"/>
          <w:sz w:val="20"/>
        </w:rPr>
        <w:t>The U.S. Government has introduced new tariffs and tariff-related measures, including tariffs specifically related to the automotive industry. The U.S. tariff environment remains highly dynamic and the specific tariffs applicable to goods imported by GM into the U.S., including under the U.S.-Mexico-Canada Agreement, continue to evolve. Import tariffs charged by other countries in which GM does business may also change. As a result, we cannot predict with precision the breadth of tariffs and related costs that will ultimately impact GM, but such costs could be substantial and have a material adverse effect on our financial condition, results of operations and cash flows, and our expected financial results. Based on the ultimate scope, nature and duration of any tariffs implemented, we may take various mitigating actions, such as making changes to our U.S. production plan and reducing or pausing imports, which may not fully offset the impact of tariffs. Tariffs could also cause supply chain disruptions globally, potentially resulting in increased production costs, the inability to receive certain critical parts, increased vehicle prices, reduced incentives and/or lost vehicle production volumes. We may also need to make material changes to our global production footprint and workforce, which could require significant capital expenditures and could result in asset impairments and other charges, including restructuring charges, any of which could be material. These or similar actions may lead to a decrease in our demand and/or market share, and such decreases could be material.</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Purchases of Equity Securities </w:t>
      </w:r>
      <w:r>
        <w:rPr>
          <w:rFonts w:ascii="Times New Roman;sans-serif" w:hAnsi="Times New Roman;sans-serif"/>
          <w:b w:val="false"/>
          <w:color w:val="000000"/>
          <w:sz w:val="20"/>
        </w:rPr>
        <w:t>The following table summarizes our purchases of common stock in the three months ended March 31, 2025:</w:t>
      </w:r>
    </w:p>
    <w:tbl>
      <w:tblPr>
        <w:tblW w:w="10205" w:type="dxa"/>
        <w:jc w:val="left"/>
        <w:tblInd w:w="0" w:type="dxa"/>
        <w:tblLayout w:type="fixed"/>
        <w:tblCellMar>
          <w:top w:w="28" w:type="dxa"/>
          <w:left w:w="28" w:type="dxa"/>
          <w:bottom w:w="28" w:type="dxa"/>
          <w:right w:w="28" w:type="dxa"/>
        </w:tblCellMar>
      </w:tblPr>
      <w:tblGrid>
        <w:gridCol w:w="662"/>
        <w:gridCol w:w="537"/>
        <w:gridCol w:w="540"/>
        <w:gridCol w:w="851"/>
        <w:gridCol w:w="527"/>
        <w:gridCol w:w="529"/>
        <w:gridCol w:w="109"/>
        <w:gridCol w:w="109"/>
        <w:gridCol w:w="109"/>
        <w:gridCol w:w="356"/>
        <w:gridCol w:w="1040"/>
        <w:gridCol w:w="183"/>
        <w:gridCol w:w="109"/>
        <w:gridCol w:w="109"/>
        <w:gridCol w:w="109"/>
        <w:gridCol w:w="864"/>
        <w:gridCol w:w="540"/>
        <w:gridCol w:w="542"/>
        <w:gridCol w:w="109"/>
        <w:gridCol w:w="109"/>
        <w:gridCol w:w="109"/>
        <w:gridCol w:w="598"/>
        <w:gridCol w:w="598"/>
        <w:gridCol w:w="857"/>
      </w:tblGrid>
      <w:tr>
        <w:trPr/>
        <w:tc>
          <w:tcPr>
            <w:tcW w:w="66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Price Paid per Share</w:t>
              <w:br/>
              <w:t>(b)(c)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Purchased Under Announced Programs(b)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w:t>
              <w:br/>
              <w:t>May Yet be Purchased Under Announced Programs(b)</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through January 31, 2025</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299,862 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231,652 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 billion</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through February 28, 2025</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34,921,985 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33,016,920 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 billion</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through March 31, 2025</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 billion</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35,225,018 </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33,248,572 </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(a)Shares purchased include shares delivered by employees or directors to us for the payment of taxes resulting from the issuance of common stock upon the vesting of RSUs and PSUs relating to compensation plans. Refer to our 2024 Form 10-K for additional details on employee stock incentive plans.</w:t>
      </w:r>
    </w:p>
    <w:p>
      <w:pPr>
        <w:pStyle w:val="TextBody"/>
        <w:bidi w:val="0"/>
        <w:spacing w:lineRule="auto" w:line="288" w:before="0" w:after="0"/>
        <w:ind w:left="0" w:right="0" w:hanging="360"/>
        <w:jc w:val="both"/>
        <w:rPr/>
      </w:pPr>
      <w:r>
        <w:rPr>
          <w:rFonts w:ascii="Times New Roman;sans-serif" w:hAnsi="Times New Roman;sans-serif"/>
          <w:b w:val="false"/>
          <w:color w:val="000000"/>
          <w:sz w:val="18"/>
          <w:shd w:fill="FFFFFF" w:val="clear"/>
        </w:rPr>
        <w:t xml:space="preserve">(b)In February 2025, our Board of Directors increased the capacity under our existing share repurchase program by $6.0 billion to an aggregate of $6.3 billion, with no expiration, and approved an ASR program to repurchase an aggregate amount of $2.0 billion of our common stock. In February 2025, pursuant to the ASR Agreements, we advanced the $2.0 billion and received and immediately retired 33 million shares of our common stock worth $1.6 billion (80% of the aggregate purchase price based on a $48.46 per share closing share price of our common stock on February 26, 2025). The final number of shares </w:t>
      </w:r>
      <w:r>
        <w:rPr>
          <w:rFonts w:ascii="Times New Roman;sans-serif" w:hAnsi="Times New Roman;sans-serif"/>
          <w:b w:val="false"/>
          <w:color w:val="000000"/>
          <w:sz w:val="18"/>
        </w:rPr>
        <w:t>received under the ASR program will be based</w:t>
      </w:r>
      <w:r>
        <w:rPr>
          <w:color w:val="000000"/>
          <w:shd w:fill="FFFFFF" w:val="clear"/>
        </w:rPr>
        <w:t xml:space="preserve"> </w:t>
      </w:r>
      <w:r>
        <w:rPr>
          <w:rFonts w:ascii="Times New Roman;sans-serif" w:hAnsi="Times New Roman;sans-serif"/>
          <w:b w:val="false"/>
          <w:color w:val="000000"/>
          <w:sz w:val="18"/>
          <w:shd w:fill="FFFFFF" w:val="clear"/>
        </w:rPr>
        <w:t xml:space="preserve">on the average of the daily volume-weighted average prices of our common stock during the term of the ASR Agreements, less a discount pursuant to the terms and conditions of the ASR Agreements, and is expected to occur no later than June 30, 2025. </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(c)The weighted-average price paid per share excludes broker commissions.</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following directors or officers of the Company adopted a "Rule 10b5-1 trading arrangement" or "non-Rule 10b5-1 trading arrangement," as each term is defined in Item 408(a) of Regulation S-K: (1) on February 11, 2025, Mark Reuss, President, adopted a trading plan intended to satisfy Rule 10b5-1(c) to sell up to 116,060 shares of GM common stock and the exercise of vested stock options and the associated sale of up to 307,570 shares of GM common stock between May 14, 2025 and February 6, 2026, subject to certain conditions; and (2) on February 24, 2025, Christopher Hatto, Vice President, Global Business Solutions and Chief Accounting Officer, adopted a trading plan intended to satisfy Rule 10b5-1(c) to sell up to 10,762 shares of GM common stock and the exercise of vested stock options and the associated sale of up to 87,530 shares of GM common stock between May 26, 2025 and January 30, 2026, subject to certain conditions.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26"/>
        <w:gridCol w:w="286"/>
        <w:gridCol w:w="287"/>
        <w:gridCol w:w="109"/>
        <w:gridCol w:w="109"/>
        <w:gridCol w:w="109"/>
        <w:gridCol w:w="2546"/>
        <w:gridCol w:w="2403"/>
        <w:gridCol w:w="2364"/>
        <w:gridCol w:w="109"/>
        <w:gridCol w:w="109"/>
        <w:gridCol w:w="109"/>
        <w:gridCol w:w="390"/>
        <w:gridCol w:w="390"/>
        <w:gridCol w:w="559"/>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80"/>
                  <w:sz w:val="20"/>
                  <w:u w:val="single"/>
                </w:rPr>
                <w:t xml:space="preserve">Restated Certificate of Incorporation of General Motors Company dated December </w:t>
              </w:r>
            </w:hyperlink>
            <w:hyperlink r:id="rId4">
              <w:r>
                <w:rPr>
                  <w:rStyle w:val="InternetLink"/>
                  <w:rFonts w:ascii="Times New Roman;sans-serif" w:hAnsi="Times New Roman;sans-serif"/>
                  <w:b w:val="false"/>
                  <w:color w:val="000080"/>
                  <w:sz w:val="20"/>
                  <w:u w:val="single"/>
                </w:rPr>
                <w:t>9</w:t>
              </w:r>
            </w:hyperlink>
            <w:hyperlink r:id="rId5">
              <w:r>
                <w:rPr>
                  <w:rStyle w:val="InternetLink"/>
                  <w:rFonts w:ascii="Times New Roman;sans-serif" w:hAnsi="Times New Roman;sans-serif"/>
                  <w:b w:val="false"/>
                  <w:color w:val="000080"/>
                  <w:sz w:val="20"/>
                  <w:u w:val="single"/>
                </w:rPr>
                <w:t xml:space="preserve">, 2010, incorporated </w:t>
              </w:r>
            </w:hyperlink>
            <w:hyperlink r:id="rId6">
              <w:r>
                <w:rPr>
                  <w:rStyle w:val="InternetLink"/>
                  <w:rFonts w:ascii="Times New Roman;sans-serif" w:hAnsi="Times New Roman;sans-serif"/>
                  <w:b w:val="false"/>
                  <w:color w:val="000080"/>
                  <w:sz w:val="20"/>
                  <w:u w:val="single"/>
                </w:rPr>
                <w:t>by reference to Exhibit 3.2 to the Current Report on Form 8-K of General Motors Company filed December 13, 2010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General Motors Company Amended and Restated Bylaws, as amended October 4, 2024, incorporated by reference to Exhibit 3.1 to the Current Report on Form 8-K of General Motors Company filed October 9,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80"/>
                  <w:sz w:val="20"/>
                  <w:u w:val="single"/>
                </w:rPr>
                <w:t>Fifth Amended and Restated 5-Year Revolving Credit Agreement, dated as of March 25, 2025, among General Motors Company, General Motors Financial Company, Inc., the subsidiary borrowers from time to time parties thereto, the several lenders from time to time parties thereto, JPMorgan Chase Bank, N.A., as administrative agent, and Citibank, N.A., as syndication agent, incorporated by reference to Exhibit 10.1 to the Current Report on Form 8-K of General Motors Company filed March 2</w:t>
              </w:r>
            </w:hyperlink>
            <w:hyperlink r:id="rId9">
              <w:r>
                <w:rPr>
                  <w:rStyle w:val="InternetLink"/>
                  <w:rFonts w:ascii="Times New Roman;sans-serif" w:hAnsi="Times New Roman;sans-serif"/>
                  <w:b w:val="false"/>
                  <w:color w:val="000080"/>
                  <w:sz w:val="20"/>
                  <w:u w:val="single"/>
                </w:rPr>
                <w:t>6</w:t>
              </w:r>
            </w:hyperlink>
            <w:hyperlink r:id="rId10">
              <w:r>
                <w:rPr>
                  <w:rStyle w:val="InternetLink"/>
                  <w:rFonts w:ascii="Times New Roman;sans-serif" w:hAnsi="Times New Roman;sans-serif"/>
                  <w:b w:val="false"/>
                  <w:color w:val="000080"/>
                  <w:sz w:val="20"/>
                  <w:u w:val="single"/>
                </w:rPr>
                <w:t>,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80"/>
                  <w:sz w:val="20"/>
                  <w:u w:val="single"/>
                </w:rPr>
                <w:t>Sixth Amended and Restated 3-Year Revolving Credit Agreement, dated as of March 25, 2025, among General Motors Company, General Motors Financial Company, Inc., the subsidiary borrowers from time to time parties thereto, the several lenders from time to time parties thereto, JPMorgan Chase Bank, N.A., as administrative agent, and Citibank, N.A., as syndication agent, incorporated by reference to Exhibit 10.2 to the Current Report on Form 8-K of General Motors Company filed March 2</w:t>
              </w:r>
            </w:hyperlink>
            <w:hyperlink r:id="rId12">
              <w:r>
                <w:rPr>
                  <w:rStyle w:val="InternetLink"/>
                  <w:rFonts w:ascii="Times New Roman;sans-serif" w:hAnsi="Times New Roman;sans-serif"/>
                  <w:b w:val="false"/>
                  <w:color w:val="000080"/>
                  <w:sz w:val="20"/>
                  <w:u w:val="single"/>
                </w:rPr>
                <w:t>6</w:t>
              </w:r>
            </w:hyperlink>
            <w:hyperlink r:id="rId13">
              <w:r>
                <w:rPr>
                  <w:rStyle w:val="InternetLink"/>
                  <w:rFonts w:ascii="Times New Roman;sans-serif" w:hAnsi="Times New Roman;sans-serif"/>
                  <w:b w:val="false"/>
                  <w:color w:val="000080"/>
                  <w:sz w:val="20"/>
                  <w:u w:val="single"/>
                </w:rPr>
                <w:t>,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80"/>
                  <w:sz w:val="20"/>
                  <w:u w:val="single"/>
                </w:rPr>
                <w:t>Seventh Amended and Restated 364-Day Revolving Credit Agreement, dated as of March 25, 2025, among General Motors Company, General Motors Financial Company, Inc., the subsidiary borrowers from time to time parties thereto, the several lenders from time to time parties thereto, JPMorgan Chase Bank, N.A., as administrative agent, and Citibank, N.A., as syndication agent, incorporated by reference to Exhibit 10.3 to the Current Report on Form 8-K of General Motors Company filed March 2</w:t>
              </w:r>
            </w:hyperlink>
            <w:hyperlink r:id="rId15">
              <w:r>
                <w:rPr>
                  <w:rStyle w:val="InternetLink"/>
                  <w:rFonts w:ascii="Times New Roman;sans-serif" w:hAnsi="Times New Roman;sans-serif"/>
                  <w:b w:val="false"/>
                  <w:color w:val="000080"/>
                  <w:sz w:val="20"/>
                  <w:u w:val="single"/>
                </w:rPr>
                <w:t>6</w:t>
              </w:r>
            </w:hyperlink>
            <w:hyperlink r:id="rId16">
              <w:r>
                <w:rPr>
                  <w:rStyle w:val="InternetLink"/>
                  <w:rFonts w:ascii="Times New Roman;sans-serif" w:hAnsi="Times New Roman;sans-serif"/>
                  <w:b w:val="false"/>
                  <w:color w:val="000080"/>
                  <w:sz w:val="20"/>
                  <w:u w:val="single"/>
                </w:rPr>
                <w:t>,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x03312025.htm">
              <w:r>
                <w:rPr>
                  <w:rStyle w:val="InternetLink"/>
                  <w:rFonts w:ascii="Times New Roman;sans-serif" w:hAnsi="Times New Roman;sans-serif"/>
                  <w:b w:val="false"/>
                  <w:color w:val="0000FF"/>
                  <w:sz w:val="20"/>
                  <w:u w:val="single"/>
                </w:rPr>
                <w:t>Section 302 Certification of the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x03312025.htm">
              <w:r>
                <w:rPr>
                  <w:rStyle w:val="InternetLink"/>
                  <w:rFonts w:ascii="Times New Roman;sans-serif" w:hAnsi="Times New Roman;sans-serif"/>
                  <w:b w:val="false"/>
                  <w:color w:val="0000FF"/>
                  <w:sz w:val="20"/>
                  <w:u w:val="single"/>
                </w:rPr>
                <w:t>Section 302 Certification of the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x03312025.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with this Report</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March 31, 2025, formatted in Inline Extensible Business Reporting Language (iXBRL) includes: (i) the Condensed Consolidated Income Statements, (ii) the Condensed Consolidated Statements of Comprehensive Income, (iii) the Condensed Consolidated Balance Sheets, (iv) the Condensed Consolidated Statements of Cash Flows, (v) the Condensed Consolidated Statements of Equity and (vi) Notes to the Condensed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March 31, 2025,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18"/>
        </w:rPr>
        <w:t>Portions of this exhibit have been omitted pursuant to Rule 601(b)(10) of Regulation S-K. The omitted information is not material and would likely cause competitive harm to the registrant if publicly disclosed.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SIGNATURE</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3"/>
        <w:gridCol w:w="174"/>
        <w:gridCol w:w="333"/>
        <w:gridCol w:w="333"/>
        <w:gridCol w:w="335"/>
        <w:gridCol w:w="109"/>
        <w:gridCol w:w="109"/>
        <w:gridCol w:w="109"/>
        <w:gridCol w:w="545"/>
        <w:gridCol w:w="545"/>
        <w:gridCol w:w="545"/>
        <w:gridCol w:w="2166"/>
        <w:gridCol w:w="2055"/>
        <w:gridCol w:w="2104"/>
        <w:gridCol w:w="109"/>
        <w:gridCol w:w="109"/>
        <w:gridCol w:w="157"/>
      </w:tblGrid>
      <w:tr>
        <w:trPr/>
        <w:tc>
          <w:tcPr>
            <w:tcW w:w="1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MOTORS COMPANY (Registrant)</w:t>
            </w:r>
          </w:p>
          <w:p>
            <w:pPr>
              <w:pStyle w:val="TableContents"/>
              <w:bidi w:val="0"/>
              <w:spacing w:before="0" w:after="0"/>
              <w:jc w:val="left"/>
              <w:rPr/>
            </w:pPr>
            <w:r>
              <w:rPr/>
            </w:r>
          </w:p>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T. HATTO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T. Hatto, Vice President, Global Business Solutions and Chief Accounting Officer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Mary T. Barra, certify that: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General Motors Company;</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931"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954"/>
        <w:gridCol w:w="954"/>
        <w:gridCol w:w="9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T. BARRA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T. Barra</w:t>
              <w:br/>
              <w:t>Chair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Paul A. Jacobson, certify that: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General Motors Company;</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both"/>
        <w:rPr/>
      </w:pPr>
      <w:r>
        <w:rPr/>
      </w:r>
    </w:p>
    <w:tbl>
      <w:tblPr>
        <w:tblW w:w="646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463"/>
        <w:gridCol w:w="1463"/>
        <w:gridCol w:w="14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A.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A. Jacobson</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MOTORS COMPANY AND SUBSIDIARIES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General Motors Company (the “Company”) on Form 10-Q for the period ended March 31, 2025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646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463"/>
        <w:gridCol w:w="1463"/>
        <w:gridCol w:w="14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T. BARRA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T. Barra</w:t>
              <w:br/>
              <w:t>Chair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A.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A. Jacobson</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7858/000119312510279214/dex32.htm" TargetMode="External"/><Relationship Id="rId4" Type="http://schemas.openxmlformats.org/officeDocument/2006/relationships/hyperlink" Target="https://www.sec.gov/Archives/edgar/data/1467858/000119312510279214/dex32.htm" TargetMode="External"/><Relationship Id="rId5" Type="http://schemas.openxmlformats.org/officeDocument/2006/relationships/hyperlink" Target="https://www.sec.gov/Archives/edgar/data/1467858/000119312510279214/dex32.htm" TargetMode="External"/><Relationship Id="rId6" Type="http://schemas.openxmlformats.org/officeDocument/2006/relationships/hyperlink" Target="https://www.sec.gov/Archives/edgar/data/1467858/000119312510279214/dex32.htm" TargetMode="External"/><Relationship Id="rId7" Type="http://schemas.openxmlformats.org/officeDocument/2006/relationships/hyperlink" Target="https://www.sec.gov/Archives/edgar/data/1467858/000119312524235250/d895658dex31.htm" TargetMode="External"/><Relationship Id="rId8" Type="http://schemas.openxmlformats.org/officeDocument/2006/relationships/hyperlink" Target="https://www.sec.gov/Archives/edgar/data/1467858/000119312525062882/d943807dex101.htm" TargetMode="External"/><Relationship Id="rId9" Type="http://schemas.openxmlformats.org/officeDocument/2006/relationships/hyperlink" Target="https://www.sec.gov/Archives/edgar/data/1467858/000119312525062882/d943807dex101.htm" TargetMode="External"/><Relationship Id="rId10" Type="http://schemas.openxmlformats.org/officeDocument/2006/relationships/hyperlink" Target="https://www.sec.gov/Archives/edgar/data/1467858/000119312525062882/d943807dex101.htm" TargetMode="External"/><Relationship Id="rId11" Type="http://schemas.openxmlformats.org/officeDocument/2006/relationships/hyperlink" Target="https://www.sec.gov/Archives/edgar/data/1467858/000119312525062882/d943807dex102.htm" TargetMode="External"/><Relationship Id="rId12" Type="http://schemas.openxmlformats.org/officeDocument/2006/relationships/hyperlink" Target="https://www.sec.gov/Archives/edgar/data/1467858/000119312525062882/d943807dex102.htm" TargetMode="External"/><Relationship Id="rId13" Type="http://schemas.openxmlformats.org/officeDocument/2006/relationships/hyperlink" Target="https://www.sec.gov/Archives/edgar/data/1467858/000119312525062882/d943807dex102.htm" TargetMode="External"/><Relationship Id="rId14" Type="http://schemas.openxmlformats.org/officeDocument/2006/relationships/hyperlink" Target="https://www.sec.gov/Archives/edgar/data/1467858/000119312525062882/d943807dex103.htm" TargetMode="External"/><Relationship Id="rId15" Type="http://schemas.openxmlformats.org/officeDocument/2006/relationships/hyperlink" Target="https://www.sec.gov/Archives/edgar/data/1467858/000119312525062882/d943807dex103.htm" TargetMode="External"/><Relationship Id="rId16" Type="http://schemas.openxmlformats.org/officeDocument/2006/relationships/hyperlink" Target="https://www.sec.gov/Archives/edgar/data/1467858/000119312525062882/d943807dex103.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26020</Words>
  <Characters>142512</Characters>
  <CharactersWithSpaces>166184</CharactersWithSpaces>
  <Paragraphs>4519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