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2014</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90170</wp:posOffset>
            </wp:positionV>
            <wp:extent cx="1577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107950</wp:posOffset>
            </wp:positionV>
            <wp:extent cx="1577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228600</wp:posOffset>
            </wp:positionV>
            <wp:extent cx="15779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245745</wp:posOffset>
            </wp:positionV>
            <wp:extent cx="15779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General Motors Company</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684" w:right="239" w:bottom="1440" w:gutter="0" w:footer="0" w:header="0"/>
        </w:sectPr>
      </w:pPr>
    </w:p>
    <w:p>
      <w:pPr>
        <w:spacing w:after="0" w:line="147"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02-0756180</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60" w:space="720"/>
            <w:col w:w="3540"/>
          </w:cols>
          <w:pgMar w:left="240" w:top="684" w:right="239" w:bottom="1440" w:gutter="0" w:footer="0" w:header="0"/>
          <w:type w:val="continuous"/>
        </w:sectPr>
      </w:pP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300 Renaissance Center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Detroit, Michigan 48265-3000</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 556-5000</w:t>
      </w:r>
    </w:p>
    <w:p>
      <w:pPr>
        <w:sectPr>
          <w:pgSz w:w="11900" w:h="16838" w:orient="portrait"/>
          <w:cols w:equalWidth="0" w:num="1">
            <w:col w:w="11420"/>
          </w:cols>
          <w:pgMar w:left="240" w:top="684" w:right="2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102870</wp:posOffset>
            </wp:positionV>
            <wp:extent cx="1577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120650</wp:posOffset>
            </wp:positionV>
            <wp:extent cx="15779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2014 LONG-TERM INCENTIVE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91440</wp:posOffset>
            </wp:positionV>
            <wp:extent cx="1577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108585</wp:posOffset>
            </wp:positionV>
            <wp:extent cx="15779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Thomas S. Timko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Controller and Chief Accounting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Detroit, Michigan 48265-3000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Robert C. Shrosbree,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Detroit, Michigan 48265-3000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91440</wp:posOffset>
            </wp:positionV>
            <wp:extent cx="15779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797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108585</wp:posOffset>
            </wp:positionV>
            <wp:extent cx="15779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2120" w:type="dxa"/>
        <w:tblCellMar>
          <w:top w:w="0" w:type="dxa"/>
          <w:left w:w="0" w:type="dxa"/>
          <w:bottom w:w="0" w:type="dxa"/>
          <w:right w:w="0" w:type="dxa"/>
        </w:tblCellMar>
      </w:tblPr>
      <w:tr>
        <w:trPr>
          <w:trHeight w:val="283"/>
        </w:trPr>
        <w:tc>
          <w:tcPr>
            <w:tcW w:w="536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400" w:type="dxa"/>
            <w:vAlign w:val="bottom"/>
          </w:tcPr>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486"/>
        </w:trPr>
        <w:tc>
          <w:tcPr>
            <w:tcW w:w="536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400" w:type="dxa"/>
            <w:vAlign w:val="bottom"/>
          </w:tcPr>
          <w:p>
            <w:pPr>
              <w:ind w:left="240"/>
              <w:spacing w:after="0" w:line="207" w:lineRule="exact"/>
              <w:rPr>
                <w:sz w:val="20"/>
                <w:szCs w:val="20"/>
                <w:color w:val="auto"/>
              </w:rPr>
            </w:pPr>
            <w:r>
              <w:rPr>
                <w:rFonts w:ascii="Times New Roman" w:cs="Times New Roman" w:eastAsia="Times New Roman" w:hAnsi="Times New Roman"/>
                <w:sz w:val="18"/>
                <w:szCs w:val="18"/>
                <w:color w:val="auto"/>
                <w:w w:val="97"/>
              </w:rPr>
              <w:t xml:space="preserve">Smaller reporting company </w:t>
            </w:r>
            <w:r>
              <w:rPr>
                <w:rFonts w:ascii="MS PGothic" w:cs="MS PGothic" w:eastAsia="MS PGothic" w:hAnsi="MS PGothic"/>
                <w:sz w:val="18"/>
                <w:szCs w:val="18"/>
                <w:color w:val="auto"/>
                <w:w w:val="97"/>
              </w:rPr>
              <w:t>☐</w:t>
            </w:r>
          </w:p>
        </w:tc>
      </w:tr>
      <w:tr>
        <w:trPr>
          <w:trHeight w:val="574"/>
        </w:trPr>
        <w:tc>
          <w:tcPr>
            <w:tcW w:w="236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236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1600" w:type="dxa"/>
            <w:vAlign w:val="bottom"/>
          </w:tcPr>
          <w:p>
            <w:pPr>
              <w:jc w:val="center"/>
              <w:ind w:left="35"/>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vMerge w:val="restart"/>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21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600" w:type="dxa"/>
            <w:vAlign w:val="bottom"/>
          </w:tcPr>
          <w:p>
            <w:pPr>
              <w:jc w:val="center"/>
              <w:ind w:left="15"/>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6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Offering Price</w:t>
            </w:r>
          </w:p>
        </w:tc>
        <w:tc>
          <w:tcPr>
            <w:tcW w:w="1600" w:type="dxa"/>
            <w:vAlign w:val="bottom"/>
          </w:tcPr>
          <w:p>
            <w:pPr>
              <w:jc w:val="center"/>
              <w:ind w:left="35"/>
              <w:spacing w:after="0" w:line="128"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6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auto"/>
            </w:tcBorders>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2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4"/>
                <w:szCs w:val="14"/>
                <w:color w:val="auto"/>
              </w:rPr>
              <w:t>(1)</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 xml:space="preserve">Per Share </w:t>
            </w:r>
            <w:r>
              <w:rPr>
                <w:rFonts w:ascii="Times New Roman" w:cs="Times New Roman" w:eastAsia="Times New Roman" w:hAnsi="Times New Roman"/>
                <w:sz w:val="13"/>
                <w:szCs w:val="13"/>
                <w:color w:val="auto"/>
                <w:w w:val="97"/>
              </w:rPr>
              <w:t>(3)</w:t>
            </w:r>
          </w:p>
        </w:tc>
        <w:tc>
          <w:tcPr>
            <w:tcW w:w="16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Registration Fee </w:t>
            </w:r>
            <w:r>
              <w:rPr>
                <w:rFonts w:ascii="Times New Roman" w:cs="Times New Roman" w:eastAsia="Times New Roman" w:hAnsi="Times New Roman"/>
                <w:sz w:val="13"/>
                <w:szCs w:val="13"/>
                <w:color w:val="auto"/>
                <w:w w:val="96"/>
              </w:rPr>
              <w:t>(4)</w:t>
            </w:r>
          </w:p>
        </w:tc>
        <w:tc>
          <w:tcPr>
            <w:tcW w:w="0" w:type="dxa"/>
            <w:vAlign w:val="bottom"/>
          </w:tcPr>
          <w:p>
            <w:pPr>
              <w:spacing w:after="0"/>
              <w:rPr>
                <w:sz w:val="1"/>
                <w:szCs w:val="1"/>
                <w:color w:val="auto"/>
              </w:rPr>
            </w:pPr>
          </w:p>
        </w:tc>
      </w:tr>
      <w:tr>
        <w:trPr>
          <w:trHeight w:val="191"/>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60,000,000 (2)</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$36.585</w:t>
            </w:r>
          </w:p>
        </w:tc>
        <w:tc>
          <w:tcPr>
            <w:tcW w:w="16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color w:val="auto"/>
              </w:rPr>
              <w:t>$2,195,100,000</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$282,728.88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both"/>
        <w:ind w:left="340" w:hanging="332"/>
        <w:spacing w:after="0" w:line="25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being registered includes shares of Common Stock of the Company to be offered or sold to participants pursuant to the General Motors 2014 Long-Term Incentive Plan, including but not limited to stock awards, stock options, restricted stock units, and other stock-based awards. The aggregate amount of common stock that may be granted under the General Motors 2014 Long-Term Incentive Plan is 60,000,000 shares. The General Motors 2014 Long-Term Incentive Plan provides that the aggregate number of shares of common stock that may be granted under the General Motors 2014 Long-Term Incentive Plan may not exceed 60,000,000 shares subject to note (2) below.</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(“Securities Act”) this Registration Statement shall also cover any additional shares of the Registrant’s common stock that become issuable under the General Motors 2014 Long-Term Incentive Plan by reason of any stock dividend, stock split, recapitalization or other similar transaction effected without the receipt of consideration that increases the number of the Registrant’s outstanding shares of common stock.</w:t>
      </w:r>
    </w:p>
    <w:p>
      <w:pPr>
        <w:spacing w:after="0" w:line="1" w:lineRule="exact"/>
        <w:rPr>
          <w:rFonts w:ascii="Times New Roman" w:cs="Times New Roman" w:eastAsia="Times New Roman" w:hAnsi="Times New Roman"/>
          <w:sz w:val="18"/>
          <w:szCs w:val="18"/>
          <w:color w:val="auto"/>
        </w:rPr>
      </w:pPr>
    </w:p>
    <w:p>
      <w:pPr>
        <w:jc w:val="both"/>
        <w:ind w:left="340" w:right="20" w:hanging="332"/>
        <w:spacing w:after="0" w:line="265" w:lineRule="auto"/>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computing the amount of the registration fee pursuant to Rule 457(h) and Rule 457(c) of the Securities Act on the basis of the average of the high and low price per share of the Registrant’s common stock on June 9, 2014, as reported on the New York Stock Exchange.</w:t>
      </w:r>
    </w:p>
    <w:p>
      <w:pPr>
        <w:jc w:val="both"/>
        <w:ind w:left="340" w:hanging="332"/>
        <w:spacing w:after="0" w:line="253"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registration fee has been previously paid. Prior to the filing of this registration statement, $1,302,759,863 aggregate principal amount of securities remained registered and unsold, pursuant to the Registration Statement No. 333-175068, which was initially filed by the registrant on June 22, 2011. Pursuant to Rule 457(p), the applicable portion of the registration fee of $151,250.42 associated with such unsold securities has been offset against the registration fee of $282,728.88 associated with the securities to be registered under this registration statement and such unsold securities are hereby deregistered.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79375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96520</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Note to Part I of Form S-8, the information specified by Part I (Items 1 and 2) is omitted from this registration statement.</w:t>
      </w:r>
    </w:p>
    <w:p>
      <w:pPr>
        <w:spacing w:after="0" w:line="200" w:lineRule="exact"/>
        <w:rPr>
          <w:sz w:val="20"/>
          <w:szCs w:val="20"/>
          <w:color w:val="auto"/>
        </w:rPr>
      </w:pPr>
    </w:p>
    <w:p>
      <w:pPr>
        <w:spacing w:after="0" w:line="23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Motors Company (“Company” or the “Registrant” or “we” or “General Motors”) hereby incorporates into this registration statement the following documents filed with the Securities and Exchange Commission (the “SEC”):</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GM SEC Filings (File No. 1-34960)</w:t>
            </w:r>
          </w:p>
        </w:tc>
        <w:tc>
          <w:tcPr>
            <w:tcW w:w="1520" w:type="dxa"/>
            <w:vAlign w:val="bottom"/>
          </w:tcPr>
          <w:p>
            <w:pPr>
              <w:spacing w:after="0"/>
              <w:rPr>
                <w:sz w:val="17"/>
                <w:szCs w:val="17"/>
                <w:color w:val="auto"/>
              </w:rPr>
            </w:pPr>
          </w:p>
        </w:tc>
        <w:tc>
          <w:tcPr>
            <w:tcW w:w="714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0"/>
        </w:trPr>
        <w:tc>
          <w:tcPr>
            <w:tcW w:w="2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9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520" w:type="dxa"/>
            <w:vAlign w:val="bottom"/>
          </w:tcPr>
          <w:p>
            <w:pPr>
              <w:spacing w:after="0"/>
              <w:rPr>
                <w:sz w:val="24"/>
                <w:szCs w:val="24"/>
                <w:color w:val="auto"/>
              </w:rPr>
            </w:pPr>
          </w:p>
        </w:tc>
        <w:tc>
          <w:tcPr>
            <w:tcW w:w="714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Year ended December 31, 2013, as filed with the SEC on February 6, 2014</w:t>
            </w:r>
          </w:p>
        </w:tc>
      </w:tr>
      <w:tr>
        <w:trPr>
          <w:trHeight w:val="48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714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Quarter ended March 31, 2014, as filed with the SEC on April 24, 2014</w:t>
            </w:r>
          </w:p>
        </w:tc>
      </w:tr>
      <w:tr>
        <w:trPr>
          <w:trHeight w:val="25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714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Dates filed: January 7, 2014, January 15, 2014 (2 filed Forms 8-K), January</w:t>
            </w:r>
          </w:p>
        </w:tc>
      </w:tr>
      <w:tr>
        <w:trPr>
          <w:trHeight w:val="216"/>
        </w:trPr>
        <w:tc>
          <w:tcPr>
            <w:tcW w:w="2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4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17, 2014, February 4, 2014, March 4, 2014, March 13, 2014, April 3, 2014,</w:t>
            </w:r>
          </w:p>
        </w:tc>
      </w:tr>
      <w:tr>
        <w:trPr>
          <w:trHeight w:val="216"/>
        </w:trPr>
        <w:tc>
          <w:tcPr>
            <w:tcW w:w="2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14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April 21, 2014, May 5, 2014, May 15, 2014, May 20, 2014 (2 Forms 8-K),</w:t>
            </w:r>
          </w:p>
        </w:tc>
      </w:tr>
      <w:tr>
        <w:trPr>
          <w:trHeight w:val="234"/>
        </w:trPr>
        <w:tc>
          <w:tcPr>
            <w:tcW w:w="2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14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June 5, 2014 (2 filed Forms 8-K), June 12, 2014 and June 16, 2014</w:t>
            </w:r>
          </w:p>
        </w:tc>
      </w:tr>
    </w:tbl>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description of the common stock set forth in our registration statement 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Form 8-A filed November 10, 2010.</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being registered hereunder has been registered pursuant to Section 12 of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validity of the common stock registered hereby have been passed upon for the Company by Robert C. Shrosbree, Attorney, Legal Staff of the Company. Robert C. Shrosbree owns common stock of the Company and is eligible to participate in the 2014 Long-Term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Officers and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145 of the Delaware Corporation Law, General Motors is empowered to indemnify its directors and officers as provided therein.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Motors’ Certificate of Incorporation, as amended,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Corporation Law, or (iv) for any transaction from which the director derived an improper personal benefit.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Article V of its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w:t>
      </w:r>
    </w:p>
    <w:p>
      <w:pPr>
        <w:sectPr>
          <w:pgSz w:w="11900" w:h="16838" w:orient="portrait"/>
          <w:cols w:equalWidth="0" w:num="1">
            <w:col w:w="11420"/>
          </w:cols>
          <w:pgMar w:left="240" w:top="792" w:right="2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pending or completed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General Motors’ Certificate of Incorporation or Bylaws, agreement, vote of stockholders or disinterested directors or otherwise.</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on Form S-8 is set forth on the Exhibit Index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880" w:hanging="318"/>
        <w:spacing w:after="0"/>
        <w:tabs>
          <w:tab w:leader="none" w:pos="8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40" w:hanging="330"/>
        <w:spacing w:after="0"/>
        <w:tabs>
          <w:tab w:leader="none" w:pos="15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540" w:hanging="330"/>
        <w:spacing w:after="0" w:line="255" w:lineRule="auto"/>
        <w:tabs>
          <w:tab w:leader="none" w:pos="15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ectPr>
          <w:pgSz w:w="11900" w:h="16838" w:orient="portrait"/>
          <w:cols w:equalWidth="0" w:num="1">
            <w:col w:w="11420"/>
          </w:cols>
          <w:pgMar w:left="240" w:top="580" w:right="239" w:bottom="1440" w:gutter="0" w:footer="0" w:header="0"/>
        </w:sectPr>
      </w:pPr>
    </w:p>
    <w:bookmarkStart w:id="4" w:name="page5"/>
    <w:bookmarkEnd w:id="4"/>
    <w:p>
      <w:pPr>
        <w:ind w:left="1540" w:hanging="330"/>
        <w:spacing w:after="0" w:line="282" w:lineRule="auto"/>
        <w:tabs>
          <w:tab w:leader="none" w:pos="15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rFonts w:ascii="Times New Roman" w:cs="Times New Roman" w:eastAsia="Times New Roman" w:hAnsi="Times New Roman"/>
          <w:sz w:val="18"/>
          <w:szCs w:val="18"/>
          <w:color w:val="auto"/>
        </w:rPr>
      </w:pPr>
    </w:p>
    <w:p>
      <w:pPr>
        <w:jc w:val="both"/>
        <w:ind w:left="880" w:hanging="318"/>
        <w:spacing w:after="0" w:line="259" w:lineRule="auto"/>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1(a)(i) and 1(a)(ii)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in a post-effective amendment by those paragraphs is contained in reports filed with or furnished to the SEC by the registrant pursuant to Section 13 or Section 15(d) of the Exchange Act that are incorporated by reference into this registration statement.That, for the purpose of determining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1" w:lineRule="exact"/>
        <w:rPr>
          <w:rFonts w:ascii="Times New Roman" w:cs="Times New Roman" w:eastAsia="Times New Roman" w:hAnsi="Times New Roman"/>
          <w:sz w:val="18"/>
          <w:szCs w:val="18"/>
          <w:color w:val="auto"/>
        </w:rPr>
      </w:pPr>
    </w:p>
    <w:p>
      <w:pPr>
        <w:ind w:left="880" w:hanging="318"/>
        <w:spacing w:after="0" w:line="282" w:lineRule="auto"/>
        <w:tabs>
          <w:tab w:leader="none" w:pos="8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further undertakes that, for the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and the Plans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Registrant. </w:t>
      </w: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filing on Form S-8 and has duly caused this registration statement to be signed on its behalf by the undersigned, thereunto duly authorized, in Detroit, Michigan, on June 16, 2014.</w:t>
      </w:r>
    </w:p>
    <w:p>
      <w:pPr>
        <w:spacing w:after="0" w:line="200" w:lineRule="exact"/>
        <w:rPr>
          <w:sz w:val="20"/>
          <w:szCs w:val="20"/>
          <w:color w:val="auto"/>
        </w:rPr>
      </w:pPr>
    </w:p>
    <w:p>
      <w:pPr>
        <w:spacing w:after="0" w:line="35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9" w:lineRule="exact"/>
        <w:rPr>
          <w:sz w:val="20"/>
          <w:szCs w:val="20"/>
          <w:color w:val="auto"/>
        </w:rPr>
      </w:pPr>
    </w:p>
    <w:p>
      <w:pPr>
        <w:ind w:left="5820"/>
        <w:spacing w:after="0"/>
        <w:tabs>
          <w:tab w:leader="none" w:pos="8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20" w:type="dxa"/>
            <w:vAlign w:val="bottom"/>
          </w:tcPr>
          <w:p>
            <w:pPr>
              <w:spacing w:after="0"/>
              <w:rPr>
                <w:sz w:val="18"/>
                <w:szCs w:val="18"/>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0"/>
        </w:trPr>
        <w:tc>
          <w:tcPr>
            <w:tcW w:w="33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426"/>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 MARY T. BARRA</w:t>
            </w:r>
          </w:p>
        </w:tc>
        <w:tc>
          <w:tcPr>
            <w:tcW w:w="220" w:type="dxa"/>
            <w:vAlign w:val="bottom"/>
          </w:tcPr>
          <w:p>
            <w:pPr>
              <w:spacing w:after="0"/>
              <w:rPr>
                <w:sz w:val="24"/>
                <w:szCs w:val="24"/>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Chief Executive Officer (Principal Executive Officer) and 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Mary T. Barra</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49"/>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Executive Vice President &amp; Chief Financial Officer (Principal Financial</w:t>
            </w:r>
          </w:p>
        </w:tc>
        <w:tc>
          <w:tcPr>
            <w:tcW w:w="2400" w:type="dxa"/>
            <w:vAlign w:val="bottom"/>
          </w:tcPr>
          <w:p>
            <w:pPr>
              <w:spacing w:after="0"/>
              <w:rPr>
                <w:sz w:val="21"/>
                <w:szCs w:val="21"/>
                <w:color w:val="auto"/>
              </w:rPr>
            </w:pPr>
          </w:p>
        </w:tc>
      </w:tr>
      <w:tr>
        <w:trPr>
          <w:trHeight w:val="21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CHARLES K. STEVENS III</w:t>
            </w:r>
          </w:p>
        </w:tc>
        <w:tc>
          <w:tcPr>
            <w:tcW w:w="220" w:type="dxa"/>
            <w:vAlign w:val="bottom"/>
          </w:tcPr>
          <w:p>
            <w:pPr>
              <w:spacing w:after="0"/>
              <w:rPr>
                <w:sz w:val="18"/>
                <w:szCs w:val="18"/>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Officer)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Charles K. Stevens III</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49"/>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Vice President, Controller and Chief Accounting Officer (Principal Accounting</w:t>
            </w:r>
          </w:p>
        </w:tc>
        <w:tc>
          <w:tcPr>
            <w:tcW w:w="2400" w:type="dxa"/>
            <w:vAlign w:val="bottom"/>
          </w:tcPr>
          <w:p>
            <w:pPr>
              <w:spacing w:after="0"/>
              <w:rPr>
                <w:sz w:val="21"/>
                <w:szCs w:val="21"/>
                <w:color w:val="auto"/>
              </w:rPr>
            </w:pPr>
          </w:p>
        </w:tc>
      </w:tr>
      <w:tr>
        <w:trPr>
          <w:trHeight w:val="21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THOMAS S. TIMKO</w:t>
            </w:r>
          </w:p>
        </w:tc>
        <w:tc>
          <w:tcPr>
            <w:tcW w:w="220" w:type="dxa"/>
            <w:vAlign w:val="bottom"/>
          </w:tcPr>
          <w:p>
            <w:pPr>
              <w:spacing w:after="0"/>
              <w:rPr>
                <w:sz w:val="18"/>
                <w:szCs w:val="18"/>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Officer)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Thomas S. Timko</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Chairman of the Board</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Theodore M. Solso</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Erroll B. Davis, Jr.</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Stephen J. Girsky</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 Neville Isdell</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Kathryn V. Marinello</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Admiral Michael G. Mullen, USN (ret.)</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James J. Mulva</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Patricia F. Russo</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Thomas M. Schoewe</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70"/>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23"/>
                <w:szCs w:val="23"/>
                <w:color w:val="auto"/>
              </w:rPr>
            </w:pPr>
          </w:p>
        </w:tc>
        <w:tc>
          <w:tcPr>
            <w:tcW w:w="5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16, 2014</w:t>
            </w:r>
          </w:p>
        </w:tc>
      </w:tr>
      <w:tr>
        <w:trPr>
          <w:trHeight w:val="33"/>
        </w:trPr>
        <w:tc>
          <w:tcPr>
            <w:tcW w:w="3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7"/>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Carol M. Stephenson</w:t>
            </w: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r>
    </w:tbl>
    <w:p>
      <w:pPr>
        <w:spacing w:after="0" w:line="231" w:lineRule="exact"/>
        <w:rPr>
          <w:sz w:val="20"/>
          <w:szCs w:val="20"/>
          <w:color w:val="auto"/>
        </w:rPr>
      </w:pPr>
    </w:p>
    <w:p>
      <w:pPr>
        <w:ind w:firstLine="656"/>
        <w:spacing w:after="0" w:line="282" w:lineRule="auto"/>
        <w:tabs>
          <w:tab w:leader="none" w:pos="8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execute this Registration Statement on behalf of the persons identified above pursuant to a power of attorney.</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8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ROBERT C. SHROSBREE</w:t>
            </w:r>
          </w:p>
        </w:tc>
      </w:tr>
      <w:tr>
        <w:trPr>
          <w:trHeight w:val="21"/>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C. Shrosbree</w:t>
            </w:r>
          </w:p>
        </w:tc>
      </w:tr>
      <w:tr>
        <w:trPr>
          <w:trHeight w:val="236"/>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Attorney-in Fact</w:t>
            </w:r>
          </w:p>
        </w:tc>
      </w:tr>
      <w:tr>
        <w:trPr>
          <w:trHeight w:val="459"/>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480" w:type="dxa"/>
            <w:vAlign w:val="bottom"/>
          </w:tcPr>
          <w:p>
            <w:pPr>
              <w:spacing w:after="0"/>
              <w:rPr>
                <w:sz w:val="24"/>
                <w:szCs w:val="24"/>
                <w:color w:val="auto"/>
              </w:rPr>
            </w:pPr>
          </w:p>
        </w:tc>
      </w:tr>
      <w:tr>
        <w:trPr>
          <w:trHeight w:val="594"/>
        </w:trPr>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4480" w:type="dxa"/>
            <w:vAlign w:val="bottom"/>
          </w:tcPr>
          <w:p>
            <w:pPr>
              <w:spacing w:after="0"/>
              <w:rPr>
                <w:sz w:val="24"/>
                <w:szCs w:val="24"/>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tcBorders>
              <w:bottom w:val="single" w:sz="8" w:color="auto"/>
            </w:tcBorders>
            <w:gridSpan w:val="2"/>
          </w:tcPr>
          <w:p>
            <w:pPr>
              <w:spacing w:after="0"/>
              <w:rPr>
                <w:sz w:val="2"/>
                <w:szCs w:val="2"/>
                <w:color w:val="auto"/>
              </w:rPr>
            </w:pPr>
          </w:p>
        </w:tc>
      </w:tr>
      <w:tr>
        <w:trPr>
          <w:trHeight w:val="218"/>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Motors 2014 Long-Term Incentive Plan, incorporated herein by reference to Exhibit 10.1 to the Current Report on Form</w:t>
            </w:r>
          </w:p>
        </w:tc>
      </w:tr>
      <w:tr>
        <w:trPr>
          <w:trHeight w:val="234"/>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 of General Motors Company filed June 12, 2014</w:t>
            </w:r>
          </w:p>
        </w:tc>
        <w:tc>
          <w:tcPr>
            <w:tcW w:w="448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and Consent of Robert C. Shrosbree, Esq.*</w:t>
            </w:r>
          </w:p>
        </w:tc>
        <w:tc>
          <w:tcPr>
            <w:tcW w:w="4480" w:type="dxa"/>
            <w:vAlign w:val="bottom"/>
          </w:tcPr>
          <w:p>
            <w:pPr>
              <w:spacing w:after="0"/>
              <w:rPr>
                <w:sz w:val="23"/>
                <w:szCs w:val="23"/>
                <w:color w:val="auto"/>
              </w:rPr>
            </w:pPr>
          </w:p>
        </w:tc>
      </w:tr>
      <w:tr>
        <w:trPr>
          <w:trHeight w:val="270"/>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Deloitte &amp; Touche LLP *</w:t>
            </w:r>
          </w:p>
        </w:tc>
      </w:tr>
      <w:tr>
        <w:trPr>
          <w:trHeight w:val="270"/>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Robert C. Shrosbree, Esq. (included in Exhibit 5.1)</w:t>
            </w:r>
          </w:p>
        </w:tc>
        <w:tc>
          <w:tcPr>
            <w:tcW w:w="4480" w:type="dxa"/>
            <w:vAlign w:val="bottom"/>
          </w:tcPr>
          <w:p>
            <w:pPr>
              <w:spacing w:after="0"/>
              <w:rPr>
                <w:sz w:val="23"/>
                <w:szCs w:val="23"/>
                <w:color w:val="auto"/>
              </w:rPr>
            </w:pPr>
          </w:p>
        </w:tc>
      </w:tr>
      <w:tr>
        <w:trPr>
          <w:trHeight w:val="270"/>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Powers of Attorney for directors of GM*</w:t>
            </w:r>
          </w:p>
        </w:tc>
        <w:tc>
          <w:tcPr>
            <w:tcW w:w="4480" w:type="dxa"/>
            <w:vAlign w:val="bottom"/>
          </w:tcPr>
          <w:p>
            <w:pPr>
              <w:spacing w:after="0"/>
              <w:rPr>
                <w:sz w:val="23"/>
                <w:szCs w:val="23"/>
                <w:color w:val="auto"/>
              </w:rPr>
            </w:pPr>
          </w:p>
        </w:tc>
      </w:tr>
      <w:tr>
        <w:trPr>
          <w:trHeight w:val="24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4480" w:type="dxa"/>
            <w:vAlign w:val="bottom"/>
          </w:tcPr>
          <w:p>
            <w:pPr>
              <w:spacing w:after="0"/>
              <w:rPr>
                <w:sz w:val="21"/>
                <w:szCs w:val="2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420"/>
          </w:cols>
          <w:pgMar w:left="240" w:top="745"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7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-31115</wp:posOffset>
            </wp:positionV>
            <wp:extent cx="428625"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1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Executive Director Legal,</w:t>
      </w:r>
    </w:p>
    <w:p>
      <w:pPr>
        <w:spacing w:after="0" w:line="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Corporate &amp;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160020</wp:posOffset>
            </wp:positionV>
            <wp:extent cx="50685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color w:val="auto"/>
        </w:rPr>
        <w:t>General Motors Company</w:t>
      </w:r>
    </w:p>
    <w:p>
      <w:pPr>
        <w:ind w:left="8360"/>
        <w:spacing w:after="0" w:line="226" w:lineRule="auto"/>
        <w:rPr>
          <w:sz w:val="20"/>
          <w:szCs w:val="20"/>
          <w:color w:val="auto"/>
        </w:rPr>
      </w:pPr>
      <w:r>
        <w:rPr>
          <w:rFonts w:ascii="Times New Roman" w:cs="Times New Roman" w:eastAsia="Times New Roman" w:hAnsi="Times New Roman"/>
          <w:sz w:val="14"/>
          <w:szCs w:val="14"/>
          <w:color w:val="auto"/>
        </w:rPr>
        <w:t>Legal Staff</w:t>
      </w:r>
    </w:p>
    <w:p>
      <w:pPr>
        <w:ind w:left="8360"/>
        <w:spacing w:after="0" w:line="222" w:lineRule="auto"/>
        <w:rPr>
          <w:sz w:val="20"/>
          <w:szCs w:val="20"/>
          <w:color w:val="auto"/>
        </w:rPr>
      </w:pPr>
      <w:r>
        <w:rPr>
          <w:rFonts w:ascii="Times New Roman" w:cs="Times New Roman" w:eastAsia="Times New Roman" w:hAnsi="Times New Roman"/>
          <w:sz w:val="14"/>
          <w:szCs w:val="14"/>
          <w:color w:val="auto"/>
        </w:rPr>
        <w:t>300 GM Renaissance Center</w:t>
      </w:r>
    </w:p>
    <w:p>
      <w:pPr>
        <w:ind w:left="8360"/>
        <w:spacing w:after="0" w:line="221" w:lineRule="auto"/>
        <w:rPr>
          <w:sz w:val="20"/>
          <w:szCs w:val="20"/>
          <w:color w:val="auto"/>
        </w:rPr>
      </w:pPr>
      <w:r>
        <w:rPr>
          <w:rFonts w:ascii="Times New Roman" w:cs="Times New Roman" w:eastAsia="Times New Roman" w:hAnsi="Times New Roman"/>
          <w:sz w:val="14"/>
          <w:szCs w:val="14"/>
          <w:color w:val="auto"/>
        </w:rPr>
        <w:t>Mail Code: 482-C23-D24</w:t>
      </w:r>
    </w:p>
    <w:p>
      <w:pPr>
        <w:ind w:left="8360"/>
        <w:spacing w:after="0" w:line="222" w:lineRule="auto"/>
        <w:rPr>
          <w:sz w:val="20"/>
          <w:szCs w:val="20"/>
          <w:color w:val="auto"/>
        </w:rPr>
      </w:pPr>
      <w:r>
        <w:rPr>
          <w:rFonts w:ascii="Times New Roman" w:cs="Times New Roman" w:eastAsia="Times New Roman" w:hAnsi="Times New Roman"/>
          <w:sz w:val="14"/>
          <w:szCs w:val="14"/>
          <w:color w:val="auto"/>
        </w:rPr>
        <w:t>Detroit, Michigan, 48265-3000</w:t>
      </w:r>
    </w:p>
    <w:p>
      <w:pPr>
        <w:ind w:left="8360"/>
        <w:spacing w:after="0" w:line="221" w:lineRule="auto"/>
        <w:rPr>
          <w:sz w:val="20"/>
          <w:szCs w:val="20"/>
          <w:color w:val="auto"/>
        </w:rPr>
      </w:pPr>
      <w:r>
        <w:rPr>
          <w:rFonts w:ascii="Times New Roman" w:cs="Times New Roman" w:eastAsia="Times New Roman" w:hAnsi="Times New Roman"/>
          <w:sz w:val="14"/>
          <w:szCs w:val="14"/>
          <w:color w:val="auto"/>
        </w:rPr>
        <w:t>Tel 313-665-8452</w:t>
      </w:r>
    </w:p>
    <w:p>
      <w:pPr>
        <w:ind w:left="8360"/>
        <w:spacing w:after="0" w:line="222" w:lineRule="auto"/>
        <w:rPr>
          <w:sz w:val="20"/>
          <w:szCs w:val="20"/>
          <w:color w:val="auto"/>
        </w:rPr>
      </w:pPr>
      <w:r>
        <w:rPr>
          <w:rFonts w:ascii="Times New Roman" w:cs="Times New Roman" w:eastAsia="Times New Roman" w:hAnsi="Times New Roman"/>
          <w:sz w:val="14"/>
          <w:szCs w:val="14"/>
          <w:color w:val="auto"/>
        </w:rPr>
        <w:t>Fax 313-665-4979</w:t>
      </w:r>
    </w:p>
    <w:p>
      <w:pPr>
        <w:ind w:left="8360"/>
        <w:spacing w:after="0"/>
        <w:rPr>
          <w:sz w:val="20"/>
          <w:szCs w:val="20"/>
          <w:color w:val="auto"/>
        </w:rPr>
      </w:pPr>
      <w:r>
        <w:rPr>
          <w:rFonts w:ascii="Times New Roman" w:cs="Times New Roman" w:eastAsia="Times New Roman" w:hAnsi="Times New Roman"/>
          <w:sz w:val="14"/>
          <w:szCs w:val="14"/>
          <w:color w:val="auto"/>
        </w:rPr>
        <w:t>robert.shrosbree@gm.com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20"/>
          <w:szCs w:val="20"/>
          <w:color w:val="auto"/>
        </w:rPr>
        <w:t>June 16,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Motors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300 Renaissance Center</w:t>
      </w:r>
    </w:p>
    <w:p>
      <w:pPr>
        <w:spacing w:after="0"/>
        <w:rPr>
          <w:sz w:val="20"/>
          <w:szCs w:val="20"/>
          <w:color w:val="auto"/>
        </w:rPr>
      </w:pPr>
      <w:r>
        <w:rPr>
          <w:rFonts w:ascii="Times New Roman" w:cs="Times New Roman" w:eastAsia="Times New Roman" w:hAnsi="Times New Roman"/>
          <w:sz w:val="20"/>
          <w:szCs w:val="20"/>
          <w:color w:val="auto"/>
        </w:rPr>
        <w:t>Detroit, Michigan 48265-3000</w:t>
      </w: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Registration Statement on Form S-8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Motors Company (the “Company”) has filed a Registration Statement on Form S-8 (the “Registration Statement”) with the Securities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Exchange Commission pursuant to the Securities Act of 1933, as amended with respect to 60,000,000 shares of Common Stock, par value</w:t>
      </w:r>
    </w:p>
    <w:p>
      <w:pPr>
        <w:spacing w:after="0"/>
        <w:rPr>
          <w:sz w:val="20"/>
          <w:szCs w:val="20"/>
          <w:color w:val="auto"/>
        </w:rPr>
      </w:pPr>
      <w:r>
        <w:rPr>
          <w:rFonts w:ascii="Times New Roman" w:cs="Times New Roman" w:eastAsia="Times New Roman" w:hAnsi="Times New Roman"/>
          <w:sz w:val="19"/>
          <w:szCs w:val="19"/>
          <w:color w:val="auto"/>
        </w:rPr>
        <w:t>$0.01 per share, of the Company (the “Common Stock”) relating to the General Motors Company 2014 Long-Term Incentive Plan (the “Plan”).</w:t>
      </w:r>
    </w:p>
    <w:p>
      <w:pPr>
        <w:spacing w:after="0" w:line="205"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As Executive Director Legal, Corporate and Securities, I am familiar with the Restated Certificate of Incorporation and the By-Laws of the Company and with its affairs, including the actions taken by the Company in connection with the preparation of the Registration Statement. I also examined such other documents and instruments and have made such further investigation as I have deemed necessary or appropriate in connection with this opinion.</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Based upon the foregoing, it is my opinion that the Common Stock to be registered, when issued and delivered pursuant to the Company’s Restated Certificate of Incorporation and the Plan, and when the Registration Statement shall have become effective, will be legally issued and will be fully paid and non-assessable.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consent to the use of this opinion as Exhibit 5.1 to the Registration Statement.</w:t>
      </w:r>
    </w:p>
    <w:p>
      <w:pPr>
        <w:spacing w:after="0" w:line="200" w:lineRule="exact"/>
        <w:rPr>
          <w:sz w:val="20"/>
          <w:szCs w:val="20"/>
          <w:color w:val="auto"/>
        </w:rPr>
      </w:pPr>
    </w:p>
    <w:p>
      <w:pPr>
        <w:spacing w:after="0" w:line="39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u w:val="single" w:color="auto"/>
          <w:color w:val="auto"/>
        </w:rPr>
        <w:t>/S/ ROBERT C. SHROSBREE</w:t>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color w:val="auto"/>
        </w:rPr>
        <w:t>Robert C. Shrosbree</w:t>
      </w:r>
    </w:p>
    <w:p>
      <w:pPr>
        <w:ind w:left="6100"/>
        <w:spacing w:after="0"/>
        <w:rPr>
          <w:sz w:val="20"/>
          <w:szCs w:val="20"/>
          <w:color w:val="auto"/>
        </w:rPr>
      </w:pPr>
      <w:r>
        <w:rPr>
          <w:rFonts w:ascii="Times New Roman" w:cs="Times New Roman" w:eastAsia="Times New Roman" w:hAnsi="Times New Roman"/>
          <w:sz w:val="20"/>
          <w:szCs w:val="20"/>
          <w:color w:val="auto"/>
        </w:rPr>
        <w:t>Executive Director Legal, Corporate &amp; Securities</w:t>
      </w:r>
    </w:p>
    <w:p>
      <w:pPr>
        <w:sectPr>
          <w:pgSz w:w="11900" w:h="16838" w:orient="portrait"/>
          <w:cols w:equalWidth="0" w:num="1">
            <w:col w:w="11420"/>
          </w:cols>
          <w:pgMar w:left="240" w:top="792" w:right="2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consent to the incorporation by reference in this Registration Statement on Form S-8 of our reports dated February 6, 2014, relating to the consolidated financial statements of General Motors Company and subsidiaries (the “Company”) (which report expresses an unqualified opinion and includes explanatory paragraphs relating to the adoption of amendments to accounting standards) and the effectiveness of the Company’s internal control over financial reporting, appearing in the Annual Report on Form 10-K of General Motors Company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6122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Detroit, Michigan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13, 2014</w:t>
      </w:r>
    </w:p>
    <w:p>
      <w:pPr>
        <w:sectPr>
          <w:pgSz w:w="11900" w:h="16838" w:orient="portrait"/>
          <w:cols w:equalWidth="0" w:num="1">
            <w:col w:w="11420"/>
          </w:cols>
          <w:pgMar w:left="240" w:top="576"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THEODORE M. SOLSO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Theodore M. Solso</w:t>
      </w:r>
    </w:p>
    <w:p>
      <w:pPr>
        <w:spacing w:after="0" w:line="38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Erroll B. Davis, Jr.</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2"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STEPHEN J.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Stephen J. Girsky</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2"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 NEVILLE ISDELL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 Neville Isdell</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2"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KATHRYN V.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Kathryn V. Marinello</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20, 2014</w:t>
      </w:r>
    </w:p>
    <w:p>
      <w:pPr>
        <w:sectPr>
          <w:pgSz w:w="11900" w:h="16838" w:orient="portrait"/>
          <w:cols w:equalWidth="0" w:num="1">
            <w:col w:w="11420"/>
          </w:cols>
          <w:pgMar w:left="240" w:top="572"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ADMIRAL MICHAEL G. MULLEN, USN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Admiral Michael G. Mullen, USN (ret.)</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2"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James J. Mulva</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2"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Patricia F. Russo</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2"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Thomas M. Schoewe</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p>
      <w:pPr>
        <w:sectPr>
          <w:pgSz w:w="11900" w:h="16838" w:orient="portrait"/>
          <w:cols w:equalWidth="0" w:num="1">
            <w:col w:w="11420"/>
          </w:cols>
          <w:pgMar w:left="240" w:top="572"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 director of General Motors Company (GM), hereby constitutes and appoints Robert C. Shrosbree, Anne T. Larin, Thomas S. Timko and Jeffrey W. Shepherd, and each of them, his true and lawful attorneys-in-fact and agents, with full power of substitution and resubstitution, for me and in my name, place and stead, in any and all capacities (including his capacity as a director of GM), to sign: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Registration Statement (s) on</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Covering</w:t>
            </w:r>
          </w:p>
        </w:tc>
      </w:tr>
      <w:tr>
        <w:trPr>
          <w:trHeight w:val="20"/>
        </w:trPr>
        <w:tc>
          <w:tcPr>
            <w:tcW w:w="24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Form S-4</w:t>
            </w:r>
          </w:p>
        </w:tc>
        <w:tc>
          <w:tcPr>
            <w:tcW w:w="20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$1.5 billion of 3.500% Senior Notes due 2018 (2018 Notes); $1.5 billion of</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4.875% Senior Notes due 2023 (2023 Notes); and $1.5 billion of 6.250% Senior Notes due</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2043 (2043 Notes) to be exchanged for $1.5 billion of 2018 Notes; $1.5 billion of 2023 Notes;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$1.5 billion of 2043 Notes issued during 2013 pursuant to Rule 144A of the Securities</w:t>
            </w:r>
          </w:p>
        </w:tc>
      </w:tr>
      <w:tr>
        <w:trPr>
          <w:trHeight w:val="216"/>
        </w:trPr>
        <w:tc>
          <w:tcPr>
            <w:tcW w:w="2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 of 1933, as amended (Securities Act) that have not been registered under the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r>
      <w:tr>
        <w:trPr>
          <w:trHeight w:val="41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of 60,000,000 shares of General Motors Company common stock, par value</w:t>
            </w:r>
          </w:p>
        </w:tc>
      </w:tr>
      <w:tr>
        <w:trPr>
          <w:trHeight w:val="234"/>
        </w:trPr>
        <w:tc>
          <w:tcPr>
            <w:tcW w:w="2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 for the General Motors 2014 Long-Term Incentive Plan</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CAROL M.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25558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Carol M. Stephenson</w:t>
      </w:r>
    </w:p>
    <w:p>
      <w:pPr>
        <w:spacing w:after="0" w:line="3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April 8, 2014</w:t>
      </w:r>
    </w:p>
    <w:sectPr>
      <w:pgSz w:w="11900" w:h="16838" w:orient="portrait"/>
      <w:cols w:equalWidth="0" w:num="1">
        <w:col w:w="11420"/>
      </w:cols>
      <w:pgMar w:left="240" w:top="5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
    <w:nsid w:val="46E87CC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
    <w:nsid w:val="3D1B58B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2019-12-07T20:41:07Z</dcterms:created>
  <dcterms:modified xsi:type="dcterms:W3CDTF">2019-12-07T20:41:07Z</dcterms:modified>
</cp:coreProperties>
</file>