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 2013</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0" w:lineRule="exact"/>
        <w:rPr>
          <w:sz w:val="24"/>
          <w:szCs w:val="24"/>
          <w:color w:val="auto"/>
        </w:rPr>
      </w:pPr>
    </w:p>
    <w:p>
      <w:pPr>
        <w:spacing w:after="0" w:line="376"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52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001-34960</w:t>
            </w: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33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incorporation)</w:t>
            </w:r>
          </w:p>
        </w:tc>
        <w:tc>
          <w:tcPr>
            <w:tcW w:w="25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(Commission File Number)</w:t>
            </w: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68"/>
        </w:trPr>
        <w:tc>
          <w:tcPr>
            <w:tcW w:w="5880" w:type="dxa"/>
            <w:vAlign w:val="bottom"/>
            <w:gridSpan w:val="2"/>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24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48265-3000</w:t>
            </w:r>
          </w:p>
        </w:tc>
        <w:tc>
          <w:tcPr>
            <w:tcW w:w="0" w:type="dxa"/>
            <w:vAlign w:val="bottom"/>
          </w:tcPr>
          <w:p>
            <w:pPr>
              <w:spacing w:after="0"/>
              <w:rPr>
                <w:sz w:val="1"/>
                <w:szCs w:val="1"/>
                <w:color w:val="auto"/>
              </w:rPr>
            </w:pPr>
          </w:p>
        </w:tc>
      </w:tr>
      <w:tr>
        <w:trPr>
          <w:trHeight w:val="234"/>
        </w:trPr>
        <w:tc>
          <w:tcPr>
            <w:tcW w:w="3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556-5000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1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6"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50"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(17-CFR 240.14a-12)</w:t>
      </w:r>
    </w:p>
    <w:p>
      <w:pPr>
        <w:spacing w:after="0" w:line="350"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50"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3" w:right="359" w:bottom="1440" w:gutter="0" w:footer="0" w:header="0"/>
        </w:sectPr>
      </w:pPr>
    </w:p>
    <w:bookmarkStart w:id="1" w:name="page2"/>
    <w:bookmarkEnd w:id="1"/>
    <w:p>
      <w:pPr>
        <w:jc w:val="right"/>
        <w:ind w:right="353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Sales Release and Charts Dated August 1, 2013</w:t>
      </w:r>
    </w:p>
    <w:p>
      <w:pPr>
        <w:sectPr>
          <w:pgSz w:w="11900" w:h="16838" w:orient="portrait"/>
          <w:cols w:equalWidth="0" w:num="1">
            <w:col w:w="10219"/>
          </w:cols>
          <w:pgMar w:left="240" w:top="57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 2013, General Motors Company issued a news release announcing July 2013 U.S. sales. The release and charts are attached as Exhibit 99.1.</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9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 Sales Release and Charts</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Attached as Exhibit</w:t>
            </w:r>
          </w:p>
        </w:tc>
      </w:tr>
      <w:tr>
        <w:trPr>
          <w:trHeight w:val="234"/>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Dated August 1, 2013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100"/>
          </w:cols>
          <w:pgMar w:left="240" w:top="792" w:right="5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S. TIMKO</w:t>
            </w: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2, 2013</w:t>
            </w:r>
          </w:p>
        </w:tc>
        <w:tc>
          <w:tcPr>
            <w:tcW w:w="264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00" w:type="dxa"/>
            <w:vAlign w:val="bottom"/>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S. Timko</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27940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August 1, 2013, 10 a.m. EDT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GM's Retail Sales Increased 23 percent in July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Total sales up 16 percent driven by double-digit increases at all four brands</w:t>
      </w:r>
    </w:p>
    <w:p>
      <w:pPr>
        <w:spacing w:after="0" w:line="205" w:lineRule="exact"/>
        <w:rPr>
          <w:sz w:val="20"/>
          <w:szCs w:val="20"/>
          <w:color w:val="auto"/>
        </w:rPr>
      </w:pPr>
    </w:p>
    <w:p>
      <w:pPr>
        <w:ind w:right="680"/>
        <w:spacing w:after="0" w:line="282"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dealers delivered 234,071 vehicles in the United States in July, up 16 percent</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with a year ago. Retail sales increased 23 percent while fleet sales declined 6 percent.</w:t>
      </w:r>
    </w:p>
    <w:p>
      <w:pPr>
        <w:spacing w:after="0" w:line="137"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“For GM, July was the most well-balanced month of the year from a retail sales standpoint: trucks were hot, but so were small cars and family vehicles,” said Kurt McNeil, vice president, U.S. sales operations. “Our experience shows that the difference between good sales and great sales in a slow-growth economy is how many new products you have to offer, and we are starting to hit our sweet spot.”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July Total Sales Highlights (vs. 2012)</w:t>
      </w:r>
    </w:p>
    <w:p>
      <w:pPr>
        <w:spacing w:after="0" w:line="28" w:lineRule="exact"/>
        <w:rPr>
          <w:sz w:val="20"/>
          <w:szCs w:val="20"/>
          <w:color w:val="auto"/>
        </w:rPr>
      </w:pPr>
    </w:p>
    <w:p>
      <w:pPr>
        <w:ind w:left="660" w:right="260" w:hanging="328"/>
        <w:spacing w:after="0" w:line="239"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color w:val="auto"/>
        </w:rPr>
        <w:t>GM passenger car sales were up 24 percent year over year, including a 42 percent increase in mini-, small and compact car deliveries.</w:t>
      </w:r>
    </w:p>
    <w:p>
      <w:pPr>
        <w:spacing w:after="0" w:line="1" w:lineRule="exact"/>
        <w:rPr>
          <w:rFonts w:ascii="Times New Roman" w:cs="Times New Roman" w:eastAsia="Times New Roman" w:hAnsi="Times New Roman"/>
          <w:sz w:val="18"/>
          <w:szCs w:val="18"/>
          <w:color w:val="auto"/>
        </w:rPr>
      </w:pPr>
    </w:p>
    <w:p>
      <w:pPr>
        <w:ind w:left="660" w:right="260" w:hanging="328"/>
        <w:spacing w:after="0" w:line="239"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color w:val="auto"/>
        </w:rPr>
        <w:t>Chevrolet car sales were up 31 percent driven by a record month for the Spark, record July sales for the Cruze and a 38 percent increase for the Impala.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color w:val="auto"/>
        </w:rPr>
        <w:t>Cadillac car sales were up 34 percent on the strength of the new ATS and XTS.</w:t>
      </w:r>
    </w:p>
    <w:p>
      <w:pPr>
        <w:ind w:left="660" w:hanging="328"/>
        <w:spacing w:after="0"/>
        <w:tabs>
          <w:tab w:leader="none" w:pos="66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9"/>
          <w:szCs w:val="19"/>
          <w:color w:val="auto"/>
        </w:rPr>
        <w:t>Pickup, van and SUV sales were up a combined 16 percent with full-size pickups up 44 percent - the best July since 2007.</w:t>
      </w:r>
    </w:p>
    <w:p>
      <w:pPr>
        <w:spacing w:after="0" w:line="11" w:lineRule="exact"/>
        <w:rPr>
          <w:rFonts w:ascii="Times New Roman" w:cs="Times New Roman" w:eastAsia="Times New Roman" w:hAnsi="Times New Roman"/>
          <w:sz w:val="17"/>
          <w:szCs w:val="17"/>
          <w:color w:val="auto"/>
        </w:rPr>
      </w:pPr>
    </w:p>
    <w:p>
      <w:pPr>
        <w:ind w:left="660" w:right="480" w:hanging="328"/>
        <w:spacing w:after="0" w:line="239"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color w:val="auto"/>
        </w:rPr>
        <w:t>About 15 percent of full-size pickup sales were all-new 2014 crew cabs. Double-cab models are now being shipped to dealers and regular cab production begins later this summer.</w:t>
      </w:r>
    </w:p>
    <w:p>
      <w:pPr>
        <w:spacing w:after="0" w:line="1" w:lineRule="exact"/>
        <w:rPr>
          <w:rFonts w:ascii="Times New Roman" w:cs="Times New Roman" w:eastAsia="Times New Roman" w:hAnsi="Times New Roman"/>
          <w:sz w:val="18"/>
          <w:szCs w:val="18"/>
          <w:color w:val="auto"/>
        </w:rPr>
      </w:pPr>
    </w:p>
    <w:p>
      <w:pPr>
        <w:ind w:left="660" w:right="540" w:hanging="328"/>
        <w:spacing w:after="0" w:line="253" w:lineRule="auto"/>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color w:val="auto"/>
        </w:rPr>
        <w:t>Crossover sales were up 6 percent, with the redesigned Chevrolet Traverse and Buick Enclave up 33 percent and 14 percent, respectively. Sales of the all-new Buick Encore increased 39 percent from June 2013.</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July Retail Sales Highlights (vs. 2012)</w:t>
      </w:r>
    </w:p>
    <w:p>
      <w:pPr>
        <w:spacing w:after="0" w:line="28" w:lineRule="exact"/>
        <w:rPr>
          <w:sz w:val="20"/>
          <w:szCs w:val="20"/>
          <w:color w:val="auto"/>
        </w:rPr>
      </w:pPr>
    </w:p>
    <w:p>
      <w:pPr>
        <w:ind w:left="660" w:right="460" w:hanging="328"/>
        <w:spacing w:after="0" w:line="239" w:lineRule="auto"/>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All four brands posted double-digit retail sales increases and Buick retail sales have now increased for 15 consecutive months.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Full-size pickup deliveries were up 51 percent and crossover sales increased 18 percent.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Deliveries to small business customers increased 61 percent, including a 107 percent increase full-size pickup deliveries.</w:t>
      </w:r>
    </w:p>
    <w:p>
      <w:pPr>
        <w:ind w:left="660" w:right="560" w:hanging="328"/>
        <w:spacing w:after="0" w:line="239" w:lineRule="auto"/>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Sales of the Chevrolet Malibu increased 31 percent and the Chevrolet Equinox had its best-ever July retail sales with deliveries up 9 percent.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GMC Terrain sales were up 24 percent for its best-ever July.</w:t>
      </w:r>
    </w:p>
    <w:p>
      <w:pPr>
        <w:spacing w:after="0" w:line="200" w:lineRule="exact"/>
        <w:rPr>
          <w:sz w:val="20"/>
          <w:szCs w:val="20"/>
          <w:color w:val="auto"/>
        </w:rPr>
      </w:pPr>
    </w:p>
    <w:p>
      <w:pPr>
        <w:spacing w:after="0" w:line="220"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b w:val="1"/>
          <w:bCs w:val="1"/>
          <w:color w:val="auto"/>
        </w:rPr>
        <w:t xml:space="preserve">General Motors Co. </w:t>
      </w:r>
      <w:r>
        <w:rPr>
          <w:rFonts w:ascii="Arial" w:cs="Arial" w:eastAsia="Arial" w:hAnsi="Arial"/>
          <w:sz w:val="14"/>
          <w:szCs w:val="14"/>
          <w:color w:val="auto"/>
        </w:rPr>
        <w:t xml:space="preserve">(NYSE:GM, TSX: GMM) and its partners produce vehicles in 30 countries, and the company has leadership positions in the world's largest and fastest-growing automotive 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4"/>
          <w:szCs w:val="14"/>
          <w:u w:val="single" w:color="auto"/>
          <w:color w:val="0000FF"/>
        </w:rPr>
        <w:t>http://www.gm.com</w:t>
      </w:r>
      <w:r>
        <w:rPr>
          <w:rFonts w:ascii="Arial" w:cs="Arial" w:eastAsia="Arial" w:hAnsi="Arial"/>
          <w:sz w:val="14"/>
          <w:szCs w:val="14"/>
          <w:color w:val="000000"/>
        </w:rPr>
        <w:t>.</w:t>
      </w:r>
    </w:p>
    <w:p>
      <w:pPr>
        <w:sectPr>
          <w:pgSz w:w="11900" w:h="16838" w:orient="portrait"/>
          <w:cols w:equalWidth="0" w:num="1">
            <w:col w:w="11420"/>
          </w:cols>
          <w:pgMar w:left="240" w:top="807"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Jim Cain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313-407-2843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james.cain@gm.com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July 2013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208280</wp:posOffset>
            </wp:positionV>
            <wp:extent cx="6586220" cy="3662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3662045"/>
                    </a:xfrm>
                    <a:prstGeom prst="rect">
                      <a:avLst/>
                    </a:prstGeom>
                    <a:noFill/>
                  </pic:spPr>
                </pic:pic>
              </a:graphicData>
            </a:graphic>
          </wp:anchor>
        </w:drawing>
      </w:r>
    </w:p>
    <w:p>
      <w:pPr>
        <w:spacing w:after="0" w:line="327"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2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Retail Sales</w:t>
            </w:r>
          </w:p>
        </w:tc>
        <w:tc>
          <w:tcPr>
            <w:tcW w:w="21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YOY Change</w:t>
            </w:r>
          </w:p>
        </w:tc>
      </w:tr>
      <w:tr>
        <w:trPr>
          <w:trHeight w:val="27"/>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Chevrolet</w:t>
            </w:r>
          </w:p>
        </w:tc>
        <w:tc>
          <w:tcPr>
            <w:tcW w:w="2060" w:type="dxa"/>
            <w:vAlign w:val="bottom"/>
          </w:tcPr>
          <w:p>
            <w:pPr>
              <w:jc w:val="center"/>
              <w:ind w:left="17"/>
              <w:spacing w:after="0"/>
              <w:rPr>
                <w:sz w:val="20"/>
                <w:szCs w:val="20"/>
                <w:color w:val="auto"/>
              </w:rPr>
            </w:pPr>
            <w:r>
              <w:rPr>
                <w:rFonts w:ascii="Times New Roman" w:cs="Times New Roman" w:eastAsia="Times New Roman" w:hAnsi="Times New Roman"/>
                <w:sz w:val="16"/>
                <w:szCs w:val="16"/>
                <w:color w:val="auto"/>
                <w:w w:val="99"/>
              </w:rPr>
              <w:t>162,670</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17.1%</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124,750</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25.1%</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GMC</w:t>
            </w:r>
          </w:p>
        </w:tc>
        <w:tc>
          <w:tcPr>
            <w:tcW w:w="2060" w:type="dxa"/>
            <w:vAlign w:val="bottom"/>
          </w:tcPr>
          <w:p>
            <w:pPr>
              <w:jc w:val="center"/>
              <w:ind w:left="17"/>
              <w:spacing w:after="0"/>
              <w:rPr>
                <w:sz w:val="20"/>
                <w:szCs w:val="20"/>
                <w:color w:val="auto"/>
              </w:rPr>
            </w:pPr>
            <w:r>
              <w:rPr>
                <w:rFonts w:ascii="Times New Roman" w:cs="Times New Roman" w:eastAsia="Times New Roman" w:hAnsi="Times New Roman"/>
                <w:sz w:val="16"/>
                <w:szCs w:val="16"/>
                <w:color w:val="auto"/>
                <w:w w:val="99"/>
              </w:rPr>
              <w:t>39,356</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14.1%</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33,988</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23.3%</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Buick</w:t>
            </w:r>
          </w:p>
        </w:tc>
        <w:tc>
          <w:tcPr>
            <w:tcW w:w="2060" w:type="dxa"/>
            <w:vAlign w:val="bottom"/>
          </w:tcPr>
          <w:p>
            <w:pPr>
              <w:jc w:val="center"/>
              <w:ind w:left="17"/>
              <w:spacing w:after="0"/>
              <w:rPr>
                <w:sz w:val="20"/>
                <w:szCs w:val="20"/>
                <w:color w:val="auto"/>
              </w:rPr>
            </w:pPr>
            <w:r>
              <w:rPr>
                <w:rFonts w:ascii="Times New Roman" w:cs="Times New Roman" w:eastAsia="Times New Roman" w:hAnsi="Times New Roman"/>
                <w:sz w:val="16"/>
                <w:szCs w:val="16"/>
                <w:color w:val="auto"/>
                <w:w w:val="99"/>
              </w:rPr>
              <w:t>16,393</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13.9%</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15,662</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9.7%</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Cadillac</w:t>
            </w:r>
          </w:p>
        </w:tc>
        <w:tc>
          <w:tcPr>
            <w:tcW w:w="2060" w:type="dxa"/>
            <w:vAlign w:val="bottom"/>
          </w:tcPr>
          <w:p>
            <w:pPr>
              <w:jc w:val="center"/>
              <w:ind w:left="17"/>
              <w:spacing w:after="0"/>
              <w:rPr>
                <w:sz w:val="20"/>
                <w:szCs w:val="20"/>
                <w:color w:val="auto"/>
              </w:rPr>
            </w:pPr>
            <w:r>
              <w:rPr>
                <w:rFonts w:ascii="Times New Roman" w:cs="Times New Roman" w:eastAsia="Times New Roman" w:hAnsi="Times New Roman"/>
                <w:sz w:val="16"/>
                <w:szCs w:val="16"/>
                <w:color w:val="auto"/>
                <w:w w:val="99"/>
              </w:rPr>
              <w:t>15,652</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16.7%</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14,719</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 GM</w:t>
            </w:r>
          </w:p>
        </w:tc>
        <w:tc>
          <w:tcPr>
            <w:tcW w:w="2060" w:type="dxa"/>
            <w:vAlign w:val="bottom"/>
          </w:tcPr>
          <w:p>
            <w:pPr>
              <w:jc w:val="center"/>
              <w:ind w:left="17"/>
              <w:spacing w:after="0"/>
              <w:rPr>
                <w:sz w:val="20"/>
                <w:szCs w:val="20"/>
                <w:color w:val="auto"/>
              </w:rPr>
            </w:pPr>
            <w:r>
              <w:rPr>
                <w:rFonts w:ascii="Times New Roman" w:cs="Times New Roman" w:eastAsia="Times New Roman" w:hAnsi="Times New Roman"/>
                <w:sz w:val="16"/>
                <w:szCs w:val="16"/>
                <w:color w:val="auto"/>
                <w:w w:val="99"/>
              </w:rPr>
              <w:t>234,071</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16.3%</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189,119</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23.2%</w:t>
            </w:r>
          </w:p>
        </w:tc>
      </w:tr>
    </w:tbl>
    <w:p>
      <w:pPr>
        <w:spacing w:after="0" w:line="348"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CYTD</w:t>
            </w:r>
          </w:p>
        </w:tc>
        <w:tc>
          <w:tcPr>
            <w:tcW w:w="2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1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Retail Sales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YOY Change</w:t>
            </w:r>
          </w:p>
        </w:tc>
      </w:tr>
      <w:tr>
        <w:trPr>
          <w:trHeight w:val="27"/>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Chevrolet</w:t>
            </w:r>
          </w:p>
        </w:tc>
        <w:tc>
          <w:tcPr>
            <w:tcW w:w="2060" w:type="dxa"/>
            <w:vAlign w:val="bottom"/>
          </w:tcPr>
          <w:p>
            <w:pPr>
              <w:jc w:val="center"/>
              <w:ind w:left="17"/>
              <w:spacing w:after="0"/>
              <w:rPr>
                <w:sz w:val="20"/>
                <w:szCs w:val="20"/>
                <w:color w:val="auto"/>
              </w:rPr>
            </w:pPr>
            <w:r>
              <w:rPr>
                <w:rFonts w:ascii="Times New Roman" w:cs="Times New Roman" w:eastAsia="Times New Roman" w:hAnsi="Times New Roman"/>
                <w:sz w:val="16"/>
                <w:szCs w:val="16"/>
                <w:color w:val="auto"/>
                <w:w w:val="99"/>
              </w:rPr>
              <w:t>1,177,804</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7.0%</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813,380</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GMC</w:t>
            </w:r>
          </w:p>
        </w:tc>
        <w:tc>
          <w:tcPr>
            <w:tcW w:w="2060" w:type="dxa"/>
            <w:vAlign w:val="bottom"/>
          </w:tcPr>
          <w:p>
            <w:pPr>
              <w:jc w:val="center"/>
              <w:ind w:left="17"/>
              <w:spacing w:after="0"/>
              <w:rPr>
                <w:sz w:val="20"/>
                <w:szCs w:val="20"/>
                <w:color w:val="auto"/>
              </w:rPr>
            </w:pPr>
            <w:r>
              <w:rPr>
                <w:rFonts w:ascii="Times New Roman" w:cs="Times New Roman" w:eastAsia="Times New Roman" w:hAnsi="Times New Roman"/>
                <w:sz w:val="16"/>
                <w:szCs w:val="16"/>
                <w:color w:val="auto"/>
                <w:w w:val="99"/>
              </w:rPr>
              <w:t>260,052</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223,307</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14.9%</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Buick</w:t>
            </w:r>
          </w:p>
        </w:tc>
        <w:tc>
          <w:tcPr>
            <w:tcW w:w="2060" w:type="dxa"/>
            <w:vAlign w:val="bottom"/>
          </w:tcPr>
          <w:p>
            <w:pPr>
              <w:jc w:val="center"/>
              <w:ind w:left="17"/>
              <w:spacing w:after="0"/>
              <w:rPr>
                <w:sz w:val="20"/>
                <w:szCs w:val="20"/>
                <w:color w:val="auto"/>
              </w:rPr>
            </w:pPr>
            <w:r>
              <w:rPr>
                <w:rFonts w:ascii="Times New Roman" w:cs="Times New Roman" w:eastAsia="Times New Roman" w:hAnsi="Times New Roman"/>
                <w:sz w:val="16"/>
                <w:szCs w:val="16"/>
                <w:color w:val="auto"/>
                <w:w w:val="99"/>
              </w:rPr>
              <w:t>117,230</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105,827</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14.1%</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Cadillac</w:t>
            </w:r>
          </w:p>
        </w:tc>
        <w:tc>
          <w:tcPr>
            <w:tcW w:w="2060" w:type="dxa"/>
            <w:vAlign w:val="bottom"/>
          </w:tcPr>
          <w:p>
            <w:pPr>
              <w:jc w:val="center"/>
              <w:ind w:left="17"/>
              <w:spacing w:after="0"/>
              <w:rPr>
                <w:sz w:val="20"/>
                <w:szCs w:val="20"/>
                <w:color w:val="auto"/>
              </w:rPr>
            </w:pPr>
            <w:r>
              <w:rPr>
                <w:rFonts w:ascii="Times New Roman" w:cs="Times New Roman" w:eastAsia="Times New Roman" w:hAnsi="Times New Roman"/>
                <w:sz w:val="16"/>
                <w:szCs w:val="16"/>
                <w:color w:val="auto"/>
                <w:w w:val="99"/>
              </w:rPr>
              <w:t>99,331</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30.3%</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90,785</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26.0%</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 GM</w:t>
            </w:r>
          </w:p>
        </w:tc>
        <w:tc>
          <w:tcPr>
            <w:tcW w:w="2060" w:type="dxa"/>
            <w:vAlign w:val="bottom"/>
          </w:tcPr>
          <w:p>
            <w:pPr>
              <w:jc w:val="center"/>
              <w:ind w:left="17"/>
              <w:spacing w:after="0"/>
              <w:rPr>
                <w:sz w:val="20"/>
                <w:szCs w:val="20"/>
                <w:color w:val="auto"/>
              </w:rPr>
            </w:pPr>
            <w:r>
              <w:rPr>
                <w:rFonts w:ascii="Times New Roman" w:cs="Times New Roman" w:eastAsia="Times New Roman" w:hAnsi="Times New Roman"/>
                <w:sz w:val="16"/>
                <w:szCs w:val="16"/>
                <w:color w:val="auto"/>
                <w:w w:val="99"/>
              </w:rPr>
              <w:t>1,654,417</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1,233,299</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12.4%</w:t>
            </w:r>
          </w:p>
        </w:tc>
      </w:tr>
    </w:tbl>
    <w:p>
      <w:pPr>
        <w:spacing w:after="0" w:line="348" w:lineRule="exact"/>
        <w:rPr>
          <w:sz w:val="20"/>
          <w:szCs w:val="20"/>
          <w:color w:val="auto"/>
        </w:rPr>
      </w:pPr>
    </w:p>
    <w:tbl>
      <w:tblPr>
        <w:tblLayout w:type="fixed"/>
        <w:tblInd w:w="550" w:type="dxa"/>
        <w:tblCellMar>
          <w:top w:w="0" w:type="dxa"/>
          <w:left w:w="0" w:type="dxa"/>
          <w:bottom w:w="0" w:type="dxa"/>
          <w:right w:w="0" w:type="dxa"/>
        </w:tblCellMar>
      </w:tblPr>
      <w:tr>
        <w:trPr>
          <w:trHeight w:val="238"/>
        </w:trPr>
        <w:tc>
          <w:tcPr>
            <w:tcW w:w="2620" w:type="dxa"/>
            <w:vAlign w:val="bottom"/>
          </w:tcPr>
          <w:p>
            <w:pPr>
              <w:jc w:val="center"/>
              <w:ind w:right="455"/>
              <w:spacing w:after="0"/>
              <w:rPr>
                <w:sz w:val="20"/>
                <w:szCs w:val="20"/>
                <w:color w:val="auto"/>
              </w:rPr>
            </w:pPr>
            <w:r>
              <w:rPr>
                <w:rFonts w:ascii="Times New Roman" w:cs="Times New Roman" w:eastAsia="Times New Roman" w:hAnsi="Times New Roman"/>
                <w:sz w:val="18"/>
                <w:szCs w:val="18"/>
                <w:b w:val="1"/>
                <w:bCs w:val="1"/>
                <w:color w:val="auto"/>
                <w:w w:val="99"/>
              </w:rPr>
              <w:t>Fleet Segment</w:t>
            </w: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660" w:type="dxa"/>
            <w:vAlign w:val="bottom"/>
          </w:tcPr>
          <w:p>
            <w:pPr>
              <w:spacing w:after="0"/>
              <w:rPr>
                <w:sz w:val="20"/>
                <w:szCs w:val="20"/>
                <w:color w:val="auto"/>
              </w:rPr>
            </w:pPr>
          </w:p>
        </w:tc>
        <w:tc>
          <w:tcPr>
            <w:tcW w:w="1760" w:type="dxa"/>
            <w:vAlign w:val="bottom"/>
            <w:gridSpan w:val="2"/>
          </w:tcPr>
          <w:p>
            <w:pPr>
              <w:jc w:val="center"/>
              <w:ind w:right="434"/>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1440" w:type="dxa"/>
            <w:vAlign w:val="bottom"/>
          </w:tcPr>
          <w:p>
            <w:pPr>
              <w:jc w:val="center"/>
              <w:ind w:left="314"/>
              <w:spacing w:after="0"/>
              <w:rPr>
                <w:sz w:val="20"/>
                <w:szCs w:val="20"/>
                <w:color w:val="auto"/>
              </w:rPr>
            </w:pPr>
            <w:r>
              <w:rPr>
                <w:rFonts w:ascii="Times New Roman" w:cs="Times New Roman" w:eastAsia="Times New Roman" w:hAnsi="Times New Roman"/>
                <w:sz w:val="18"/>
                <w:szCs w:val="18"/>
                <w:b w:val="1"/>
                <w:bCs w:val="1"/>
                <w:color w:val="auto"/>
              </w:rPr>
              <w:t>CYTD</w:t>
            </w:r>
          </w:p>
        </w:tc>
        <w:tc>
          <w:tcPr>
            <w:tcW w:w="400" w:type="dxa"/>
            <w:vAlign w:val="bottom"/>
          </w:tcPr>
          <w:p>
            <w:pPr>
              <w:spacing w:after="0"/>
              <w:rPr>
                <w:sz w:val="20"/>
                <w:szCs w:val="20"/>
                <w:color w:val="auto"/>
              </w:rPr>
            </w:pPr>
          </w:p>
        </w:tc>
        <w:tc>
          <w:tcPr>
            <w:tcW w:w="2180" w:type="dxa"/>
            <w:vAlign w:val="bottom"/>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9"/>
              </w:rPr>
              <w:t>CYTD Change</w:t>
            </w:r>
          </w:p>
        </w:tc>
        <w:tc>
          <w:tcPr>
            <w:tcW w:w="0" w:type="dxa"/>
            <w:vAlign w:val="bottom"/>
          </w:tcPr>
          <w:p>
            <w:pPr>
              <w:spacing w:after="0"/>
              <w:rPr>
                <w:sz w:val="1"/>
                <w:szCs w:val="1"/>
                <w:color w:val="auto"/>
              </w:rPr>
            </w:pPr>
          </w:p>
        </w:tc>
      </w:tr>
      <w:tr>
        <w:trPr>
          <w:trHeight w:val="27"/>
        </w:trPr>
        <w:tc>
          <w:tcPr>
            <w:tcW w:w="2620" w:type="dxa"/>
            <w:vAlign w:val="bottom"/>
            <w:tcBorders>
              <w:bottom w:val="single" w:sz="8" w:color="BFBFBF"/>
            </w:tcBorders>
          </w:tcPr>
          <w:p>
            <w:pPr>
              <w:spacing w:after="0"/>
              <w:rPr>
                <w:sz w:val="2"/>
                <w:szCs w:val="2"/>
                <w:color w:val="auto"/>
              </w:rPr>
            </w:pPr>
          </w:p>
        </w:tc>
        <w:tc>
          <w:tcPr>
            <w:tcW w:w="1300" w:type="dxa"/>
            <w:vAlign w:val="bottom"/>
            <w:tcBorders>
              <w:bottom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620" w:type="dxa"/>
            <w:vAlign w:val="bottom"/>
            <w:tcBorders>
              <w:bottom w:val="single" w:sz="8" w:color="BFBFBF"/>
            </w:tcBorders>
          </w:tcPr>
          <w:p>
            <w:pPr>
              <w:spacing w:after="0"/>
              <w:rPr>
                <w:sz w:val="2"/>
                <w:szCs w:val="2"/>
                <w:color w:val="auto"/>
              </w:rPr>
            </w:pPr>
          </w:p>
        </w:tc>
        <w:tc>
          <w:tcPr>
            <w:tcW w:w="1140" w:type="dxa"/>
            <w:vAlign w:val="bottom"/>
            <w:tcBorders>
              <w:bottom w:val="single" w:sz="8" w:color="BFBFBF"/>
            </w:tcBorders>
          </w:tcPr>
          <w:p>
            <w:pPr>
              <w:spacing w:after="0"/>
              <w:rPr>
                <w:sz w:val="2"/>
                <w:szCs w:val="2"/>
                <w:color w:val="auto"/>
              </w:rPr>
            </w:pPr>
          </w:p>
        </w:tc>
        <w:tc>
          <w:tcPr>
            <w:tcW w:w="144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21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jc w:val="center"/>
              <w:ind w:right="455"/>
              <w:spacing w:after="0"/>
              <w:rPr>
                <w:sz w:val="20"/>
                <w:szCs w:val="20"/>
                <w:color w:val="auto"/>
              </w:rPr>
            </w:pPr>
            <w:r>
              <w:rPr>
                <w:rFonts w:ascii="Times New Roman" w:cs="Times New Roman" w:eastAsia="Times New Roman" w:hAnsi="Times New Roman"/>
                <w:sz w:val="16"/>
                <w:szCs w:val="16"/>
                <w:color w:val="auto"/>
              </w:rPr>
              <w:t>Fleet Share of Total GM Sales</w:t>
            </w:r>
          </w:p>
        </w:tc>
        <w:tc>
          <w:tcPr>
            <w:tcW w:w="1300" w:type="dxa"/>
            <w:vAlign w:val="bottom"/>
          </w:tcPr>
          <w:p>
            <w:pPr>
              <w:jc w:val="center"/>
              <w:ind w:right="194"/>
              <w:spacing w:after="0"/>
              <w:rPr>
                <w:sz w:val="20"/>
                <w:szCs w:val="20"/>
                <w:color w:val="auto"/>
              </w:rPr>
            </w:pPr>
            <w:r>
              <w:rPr>
                <w:rFonts w:ascii="Times New Roman" w:cs="Times New Roman" w:eastAsia="Times New Roman" w:hAnsi="Times New Roman"/>
                <w:sz w:val="16"/>
                <w:szCs w:val="16"/>
                <w:color w:val="auto"/>
              </w:rPr>
              <w:t>19.2%</w:t>
            </w:r>
          </w:p>
        </w:tc>
        <w:tc>
          <w:tcPr>
            <w:tcW w:w="660" w:type="dxa"/>
            <w:vAlign w:val="bottom"/>
          </w:tcPr>
          <w:p>
            <w:pPr>
              <w:spacing w:after="0"/>
              <w:rPr>
                <w:sz w:val="18"/>
                <w:szCs w:val="18"/>
                <w:color w:val="auto"/>
              </w:rPr>
            </w:pPr>
          </w:p>
        </w:tc>
        <w:tc>
          <w:tcPr>
            <w:tcW w:w="1760" w:type="dxa"/>
            <w:vAlign w:val="bottom"/>
            <w:gridSpan w:val="2"/>
          </w:tcPr>
          <w:p>
            <w:pPr>
              <w:jc w:val="center"/>
              <w:ind w:right="454"/>
              <w:spacing w:after="0"/>
              <w:rPr>
                <w:sz w:val="20"/>
                <w:szCs w:val="20"/>
                <w:color w:val="auto"/>
              </w:rPr>
            </w:pPr>
            <w:r>
              <w:rPr>
                <w:rFonts w:ascii="Times New Roman" w:cs="Times New Roman" w:eastAsia="Times New Roman" w:hAnsi="Times New Roman"/>
                <w:sz w:val="16"/>
                <w:szCs w:val="16"/>
                <w:color w:val="auto"/>
              </w:rPr>
              <w:t>(4.5) points</w:t>
            </w:r>
          </w:p>
        </w:tc>
        <w:tc>
          <w:tcPr>
            <w:tcW w:w="1440" w:type="dxa"/>
            <w:vAlign w:val="bottom"/>
          </w:tcPr>
          <w:p>
            <w:pPr>
              <w:jc w:val="center"/>
              <w:ind w:left="314"/>
              <w:spacing w:after="0"/>
              <w:rPr>
                <w:sz w:val="20"/>
                <w:szCs w:val="20"/>
                <w:color w:val="auto"/>
              </w:rPr>
            </w:pPr>
            <w:r>
              <w:rPr>
                <w:rFonts w:ascii="Times New Roman" w:cs="Times New Roman" w:eastAsia="Times New Roman" w:hAnsi="Times New Roman"/>
                <w:sz w:val="16"/>
                <w:szCs w:val="16"/>
                <w:color w:val="auto"/>
                <w:w w:val="96"/>
              </w:rPr>
              <w:t>25.5%</w:t>
            </w:r>
          </w:p>
        </w:tc>
        <w:tc>
          <w:tcPr>
            <w:tcW w:w="400" w:type="dxa"/>
            <w:vAlign w:val="bottom"/>
          </w:tcPr>
          <w:p>
            <w:pPr>
              <w:spacing w:after="0"/>
              <w:rPr>
                <w:sz w:val="18"/>
                <w:szCs w:val="18"/>
                <w:color w:val="auto"/>
              </w:rPr>
            </w:pPr>
          </w:p>
        </w:tc>
        <w:tc>
          <w:tcPr>
            <w:tcW w:w="2180" w:type="dxa"/>
            <w:vAlign w:val="bottom"/>
          </w:tcPr>
          <w:p>
            <w:pPr>
              <w:jc w:val="center"/>
              <w:ind w:left="35"/>
              <w:spacing w:after="0"/>
              <w:rPr>
                <w:sz w:val="20"/>
                <w:szCs w:val="20"/>
                <w:color w:val="auto"/>
              </w:rPr>
            </w:pPr>
            <w:r>
              <w:rPr>
                <w:rFonts w:ascii="Times New Roman" w:cs="Times New Roman" w:eastAsia="Times New Roman" w:hAnsi="Times New Roman"/>
                <w:sz w:val="16"/>
                <w:szCs w:val="16"/>
                <w:color w:val="auto"/>
              </w:rPr>
              <w:t>(2.2) points</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FBFBF"/>
            </w:tcBorders>
          </w:tcPr>
          <w:p>
            <w:pPr>
              <w:spacing w:after="0"/>
              <w:rPr>
                <w:sz w:val="2"/>
                <w:szCs w:val="2"/>
                <w:color w:val="auto"/>
              </w:rPr>
            </w:pPr>
          </w:p>
        </w:tc>
        <w:tc>
          <w:tcPr>
            <w:tcW w:w="130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gridSpan w:val="2"/>
          </w:tcPr>
          <w:p>
            <w:pPr>
              <w:spacing w:after="0"/>
              <w:rPr>
                <w:sz w:val="2"/>
                <w:szCs w:val="2"/>
                <w:color w:val="auto"/>
              </w:rPr>
            </w:pPr>
          </w:p>
        </w:tc>
        <w:tc>
          <w:tcPr>
            <w:tcW w:w="1140" w:type="dxa"/>
            <w:vAlign w:val="bottom"/>
            <w:tcBorders>
              <w:bottom w:val="single" w:sz="8" w:color="BFBFBF"/>
            </w:tcBorders>
          </w:tcPr>
          <w:p>
            <w:pPr>
              <w:spacing w:after="0"/>
              <w:rPr>
                <w:sz w:val="2"/>
                <w:szCs w:val="2"/>
                <w:color w:val="auto"/>
              </w:rPr>
            </w:pPr>
          </w:p>
        </w:tc>
        <w:tc>
          <w:tcPr>
            <w:tcW w:w="144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21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620" w:type="dxa"/>
            <w:vAlign w:val="bottom"/>
            <w:tcBorders>
              <w:bottom w:val="single" w:sz="8" w:color="BFBFBF"/>
            </w:tcBorders>
          </w:tcPr>
          <w:p>
            <w:pPr>
              <w:spacing w:after="0"/>
              <w:rPr>
                <w:sz w:val="24"/>
                <w:szCs w:val="24"/>
                <w:color w:val="auto"/>
              </w:rPr>
            </w:pPr>
          </w:p>
        </w:tc>
        <w:tc>
          <w:tcPr>
            <w:tcW w:w="130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620" w:type="dxa"/>
            <w:vAlign w:val="bottom"/>
            <w:tcBorders>
              <w:bottom w:val="single" w:sz="8" w:color="BFBFBF"/>
            </w:tcBorders>
          </w:tcPr>
          <w:p>
            <w:pPr>
              <w:spacing w:after="0"/>
              <w:rPr>
                <w:sz w:val="24"/>
                <w:szCs w:val="24"/>
                <w:color w:val="auto"/>
              </w:rPr>
            </w:pPr>
          </w:p>
        </w:tc>
        <w:tc>
          <w:tcPr>
            <w:tcW w:w="1140" w:type="dxa"/>
            <w:vAlign w:val="bottom"/>
            <w:tcBorders>
              <w:bottom w:val="single" w:sz="8" w:color="BFBFBF"/>
            </w:tcBorders>
          </w:tcPr>
          <w:p>
            <w:pPr>
              <w:spacing w:after="0"/>
              <w:rPr>
                <w:sz w:val="24"/>
                <w:szCs w:val="24"/>
                <w:color w:val="auto"/>
              </w:rPr>
            </w:pPr>
          </w:p>
        </w:tc>
        <w:tc>
          <w:tcPr>
            <w:tcW w:w="14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218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620" w:type="dxa"/>
            <w:vAlign w:val="bottom"/>
            <w:vMerge w:val="restart"/>
          </w:tcPr>
          <w:p>
            <w:pPr>
              <w:jc w:val="center"/>
              <w:ind w:right="455"/>
              <w:spacing w:after="0"/>
              <w:rPr>
                <w:sz w:val="20"/>
                <w:szCs w:val="20"/>
                <w:color w:val="auto"/>
              </w:rPr>
            </w:pPr>
            <w:r>
              <w:rPr>
                <w:rFonts w:ascii="Times New Roman" w:cs="Times New Roman" w:eastAsia="Times New Roman" w:hAnsi="Times New Roman"/>
                <w:sz w:val="18"/>
                <w:szCs w:val="18"/>
                <w:b w:val="1"/>
                <w:bCs w:val="1"/>
                <w:color w:val="auto"/>
                <w:w w:val="99"/>
              </w:rPr>
              <w:t>Inventory</w:t>
            </w:r>
          </w:p>
        </w:tc>
        <w:tc>
          <w:tcPr>
            <w:tcW w:w="1300" w:type="dxa"/>
            <w:vAlign w:val="bottom"/>
          </w:tcPr>
          <w:p>
            <w:pPr>
              <w:jc w:val="center"/>
              <w:ind w:right="194"/>
              <w:spacing w:after="0"/>
              <w:rPr>
                <w:sz w:val="20"/>
                <w:szCs w:val="20"/>
                <w:color w:val="auto"/>
              </w:rPr>
            </w:pPr>
            <w:r>
              <w:rPr>
                <w:rFonts w:ascii="Arial" w:cs="Arial" w:eastAsia="Arial" w:hAnsi="Arial"/>
                <w:sz w:val="18"/>
                <w:szCs w:val="18"/>
                <w:b w:val="1"/>
                <w:bCs w:val="1"/>
                <w:color w:val="auto"/>
                <w:w w:val="99"/>
              </w:rPr>
              <w:t>Units at</w:t>
            </w:r>
          </w:p>
        </w:tc>
        <w:tc>
          <w:tcPr>
            <w:tcW w:w="24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Days Supply (selling day</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rPr>
              <w:t>Units at Previous</w:t>
            </w:r>
          </w:p>
        </w:tc>
        <w:tc>
          <w:tcPr>
            <w:tcW w:w="2180" w:type="dxa"/>
            <w:vAlign w:val="bottom"/>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9"/>
              </w:rPr>
              <w:t>Days Supply (selling day</w:t>
            </w:r>
          </w:p>
        </w:tc>
        <w:tc>
          <w:tcPr>
            <w:tcW w:w="0" w:type="dxa"/>
            <w:vAlign w:val="bottom"/>
          </w:tcPr>
          <w:p>
            <w:pPr>
              <w:spacing w:after="0"/>
              <w:rPr>
                <w:sz w:val="1"/>
                <w:szCs w:val="1"/>
                <w:color w:val="auto"/>
              </w:rPr>
            </w:pPr>
          </w:p>
        </w:tc>
      </w:tr>
      <w:tr>
        <w:trPr>
          <w:trHeight w:val="130"/>
        </w:trPr>
        <w:tc>
          <w:tcPr>
            <w:tcW w:w="2620" w:type="dxa"/>
            <w:vAlign w:val="bottom"/>
            <w:vMerge w:val="continue"/>
          </w:tcPr>
          <w:p>
            <w:pPr>
              <w:spacing w:after="0"/>
              <w:rPr>
                <w:sz w:val="11"/>
                <w:szCs w:val="11"/>
                <w:color w:val="auto"/>
              </w:rPr>
            </w:pPr>
          </w:p>
        </w:tc>
        <w:tc>
          <w:tcPr>
            <w:tcW w:w="1300" w:type="dxa"/>
            <w:vAlign w:val="bottom"/>
            <w:vMerge w:val="restart"/>
          </w:tcPr>
          <w:p>
            <w:pPr>
              <w:jc w:val="center"/>
              <w:ind w:right="214"/>
              <w:spacing w:after="0"/>
              <w:rPr>
                <w:sz w:val="20"/>
                <w:szCs w:val="20"/>
                <w:color w:val="auto"/>
              </w:rPr>
            </w:pPr>
            <w:r>
              <w:rPr>
                <w:rFonts w:ascii="Arial" w:cs="Arial" w:eastAsia="Arial" w:hAnsi="Arial"/>
                <w:sz w:val="18"/>
                <w:szCs w:val="18"/>
                <w:b w:val="1"/>
                <w:bCs w:val="1"/>
                <w:color w:val="auto"/>
                <w:w w:val="99"/>
              </w:rPr>
              <w:t>Month-end</w:t>
            </w:r>
          </w:p>
        </w:tc>
        <w:tc>
          <w:tcPr>
            <w:tcW w:w="660" w:type="dxa"/>
            <w:vAlign w:val="bottom"/>
          </w:tcPr>
          <w:p>
            <w:pPr>
              <w:spacing w:after="0"/>
              <w:rPr>
                <w:sz w:val="11"/>
                <w:szCs w:val="11"/>
                <w:color w:val="auto"/>
              </w:rPr>
            </w:pPr>
          </w:p>
        </w:tc>
        <w:tc>
          <w:tcPr>
            <w:tcW w:w="1760" w:type="dxa"/>
            <w:vAlign w:val="bottom"/>
            <w:gridSpan w:val="2"/>
            <w:vMerge w:val="restart"/>
          </w:tcPr>
          <w:p>
            <w:pPr>
              <w:jc w:val="center"/>
              <w:ind w:right="434"/>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440" w:type="dxa"/>
            <w:vAlign w:val="bottom"/>
            <w:vMerge w:val="restart"/>
          </w:tcPr>
          <w:p>
            <w:pPr>
              <w:jc w:val="center"/>
              <w:ind w:left="314"/>
              <w:spacing w:after="0"/>
              <w:rPr>
                <w:sz w:val="20"/>
                <w:szCs w:val="20"/>
                <w:color w:val="auto"/>
              </w:rPr>
            </w:pPr>
            <w:r>
              <w:rPr>
                <w:rFonts w:ascii="Arial" w:cs="Arial" w:eastAsia="Arial" w:hAnsi="Arial"/>
                <w:sz w:val="18"/>
                <w:szCs w:val="18"/>
                <w:b w:val="1"/>
                <w:bCs w:val="1"/>
                <w:color w:val="auto"/>
                <w:w w:val="99"/>
              </w:rPr>
              <w:t>Month-end</w:t>
            </w:r>
          </w:p>
        </w:tc>
        <w:tc>
          <w:tcPr>
            <w:tcW w:w="400" w:type="dxa"/>
            <w:vAlign w:val="bottom"/>
          </w:tcPr>
          <w:p>
            <w:pPr>
              <w:spacing w:after="0"/>
              <w:rPr>
                <w:sz w:val="11"/>
                <w:szCs w:val="11"/>
                <w:color w:val="auto"/>
              </w:rPr>
            </w:pPr>
          </w:p>
        </w:tc>
        <w:tc>
          <w:tcPr>
            <w:tcW w:w="2180" w:type="dxa"/>
            <w:vAlign w:val="bottom"/>
            <w:vMerge w:val="restart"/>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134"/>
        </w:trPr>
        <w:tc>
          <w:tcPr>
            <w:tcW w:w="2620" w:type="dxa"/>
            <w:vAlign w:val="bottom"/>
            <w:tcBorders>
              <w:bottom w:val="single" w:sz="8" w:color="BFBFBF"/>
            </w:tcBorders>
          </w:tcPr>
          <w:p>
            <w:pPr>
              <w:spacing w:after="0"/>
              <w:rPr>
                <w:sz w:val="11"/>
                <w:szCs w:val="11"/>
                <w:color w:val="auto"/>
              </w:rPr>
            </w:pPr>
          </w:p>
        </w:tc>
        <w:tc>
          <w:tcPr>
            <w:tcW w:w="1300" w:type="dxa"/>
            <w:vAlign w:val="bottom"/>
            <w:tcBorders>
              <w:bottom w:val="single" w:sz="8" w:color="BFBFBF"/>
            </w:tcBorders>
            <w:vMerge w:val="continue"/>
          </w:tcPr>
          <w:p>
            <w:pPr>
              <w:spacing w:after="0"/>
              <w:rPr>
                <w:sz w:val="11"/>
                <w:szCs w:val="11"/>
                <w:color w:val="auto"/>
              </w:rPr>
            </w:pPr>
          </w:p>
        </w:tc>
        <w:tc>
          <w:tcPr>
            <w:tcW w:w="660" w:type="dxa"/>
            <w:vAlign w:val="bottom"/>
            <w:tcBorders>
              <w:bottom w:val="single" w:sz="8" w:color="BFBFBF"/>
            </w:tcBorders>
          </w:tcPr>
          <w:p>
            <w:pPr>
              <w:spacing w:after="0"/>
              <w:rPr>
                <w:sz w:val="11"/>
                <w:szCs w:val="11"/>
                <w:color w:val="auto"/>
              </w:rPr>
            </w:pPr>
          </w:p>
        </w:tc>
        <w:tc>
          <w:tcPr>
            <w:tcW w:w="1760" w:type="dxa"/>
            <w:vAlign w:val="bottom"/>
            <w:tcBorders>
              <w:bottom w:val="single" w:sz="8" w:color="BFBFBF"/>
            </w:tcBorders>
            <w:gridSpan w:val="2"/>
            <w:vMerge w:val="continue"/>
          </w:tcPr>
          <w:p>
            <w:pPr>
              <w:spacing w:after="0"/>
              <w:rPr>
                <w:sz w:val="11"/>
                <w:szCs w:val="11"/>
                <w:color w:val="auto"/>
              </w:rPr>
            </w:pPr>
          </w:p>
        </w:tc>
        <w:tc>
          <w:tcPr>
            <w:tcW w:w="1440" w:type="dxa"/>
            <w:vAlign w:val="bottom"/>
            <w:tcBorders>
              <w:bottom w:val="single" w:sz="8" w:color="BFBFBF"/>
            </w:tcBorders>
            <w:vMerge w:val="continue"/>
          </w:tcPr>
          <w:p>
            <w:pPr>
              <w:spacing w:after="0"/>
              <w:rPr>
                <w:sz w:val="11"/>
                <w:szCs w:val="11"/>
                <w:color w:val="auto"/>
              </w:rPr>
            </w:pPr>
          </w:p>
        </w:tc>
        <w:tc>
          <w:tcPr>
            <w:tcW w:w="400" w:type="dxa"/>
            <w:vAlign w:val="bottom"/>
            <w:tcBorders>
              <w:bottom w:val="single" w:sz="8" w:color="BFBFBF"/>
            </w:tcBorders>
          </w:tcPr>
          <w:p>
            <w:pPr>
              <w:spacing w:after="0"/>
              <w:rPr>
                <w:sz w:val="11"/>
                <w:szCs w:val="11"/>
                <w:color w:val="auto"/>
              </w:rPr>
            </w:pPr>
          </w:p>
        </w:tc>
        <w:tc>
          <w:tcPr>
            <w:tcW w:w="2180" w:type="dxa"/>
            <w:vAlign w:val="bottom"/>
            <w:tcBorders>
              <w:bottom w:val="single" w:sz="8" w:color="BFBFB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620" w:type="dxa"/>
            <w:vAlign w:val="bottom"/>
          </w:tcPr>
          <w:p>
            <w:pPr>
              <w:jc w:val="center"/>
              <w:ind w:right="455"/>
              <w:spacing w:after="0"/>
              <w:rPr>
                <w:sz w:val="20"/>
                <w:szCs w:val="20"/>
                <w:color w:val="auto"/>
              </w:rPr>
            </w:pPr>
            <w:r>
              <w:rPr>
                <w:rFonts w:ascii="Times New Roman" w:cs="Times New Roman" w:eastAsia="Times New Roman" w:hAnsi="Times New Roman"/>
                <w:sz w:val="16"/>
                <w:szCs w:val="16"/>
                <w:color w:val="auto"/>
                <w:w w:val="99"/>
              </w:rPr>
              <w:t>All Vehicles</w:t>
            </w: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6"/>
                <w:szCs w:val="16"/>
                <w:color w:val="auto"/>
                <w:w w:val="99"/>
              </w:rPr>
              <w:t>638,517</w:t>
            </w:r>
          </w:p>
        </w:tc>
        <w:tc>
          <w:tcPr>
            <w:tcW w:w="660" w:type="dxa"/>
            <w:vAlign w:val="bottom"/>
          </w:tcPr>
          <w:p>
            <w:pPr>
              <w:spacing w:after="0"/>
              <w:rPr>
                <w:sz w:val="18"/>
                <w:szCs w:val="18"/>
                <w:color w:val="auto"/>
              </w:rPr>
            </w:pPr>
          </w:p>
        </w:tc>
        <w:tc>
          <w:tcPr>
            <w:tcW w:w="1760" w:type="dxa"/>
            <w:vAlign w:val="bottom"/>
            <w:gridSpan w:val="2"/>
          </w:tcPr>
          <w:p>
            <w:pPr>
              <w:jc w:val="center"/>
              <w:ind w:right="434"/>
              <w:spacing w:after="0"/>
              <w:rPr>
                <w:sz w:val="20"/>
                <w:szCs w:val="20"/>
                <w:color w:val="auto"/>
              </w:rPr>
            </w:pPr>
            <w:r>
              <w:rPr>
                <w:rFonts w:ascii="Times New Roman" w:cs="Times New Roman" w:eastAsia="Times New Roman" w:hAnsi="Times New Roman"/>
                <w:sz w:val="16"/>
                <w:szCs w:val="16"/>
                <w:color w:val="auto"/>
                <w:w w:val="99"/>
              </w:rPr>
              <w:t>68</w:t>
            </w:r>
          </w:p>
        </w:tc>
        <w:tc>
          <w:tcPr>
            <w:tcW w:w="1440" w:type="dxa"/>
            <w:vAlign w:val="bottom"/>
          </w:tcPr>
          <w:p>
            <w:pPr>
              <w:jc w:val="center"/>
              <w:ind w:left="314"/>
              <w:spacing w:after="0"/>
              <w:rPr>
                <w:sz w:val="20"/>
                <w:szCs w:val="20"/>
                <w:color w:val="auto"/>
              </w:rPr>
            </w:pPr>
            <w:r>
              <w:rPr>
                <w:rFonts w:ascii="Times New Roman" w:cs="Times New Roman" w:eastAsia="Times New Roman" w:hAnsi="Times New Roman"/>
                <w:sz w:val="16"/>
                <w:szCs w:val="16"/>
                <w:color w:val="auto"/>
                <w:w w:val="99"/>
              </w:rPr>
              <w:t>708,229</w:t>
            </w:r>
          </w:p>
        </w:tc>
        <w:tc>
          <w:tcPr>
            <w:tcW w:w="400" w:type="dxa"/>
            <w:vAlign w:val="bottom"/>
          </w:tcPr>
          <w:p>
            <w:pPr>
              <w:spacing w:after="0"/>
              <w:rPr>
                <w:sz w:val="18"/>
                <w:szCs w:val="18"/>
                <w:color w:val="auto"/>
              </w:rPr>
            </w:pPr>
          </w:p>
        </w:tc>
        <w:tc>
          <w:tcPr>
            <w:tcW w:w="2180" w:type="dxa"/>
            <w:vAlign w:val="bottom"/>
          </w:tcPr>
          <w:p>
            <w:pPr>
              <w:jc w:val="center"/>
              <w:ind w:left="15"/>
              <w:spacing w:after="0"/>
              <w:rPr>
                <w:sz w:val="20"/>
                <w:szCs w:val="20"/>
                <w:color w:val="auto"/>
              </w:rPr>
            </w:pPr>
            <w:r>
              <w:rPr>
                <w:rFonts w:ascii="Times New Roman" w:cs="Times New Roman" w:eastAsia="Times New Roman" w:hAnsi="Times New Roman"/>
                <w:sz w:val="16"/>
                <w:szCs w:val="16"/>
                <w:color w:val="auto"/>
                <w:w w:val="99"/>
              </w:rPr>
              <w:t>70</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FBFBF"/>
            </w:tcBorders>
          </w:tcPr>
          <w:p>
            <w:pPr>
              <w:spacing w:after="0"/>
              <w:rPr>
                <w:sz w:val="2"/>
                <w:szCs w:val="2"/>
                <w:color w:val="auto"/>
              </w:rPr>
            </w:pPr>
          </w:p>
        </w:tc>
        <w:tc>
          <w:tcPr>
            <w:tcW w:w="1300" w:type="dxa"/>
            <w:vAlign w:val="bottom"/>
            <w:tcBorders>
              <w:bottom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620" w:type="dxa"/>
            <w:vAlign w:val="bottom"/>
            <w:tcBorders>
              <w:bottom w:val="single" w:sz="8" w:color="BFBFBF"/>
            </w:tcBorders>
          </w:tcPr>
          <w:p>
            <w:pPr>
              <w:spacing w:after="0"/>
              <w:rPr>
                <w:sz w:val="2"/>
                <w:szCs w:val="2"/>
                <w:color w:val="auto"/>
              </w:rPr>
            </w:pPr>
          </w:p>
        </w:tc>
        <w:tc>
          <w:tcPr>
            <w:tcW w:w="1140" w:type="dxa"/>
            <w:vAlign w:val="bottom"/>
            <w:tcBorders>
              <w:bottom w:val="single" w:sz="8" w:color="BFBFBF"/>
            </w:tcBorders>
          </w:tcPr>
          <w:p>
            <w:pPr>
              <w:spacing w:after="0"/>
              <w:rPr>
                <w:sz w:val="2"/>
                <w:szCs w:val="2"/>
                <w:color w:val="auto"/>
              </w:rPr>
            </w:pPr>
          </w:p>
        </w:tc>
        <w:tc>
          <w:tcPr>
            <w:tcW w:w="144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21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jc w:val="center"/>
              <w:ind w:right="455"/>
              <w:spacing w:after="0"/>
              <w:rPr>
                <w:sz w:val="20"/>
                <w:szCs w:val="20"/>
                <w:color w:val="auto"/>
              </w:rPr>
            </w:pPr>
            <w:r>
              <w:rPr>
                <w:rFonts w:ascii="Times New Roman" w:cs="Times New Roman" w:eastAsia="Times New Roman" w:hAnsi="Times New Roman"/>
                <w:sz w:val="16"/>
                <w:szCs w:val="16"/>
                <w:color w:val="auto"/>
              </w:rPr>
              <w:t>Full-size Pickups (GMT-900)</w:t>
            </w: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6"/>
                <w:szCs w:val="16"/>
                <w:color w:val="auto"/>
                <w:w w:val="99"/>
              </w:rPr>
              <w:t>140,035</w:t>
            </w:r>
          </w:p>
        </w:tc>
        <w:tc>
          <w:tcPr>
            <w:tcW w:w="660" w:type="dxa"/>
            <w:vAlign w:val="bottom"/>
          </w:tcPr>
          <w:p>
            <w:pPr>
              <w:spacing w:after="0"/>
              <w:rPr>
                <w:sz w:val="18"/>
                <w:szCs w:val="18"/>
                <w:color w:val="auto"/>
              </w:rPr>
            </w:pPr>
          </w:p>
        </w:tc>
        <w:tc>
          <w:tcPr>
            <w:tcW w:w="1760" w:type="dxa"/>
            <w:vAlign w:val="bottom"/>
            <w:gridSpan w:val="2"/>
          </w:tcPr>
          <w:p>
            <w:pPr>
              <w:jc w:val="center"/>
              <w:ind w:right="434"/>
              <w:spacing w:after="0"/>
              <w:rPr>
                <w:sz w:val="20"/>
                <w:szCs w:val="20"/>
                <w:color w:val="auto"/>
              </w:rPr>
            </w:pPr>
            <w:r>
              <w:rPr>
                <w:rFonts w:ascii="Times New Roman" w:cs="Times New Roman" w:eastAsia="Times New Roman" w:hAnsi="Times New Roman"/>
                <w:sz w:val="16"/>
                <w:szCs w:val="16"/>
                <w:color w:val="auto"/>
                <w:w w:val="99"/>
              </w:rPr>
              <w:t>68</w:t>
            </w:r>
          </w:p>
        </w:tc>
        <w:tc>
          <w:tcPr>
            <w:tcW w:w="1440" w:type="dxa"/>
            <w:vAlign w:val="bottom"/>
          </w:tcPr>
          <w:p>
            <w:pPr>
              <w:jc w:val="center"/>
              <w:ind w:left="314"/>
              <w:spacing w:after="0"/>
              <w:rPr>
                <w:sz w:val="20"/>
                <w:szCs w:val="20"/>
                <w:color w:val="auto"/>
              </w:rPr>
            </w:pPr>
            <w:r>
              <w:rPr>
                <w:rFonts w:ascii="Times New Roman" w:cs="Times New Roman" w:eastAsia="Times New Roman" w:hAnsi="Times New Roman"/>
                <w:sz w:val="16"/>
                <w:szCs w:val="16"/>
                <w:color w:val="auto"/>
                <w:w w:val="99"/>
              </w:rPr>
              <w:t>181,222</w:t>
            </w:r>
          </w:p>
        </w:tc>
        <w:tc>
          <w:tcPr>
            <w:tcW w:w="400" w:type="dxa"/>
            <w:vAlign w:val="bottom"/>
          </w:tcPr>
          <w:p>
            <w:pPr>
              <w:spacing w:after="0"/>
              <w:rPr>
                <w:sz w:val="18"/>
                <w:szCs w:val="18"/>
                <w:color w:val="auto"/>
              </w:rPr>
            </w:pPr>
          </w:p>
        </w:tc>
        <w:tc>
          <w:tcPr>
            <w:tcW w:w="2180" w:type="dxa"/>
            <w:vAlign w:val="bottom"/>
          </w:tcPr>
          <w:p>
            <w:pPr>
              <w:jc w:val="center"/>
              <w:ind w:left="15"/>
              <w:spacing w:after="0"/>
              <w:rPr>
                <w:sz w:val="20"/>
                <w:szCs w:val="20"/>
                <w:color w:val="auto"/>
              </w:rPr>
            </w:pPr>
            <w:r>
              <w:rPr>
                <w:rFonts w:ascii="Times New Roman" w:cs="Times New Roman" w:eastAsia="Times New Roman" w:hAnsi="Times New Roman"/>
                <w:sz w:val="16"/>
                <w:szCs w:val="16"/>
                <w:color w:val="auto"/>
                <w:w w:val="99"/>
              </w:rPr>
              <w:t>86</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FBFBF"/>
            </w:tcBorders>
          </w:tcPr>
          <w:p>
            <w:pPr>
              <w:spacing w:after="0"/>
              <w:rPr>
                <w:sz w:val="2"/>
                <w:szCs w:val="2"/>
                <w:color w:val="auto"/>
              </w:rPr>
            </w:pPr>
          </w:p>
        </w:tc>
        <w:tc>
          <w:tcPr>
            <w:tcW w:w="1960" w:type="dxa"/>
            <w:vAlign w:val="bottom"/>
            <w:tcBorders>
              <w:bottom w:val="single" w:sz="8" w:color="BFBFBF"/>
            </w:tcBorders>
            <w:gridSpan w:val="2"/>
          </w:tcPr>
          <w:p>
            <w:pPr>
              <w:spacing w:after="0"/>
              <w:rPr>
                <w:sz w:val="2"/>
                <w:szCs w:val="2"/>
                <w:color w:val="auto"/>
              </w:rPr>
            </w:pPr>
          </w:p>
        </w:tc>
        <w:tc>
          <w:tcPr>
            <w:tcW w:w="620" w:type="dxa"/>
            <w:vAlign w:val="bottom"/>
            <w:tcBorders>
              <w:bottom w:val="single" w:sz="8" w:color="BFBFBF"/>
            </w:tcBorders>
          </w:tcPr>
          <w:p>
            <w:pPr>
              <w:spacing w:after="0"/>
              <w:rPr>
                <w:sz w:val="2"/>
                <w:szCs w:val="2"/>
                <w:color w:val="auto"/>
              </w:rPr>
            </w:pPr>
          </w:p>
        </w:tc>
        <w:tc>
          <w:tcPr>
            <w:tcW w:w="2580" w:type="dxa"/>
            <w:vAlign w:val="bottom"/>
            <w:tcBorders>
              <w:bottom w:val="single" w:sz="8" w:color="BFBFBF"/>
            </w:tcBorders>
            <w:gridSpan w:val="2"/>
          </w:tcPr>
          <w:p>
            <w:pPr>
              <w:spacing w:after="0"/>
              <w:rPr>
                <w:sz w:val="2"/>
                <w:szCs w:val="2"/>
                <w:color w:val="auto"/>
              </w:rPr>
            </w:pPr>
          </w:p>
        </w:tc>
        <w:tc>
          <w:tcPr>
            <w:tcW w:w="2580" w:type="dxa"/>
            <w:vAlign w:val="bottom"/>
            <w:tcBorders>
              <w:bottom w:val="single" w:sz="8" w:color="BFBFB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620" w:type="dxa"/>
            <w:vAlign w:val="bottom"/>
            <w:tcBorders>
              <w:bottom w:val="single" w:sz="8" w:color="BFBFBF"/>
            </w:tcBorders>
          </w:tcPr>
          <w:p>
            <w:pPr>
              <w:spacing w:after="0"/>
              <w:rPr>
                <w:sz w:val="24"/>
                <w:szCs w:val="24"/>
                <w:color w:val="auto"/>
              </w:rPr>
            </w:pPr>
          </w:p>
        </w:tc>
        <w:tc>
          <w:tcPr>
            <w:tcW w:w="1960" w:type="dxa"/>
            <w:vAlign w:val="bottom"/>
            <w:tcBorders>
              <w:bottom w:val="single" w:sz="8" w:color="BFBFBF"/>
            </w:tcBorders>
            <w:gridSpan w:val="2"/>
          </w:tcPr>
          <w:p>
            <w:pPr>
              <w:spacing w:after="0"/>
              <w:rPr>
                <w:sz w:val="24"/>
                <w:szCs w:val="24"/>
                <w:color w:val="auto"/>
              </w:rPr>
            </w:pPr>
          </w:p>
        </w:tc>
        <w:tc>
          <w:tcPr>
            <w:tcW w:w="620" w:type="dxa"/>
            <w:vAlign w:val="bottom"/>
            <w:tcBorders>
              <w:bottom w:val="single" w:sz="8" w:color="BFBFBF"/>
            </w:tcBorders>
          </w:tcPr>
          <w:p>
            <w:pPr>
              <w:spacing w:after="0"/>
              <w:rPr>
                <w:sz w:val="24"/>
                <w:szCs w:val="24"/>
                <w:color w:val="auto"/>
              </w:rPr>
            </w:pPr>
          </w:p>
        </w:tc>
        <w:tc>
          <w:tcPr>
            <w:tcW w:w="2580" w:type="dxa"/>
            <w:vAlign w:val="bottom"/>
            <w:tcBorders>
              <w:bottom w:val="single" w:sz="8" w:color="BFBFBF"/>
            </w:tcBorders>
            <w:gridSpan w:val="2"/>
          </w:tcPr>
          <w:p>
            <w:pPr>
              <w:spacing w:after="0"/>
              <w:rPr>
                <w:sz w:val="24"/>
                <w:szCs w:val="24"/>
                <w:color w:val="auto"/>
              </w:rPr>
            </w:pPr>
          </w:p>
        </w:tc>
        <w:tc>
          <w:tcPr>
            <w:tcW w:w="2580" w:type="dxa"/>
            <w:vAlign w:val="bottom"/>
            <w:tcBorders>
              <w:bottom w:val="single" w:sz="8" w:color="BFBFB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tcBorders>
              <w:left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Industry Sales</w:t>
            </w:r>
          </w:p>
        </w:tc>
        <w:tc>
          <w:tcPr>
            <w:tcW w:w="196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b w:val="1"/>
                <w:bCs w:val="1"/>
                <w:color w:val="auto"/>
                <w:w w:val="99"/>
              </w:rPr>
              <w:t>Month (est.)</w:t>
            </w:r>
          </w:p>
        </w:tc>
        <w:tc>
          <w:tcPr>
            <w:tcW w:w="620" w:type="dxa"/>
            <w:vAlign w:val="bottom"/>
            <w:tcBorders>
              <w:right w:val="single" w:sz="8" w:color="BFBFBF"/>
            </w:tcBorders>
          </w:tcPr>
          <w:p>
            <w:pPr>
              <w:spacing w:after="0"/>
              <w:rPr>
                <w:sz w:val="20"/>
                <w:szCs w:val="20"/>
                <w:color w:val="auto"/>
              </w:rPr>
            </w:pPr>
          </w:p>
        </w:tc>
        <w:tc>
          <w:tcPr>
            <w:tcW w:w="2580" w:type="dxa"/>
            <w:vAlign w:val="bottom"/>
            <w:tcBorders>
              <w:right w:val="single" w:sz="8" w:color="BFBFB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CYTD (est.)</w:t>
            </w:r>
          </w:p>
        </w:tc>
        <w:tc>
          <w:tcPr>
            <w:tcW w:w="2580" w:type="dxa"/>
            <w:vAlign w:val="bottom"/>
            <w:tcBorders>
              <w:right w:val="single" w:sz="8" w:color="BFBFB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GM Full-year Outlook</w:t>
            </w:r>
          </w:p>
        </w:tc>
        <w:tc>
          <w:tcPr>
            <w:tcW w:w="0" w:type="dxa"/>
            <w:vAlign w:val="bottom"/>
          </w:tcPr>
          <w:p>
            <w:pPr>
              <w:spacing w:after="0"/>
              <w:rPr>
                <w:sz w:val="1"/>
                <w:szCs w:val="1"/>
                <w:color w:val="auto"/>
              </w:rPr>
            </w:pPr>
          </w:p>
        </w:tc>
      </w:tr>
      <w:tr>
        <w:trPr>
          <w:trHeight w:val="27"/>
        </w:trPr>
        <w:tc>
          <w:tcPr>
            <w:tcW w:w="2620" w:type="dxa"/>
            <w:vAlign w:val="bottom"/>
            <w:tcBorders>
              <w:left w:val="single" w:sz="8" w:color="BFBFBF"/>
              <w:bottom w:val="single" w:sz="8" w:color="BFBFBF"/>
              <w:right w:val="single" w:sz="8" w:color="BFBFBF"/>
            </w:tcBorders>
          </w:tcPr>
          <w:p>
            <w:pPr>
              <w:spacing w:after="0"/>
              <w:rPr>
                <w:sz w:val="2"/>
                <w:szCs w:val="2"/>
                <w:color w:val="auto"/>
              </w:rPr>
            </w:pPr>
          </w:p>
        </w:tc>
        <w:tc>
          <w:tcPr>
            <w:tcW w:w="1960" w:type="dxa"/>
            <w:vAlign w:val="bottom"/>
            <w:tcBorders>
              <w:bottom w:val="single" w:sz="8" w:color="BFBFBF"/>
            </w:tcBorders>
            <w:gridSpan w:val="2"/>
          </w:tcPr>
          <w:p>
            <w:pPr>
              <w:spacing w:after="0"/>
              <w:rPr>
                <w:sz w:val="2"/>
                <w:szCs w:val="2"/>
                <w:color w:val="auto"/>
              </w:rPr>
            </w:pPr>
          </w:p>
        </w:tc>
        <w:tc>
          <w:tcPr>
            <w:tcW w:w="620" w:type="dxa"/>
            <w:vAlign w:val="bottom"/>
            <w:tcBorders>
              <w:bottom w:val="single" w:sz="8" w:color="BFBFBF"/>
              <w:right w:val="single" w:sz="8" w:color="BFBFBF"/>
            </w:tcBorders>
          </w:tcPr>
          <w:p>
            <w:pPr>
              <w:spacing w:after="0"/>
              <w:rPr>
                <w:sz w:val="2"/>
                <w:szCs w:val="2"/>
                <w:color w:val="auto"/>
              </w:rPr>
            </w:pPr>
          </w:p>
        </w:tc>
        <w:tc>
          <w:tcPr>
            <w:tcW w:w="2580" w:type="dxa"/>
            <w:vAlign w:val="bottom"/>
            <w:tcBorders>
              <w:bottom w:val="single" w:sz="8" w:color="BFBFBF"/>
              <w:right w:val="single" w:sz="8" w:color="BFBFBF"/>
            </w:tcBorders>
            <w:gridSpan w:val="2"/>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2180" w:type="dxa"/>
            <w:vAlign w:val="bottom"/>
            <w:tcBorders>
              <w:bottom w:val="single" w:sz="8" w:color="BFBFBF"/>
              <w:right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Borders>
              <w:left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Light Vehicle SAAR</w:t>
            </w:r>
          </w:p>
        </w:tc>
        <w:tc>
          <w:tcPr>
            <w:tcW w:w="1960" w:type="dxa"/>
            <w:vAlign w:val="bottom"/>
            <w:gridSpan w:val="2"/>
          </w:tcPr>
          <w:p>
            <w:pPr>
              <w:jc w:val="center"/>
              <w:ind w:left="514"/>
              <w:spacing w:after="0"/>
              <w:rPr>
                <w:sz w:val="20"/>
                <w:szCs w:val="20"/>
                <w:color w:val="auto"/>
              </w:rPr>
            </w:pPr>
            <w:r>
              <w:rPr>
                <w:rFonts w:ascii="Times New Roman" w:cs="Times New Roman" w:eastAsia="Times New Roman" w:hAnsi="Times New Roman"/>
                <w:sz w:val="16"/>
                <w:szCs w:val="16"/>
                <w:color w:val="auto"/>
              </w:rPr>
              <w:t>15.7 million range</w:t>
            </w:r>
          </w:p>
        </w:tc>
        <w:tc>
          <w:tcPr>
            <w:tcW w:w="620" w:type="dxa"/>
            <w:vAlign w:val="bottom"/>
            <w:tcBorders>
              <w:right w:val="single" w:sz="8" w:color="BFBFBF"/>
            </w:tcBorders>
          </w:tcPr>
          <w:p>
            <w:pPr>
              <w:spacing w:after="0"/>
              <w:rPr>
                <w:sz w:val="18"/>
                <w:szCs w:val="18"/>
                <w:color w:val="auto"/>
              </w:rPr>
            </w:pPr>
          </w:p>
        </w:tc>
        <w:tc>
          <w:tcPr>
            <w:tcW w:w="2580" w:type="dxa"/>
            <w:vAlign w:val="bottom"/>
            <w:tcBorders>
              <w:right w:val="single" w:sz="8" w:color="BFBFBF"/>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15.4 million range</w:t>
            </w:r>
          </w:p>
        </w:tc>
        <w:tc>
          <w:tcPr>
            <w:tcW w:w="400" w:type="dxa"/>
            <w:vAlign w:val="bottom"/>
          </w:tcPr>
          <w:p>
            <w:pPr>
              <w:spacing w:after="0"/>
              <w:rPr>
                <w:sz w:val="18"/>
                <w:szCs w:val="18"/>
                <w:color w:val="auto"/>
              </w:rPr>
            </w:pPr>
          </w:p>
        </w:tc>
        <w:tc>
          <w:tcPr>
            <w:tcW w:w="2180" w:type="dxa"/>
            <w:vAlign w:val="bottom"/>
            <w:tcBorders>
              <w:right w:val="single" w:sz="8" w:color="BFBFBF"/>
            </w:tcBorders>
          </w:tcPr>
          <w:p>
            <w:pPr>
              <w:ind w:left="280"/>
              <w:spacing w:after="0"/>
              <w:rPr>
                <w:sz w:val="20"/>
                <w:szCs w:val="20"/>
                <w:color w:val="auto"/>
              </w:rPr>
            </w:pPr>
            <w:r>
              <w:rPr>
                <w:rFonts w:ascii="Times New Roman" w:cs="Times New Roman" w:eastAsia="Times New Roman" w:hAnsi="Times New Roman"/>
                <w:sz w:val="16"/>
                <w:szCs w:val="16"/>
                <w:color w:val="auto"/>
              </w:rPr>
              <w:t>15.0 - 15.5 million</w:t>
            </w:r>
          </w:p>
        </w:tc>
        <w:tc>
          <w:tcPr>
            <w:tcW w:w="0" w:type="dxa"/>
            <w:vAlign w:val="bottom"/>
          </w:tcPr>
          <w:p>
            <w:pPr>
              <w:spacing w:after="0"/>
              <w:rPr>
                <w:sz w:val="1"/>
                <w:szCs w:val="1"/>
                <w:color w:val="auto"/>
              </w:rPr>
            </w:pPr>
          </w:p>
        </w:tc>
      </w:tr>
      <w:tr>
        <w:trPr>
          <w:trHeight w:val="33"/>
        </w:trPr>
        <w:tc>
          <w:tcPr>
            <w:tcW w:w="2620" w:type="dxa"/>
            <w:vAlign w:val="bottom"/>
            <w:tcBorders>
              <w:left w:val="single" w:sz="8" w:color="BFBFBF"/>
              <w:bottom w:val="single" w:sz="8" w:color="BFBFBF"/>
              <w:right w:val="single" w:sz="8" w:color="BFBFBF"/>
            </w:tcBorders>
          </w:tcPr>
          <w:p>
            <w:pPr>
              <w:spacing w:after="0"/>
              <w:rPr>
                <w:sz w:val="2"/>
                <w:szCs w:val="2"/>
                <w:color w:val="auto"/>
              </w:rPr>
            </w:pPr>
          </w:p>
        </w:tc>
        <w:tc>
          <w:tcPr>
            <w:tcW w:w="1300" w:type="dxa"/>
            <w:vAlign w:val="bottom"/>
            <w:tcBorders>
              <w:bottom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620" w:type="dxa"/>
            <w:vAlign w:val="bottom"/>
            <w:tcBorders>
              <w:bottom w:val="single" w:sz="8" w:color="BFBFBF"/>
              <w:right w:val="single" w:sz="8" w:color="BFBFBF"/>
            </w:tcBorders>
          </w:tcPr>
          <w:p>
            <w:pPr>
              <w:spacing w:after="0"/>
              <w:rPr>
                <w:sz w:val="2"/>
                <w:szCs w:val="2"/>
                <w:color w:val="auto"/>
              </w:rPr>
            </w:pPr>
          </w:p>
        </w:tc>
        <w:tc>
          <w:tcPr>
            <w:tcW w:w="1140" w:type="dxa"/>
            <w:vAlign w:val="bottom"/>
            <w:tcBorders>
              <w:bottom w:val="single" w:sz="8" w:color="BFBFBF"/>
            </w:tcBorders>
          </w:tcPr>
          <w:p>
            <w:pPr>
              <w:spacing w:after="0"/>
              <w:rPr>
                <w:sz w:val="2"/>
                <w:szCs w:val="2"/>
                <w:color w:val="auto"/>
              </w:rPr>
            </w:pPr>
          </w:p>
        </w:tc>
        <w:tc>
          <w:tcPr>
            <w:tcW w:w="1440" w:type="dxa"/>
            <w:vAlign w:val="bottom"/>
            <w:tcBorders>
              <w:bottom w:val="single" w:sz="8" w:color="BFBFBF"/>
              <w:right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2180" w:type="dxa"/>
            <w:vAlign w:val="bottom"/>
            <w:tcBorders>
              <w:bottom w:val="single" w:sz="8" w:color="BFBFBF"/>
              <w:right w:val="single" w:sz="8" w:color="BFBFB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 #</w:t>
      </w:r>
    </w:p>
    <w:p>
      <w:pPr>
        <w:sectPr>
          <w:pgSz w:w="11900" w:h="16838" w:orient="portrait"/>
          <w:cols w:equalWidth="0" w:num="1">
            <w:col w:w="11360"/>
          </w:cols>
          <w:pgMar w:left="240" w:top="583"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66"/>
        </w:trPr>
        <w:tc>
          <w:tcPr>
            <w:tcW w:w="2480" w:type="dxa"/>
            <w:vAlign w:val="bottom"/>
            <w:tcBorders>
              <w:top w:val="single" w:sz="8" w:color="auto"/>
              <w:left w:val="single" w:sz="8" w:color="auto"/>
              <w:right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rPr>
              <w:t>July</w:t>
            </w:r>
          </w:p>
        </w:tc>
        <w:tc>
          <w:tcPr>
            <w:tcW w:w="1100" w:type="dxa"/>
            <w:vAlign w:val="bottom"/>
            <w:tcBorders>
              <w:top w:val="single" w:sz="8" w:color="auto"/>
              <w:right w:val="single" w:sz="8" w:color="auto"/>
            </w:tcBorders>
          </w:tcPr>
          <w:p>
            <w:pPr>
              <w:spacing w:after="0"/>
              <w:rPr>
                <w:sz w:val="14"/>
                <w:szCs w:val="14"/>
                <w:color w:val="auto"/>
              </w:rPr>
            </w:pPr>
          </w:p>
        </w:tc>
        <w:tc>
          <w:tcPr>
            <w:tcW w:w="250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(Calendar Year-to-Date)</w:t>
            </w:r>
          </w:p>
        </w:tc>
        <w:tc>
          <w:tcPr>
            <w:tcW w:w="9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80" w:type="dxa"/>
            <w:vAlign w:val="bottom"/>
            <w:tcBorders>
              <w:left w:val="single" w:sz="8" w:color="auto"/>
              <w:right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January - July</w:t>
            </w:r>
          </w:p>
        </w:tc>
        <w:tc>
          <w:tcPr>
            <w:tcW w:w="9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480" w:type="dxa"/>
            <w:vAlign w:val="bottom"/>
            <w:tcBorders>
              <w:left w:val="single" w:sz="8" w:color="auto"/>
              <w:right w:val="single" w:sz="8" w:color="auto"/>
            </w:tcBorders>
          </w:tcPr>
          <w:p>
            <w:pPr>
              <w:spacing w:after="0"/>
              <w:rPr>
                <w:sz w:val="13"/>
                <w:szCs w:val="13"/>
                <w:color w:val="auto"/>
              </w:rPr>
            </w:pPr>
          </w:p>
        </w:tc>
        <w:tc>
          <w:tcPr>
            <w:tcW w:w="13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2013</w:t>
            </w:r>
          </w:p>
        </w:tc>
        <w:tc>
          <w:tcPr>
            <w:tcW w:w="11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2012</w:t>
            </w:r>
          </w:p>
        </w:tc>
        <w:tc>
          <w:tcPr>
            <w:tcW w:w="1100" w:type="dxa"/>
            <w:vAlign w:val="bottom"/>
            <w:tcBorders>
              <w:right w:val="single" w:sz="8" w:color="auto"/>
            </w:tcBorders>
          </w:tcPr>
          <w:p>
            <w:pPr>
              <w:jc w:val="right"/>
              <w:ind w:right="188"/>
              <w:spacing w:after="0" w:line="151" w:lineRule="exact"/>
              <w:rPr>
                <w:sz w:val="20"/>
                <w:szCs w:val="20"/>
                <w:color w:val="auto"/>
              </w:rPr>
            </w:pPr>
            <w:r>
              <w:rPr>
                <w:rFonts w:ascii="Times New Roman" w:cs="Times New Roman" w:eastAsia="Times New Roman" w:hAnsi="Times New Roman"/>
                <w:sz w:val="14"/>
                <w:szCs w:val="14"/>
                <w:color w:val="auto"/>
              </w:rPr>
              <w:t>%Change</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2013</w:t>
            </w:r>
          </w:p>
        </w:tc>
        <w:tc>
          <w:tcPr>
            <w:tcW w:w="13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2012</w:t>
            </w:r>
          </w:p>
        </w:tc>
        <w:tc>
          <w:tcPr>
            <w:tcW w:w="940" w:type="dxa"/>
            <w:vAlign w:val="bottom"/>
            <w:tcBorders>
              <w:right w:val="single" w:sz="8" w:color="auto"/>
            </w:tcBorders>
          </w:tcPr>
          <w:p>
            <w:pPr>
              <w:jc w:val="right"/>
              <w:ind w:right="148"/>
              <w:spacing w:after="0" w:line="151"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2480" w:type="dxa"/>
            <w:vAlign w:val="bottom"/>
            <w:tcBorders>
              <w:left w:val="single" w:sz="8" w:color="auto"/>
              <w:bottom w:val="single" w:sz="8" w:color="auto"/>
              <w:right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Volume</w:t>
            </w:r>
          </w:p>
        </w:tc>
        <w:tc>
          <w:tcPr>
            <w:tcW w:w="11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Volume</w:t>
            </w:r>
          </w:p>
        </w:tc>
        <w:tc>
          <w:tcPr>
            <w:tcW w:w="0" w:type="dxa"/>
            <w:vAlign w:val="bottom"/>
          </w:tcPr>
          <w:p>
            <w:pPr>
              <w:spacing w:after="0"/>
              <w:rPr>
                <w:sz w:val="1"/>
                <w:szCs w:val="1"/>
                <w:color w:val="auto"/>
              </w:rPr>
            </w:pPr>
          </w:p>
        </w:tc>
      </w:tr>
      <w:tr>
        <w:trPr>
          <w:trHeight w:val="259"/>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Enclave</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4,963</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4,360</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13.8</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36,804</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32,226</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Encore</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3,176</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15,428</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LaCrosse</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3,446</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4,001</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(13.9)</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27,928</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34,893</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Lucerne</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954</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Regal</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1,187</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1,784</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(33.5)</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10,007</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16,612</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275"/>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Verano</w:t>
            </w: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3,621</w:t>
            </w: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4,235</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(14.5)</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27,054</w:t>
            </w:r>
          </w:p>
        </w:tc>
        <w:tc>
          <w:tcPr>
            <w:tcW w:w="13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19,904</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Buick Total</w:t>
            </w: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16,393</w:t>
            </w: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14,391</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13.9</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117,230</w:t>
            </w:r>
          </w:p>
        </w:tc>
        <w:tc>
          <w:tcPr>
            <w:tcW w:w="13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104,589</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12.1</w:t>
            </w:r>
          </w:p>
        </w:tc>
        <w:tc>
          <w:tcPr>
            <w:tcW w:w="0" w:type="dxa"/>
            <w:vAlign w:val="bottom"/>
          </w:tcPr>
          <w:p>
            <w:pPr>
              <w:spacing w:after="0"/>
              <w:rPr>
                <w:sz w:val="1"/>
                <w:szCs w:val="1"/>
                <w:color w:val="auto"/>
              </w:rPr>
            </w:pPr>
          </w:p>
        </w:tc>
      </w:tr>
      <w:tr>
        <w:trPr>
          <w:trHeight w:val="259"/>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ATS</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2,905</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22,088</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CTS</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2,889</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4,743</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(39.1)</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18,022</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30,226</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DTS</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449</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Escalade</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1,105</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1,123</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(1.6)</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6,782</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7,117</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Escalade ESV</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688</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711</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(3.2)</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4,515</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4,458</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Escalade EXT</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182</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163</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11.7</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1,341</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977</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SRX</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4,943</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4,911</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0.7</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28,933</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30,361</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STS</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149</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75"/>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XTS</w:t>
            </w: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2,940</w:t>
            </w: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1,739</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69.1</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17,624</w:t>
            </w:r>
          </w:p>
        </w:tc>
        <w:tc>
          <w:tcPr>
            <w:tcW w:w="13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2,492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607.2</w:t>
            </w:r>
          </w:p>
        </w:tc>
        <w:tc>
          <w:tcPr>
            <w:tcW w:w="0" w:type="dxa"/>
            <w:vAlign w:val="bottom"/>
          </w:tcPr>
          <w:p>
            <w:pPr>
              <w:spacing w:after="0"/>
              <w:rPr>
                <w:sz w:val="1"/>
                <w:szCs w:val="1"/>
                <w:color w:val="auto"/>
              </w:rPr>
            </w:pP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Cadillac Total</w:t>
            </w: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15,652</w:t>
            </w: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13,417</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16.7</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99,331</w:t>
            </w:r>
          </w:p>
        </w:tc>
        <w:tc>
          <w:tcPr>
            <w:tcW w:w="13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76,229</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30.3</w:t>
            </w:r>
          </w:p>
        </w:tc>
        <w:tc>
          <w:tcPr>
            <w:tcW w:w="0" w:type="dxa"/>
            <w:vAlign w:val="bottom"/>
          </w:tcPr>
          <w:p>
            <w:pPr>
              <w:spacing w:after="0"/>
              <w:rPr>
                <w:sz w:val="1"/>
                <w:szCs w:val="1"/>
                <w:color w:val="auto"/>
              </w:rPr>
            </w:pPr>
          </w:p>
        </w:tc>
      </w:tr>
      <w:tr>
        <w:trPr>
          <w:trHeight w:val="259"/>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Avalanche</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1,496</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1,823</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(17.9)</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13,374</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12,825</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Aveo</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58</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Camaro</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7,969</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6,926</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15.1</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50,281</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56,623</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Caprice</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182</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500</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(63.6)</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1,734</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1,680</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Captiva Sport</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2,548</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3,914</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(34.9)</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27,310</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21,835</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Cobalt</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11</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Colorado</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207</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4,096</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(94.9)</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3,241</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25,553</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Corvette</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671</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987</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(32.0)</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6,344</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8,009</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Cruze</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25,447</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14,954</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70.2</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159,136</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128,838</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Equinox</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18,507</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19,906</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144,904</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130,796</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Express</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5,569</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9,327</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(40.3)</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46,171</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47,144</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HHR</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Impala</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12,915</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9,359</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38.0</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96,297</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107,854</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Malibu</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12,473</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12,345</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1.0</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123,573</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153,782</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Silverado-C/K Pickup</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42,080</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28,972</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45.2</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284,666</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223,480</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Sonic</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6,055</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6,278</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(3.6)</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50,960</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48,518</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Spark</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3,847</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1,460</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163.5</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21,435</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1,460</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1,368.2</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Suburban (Chevy)</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6,181</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4,445</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39.1</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27,844</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27,513</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Tahoe</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7,119</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6,053</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17.6</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47,976</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39,327</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Traverse</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7,616</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5,746</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32.5</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60,910</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54,612</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75"/>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Volt</w:t>
            </w: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1,788</w:t>
            </w: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1,849</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(3.3)</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11,643</w:t>
            </w:r>
          </w:p>
        </w:tc>
        <w:tc>
          <w:tcPr>
            <w:tcW w:w="13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10,666</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Chevrolet Total</w:t>
            </w: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162,670</w:t>
            </w: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138,942</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17.1</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1,177,804</w:t>
            </w:r>
          </w:p>
        </w:tc>
        <w:tc>
          <w:tcPr>
            <w:tcW w:w="13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1,100,604</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7.0</w:t>
            </w:r>
          </w:p>
        </w:tc>
        <w:tc>
          <w:tcPr>
            <w:tcW w:w="0" w:type="dxa"/>
            <w:vAlign w:val="bottom"/>
          </w:tcPr>
          <w:p>
            <w:pPr>
              <w:spacing w:after="0"/>
              <w:rPr>
                <w:sz w:val="1"/>
                <w:szCs w:val="1"/>
                <w:color w:val="auto"/>
              </w:rPr>
            </w:pPr>
          </w:p>
        </w:tc>
      </w:tr>
      <w:tr>
        <w:trPr>
          <w:trHeight w:val="259"/>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Acadia</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7,564</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7,390</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2.4</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54,056</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49,550</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Canyon</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22</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720</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(96.9)</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898</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6,361</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Savana</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1,400</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2,653</w:t>
            </w:r>
          </w:p>
        </w:tc>
        <w:tc>
          <w:tcPr>
            <w:tcW w:w="11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(47.2)</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9,610</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14,709</w:t>
            </w:r>
          </w:p>
        </w:tc>
        <w:tc>
          <w:tcPr>
            <w:tcW w:w="94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Sierra</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16,582</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11,105</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49.3</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104,215</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84,050</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Terrain</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7,855</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7,595</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3.4</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58,531</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54,197</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Yukon</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2,790</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2,205</w:t>
            </w:r>
          </w:p>
        </w:tc>
        <w:tc>
          <w:tcPr>
            <w:tcW w:w="110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26.5</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14,895</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14,867</w:t>
            </w:r>
          </w:p>
        </w:tc>
        <w:tc>
          <w:tcPr>
            <w:tcW w:w="94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75"/>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Yukon XL</w:t>
            </w: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3,143</w:t>
            </w: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2,819</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11.5</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17,847</w:t>
            </w:r>
          </w:p>
        </w:tc>
        <w:tc>
          <w:tcPr>
            <w:tcW w:w="13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11,794</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GMC Total</w:t>
            </w: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39,356</w:t>
            </w: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34,487</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14.1</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260,052</w:t>
            </w:r>
          </w:p>
        </w:tc>
        <w:tc>
          <w:tcPr>
            <w:tcW w:w="13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235,528</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10.4</w:t>
            </w:r>
          </w:p>
        </w:tc>
        <w:tc>
          <w:tcPr>
            <w:tcW w:w="0" w:type="dxa"/>
            <w:vAlign w:val="bottom"/>
          </w:tcPr>
          <w:p>
            <w:pPr>
              <w:spacing w:after="0"/>
              <w:rPr>
                <w:sz w:val="1"/>
                <w:szCs w:val="1"/>
                <w:color w:val="auto"/>
              </w:rPr>
            </w:pP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GM Vehicle Total</w:t>
            </w: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234,071</w:t>
            </w: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201,237</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16.3</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1,654,417</w:t>
            </w:r>
          </w:p>
        </w:tc>
        <w:tc>
          <w:tcPr>
            <w:tcW w:w="13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1,516,950</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9.1</w:t>
            </w: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1">
            <w:col w:w="9440"/>
          </w:cols>
          <w:pgMar w:left="1240" w:top="714" w:right="12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25 selling days for the July period this year and 24 for last year.</w:t>
      </w:r>
    </w:p>
    <w:sectPr>
      <w:pgSz w:w="11900" w:h="16838" w:orient="portrait"/>
      <w:cols w:equalWidth="0" w:num="1">
        <w:col w:w="9440"/>
      </w:cols>
      <w:pgMar w:left="1240" w:top="714"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2019-12-07T20:31:02Z</dcterms:created>
  <dcterms:modified xsi:type="dcterms:W3CDTF">2019-12-07T20:31:02Z</dcterms:modified>
</cp:coreProperties>
</file>